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72.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3.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4.xml" ContentType="application/vnd.openxmlformats-officedocument.wordprocessingml.header+xml"/>
  <Override PartName="/word/footer77.xml" ContentType="application/vnd.openxmlformats-officedocument.wordprocessingml.footer+xml"/>
  <Override PartName="/word/header75.xml" ContentType="application/vnd.openxmlformats-officedocument.wordprocessingml.header+xml"/>
  <Override PartName="/word/footer78.xml" ContentType="application/vnd.openxmlformats-officedocument.wordprocessingml.footer+xml"/>
  <Override PartName="/word/header76.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header77.xml" ContentType="application/vnd.openxmlformats-officedocument.wordprocessingml.header+xml"/>
  <Override PartName="/word/footer83.xml" ContentType="application/vnd.openxmlformats-officedocument.wordprocessingml.footer+xml"/>
  <Override PartName="/word/header78.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header79.xml" ContentType="application/vnd.openxmlformats-officedocument.wordprocessingml.header+xml"/>
  <Override PartName="/word/footer86.xml" ContentType="application/vnd.openxmlformats-officedocument.wordprocessingml.footer+xml"/>
  <Override PartName="/word/header80.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p>
      <w:pPr>
        <w:spacing w:line="1170" w:lineRule="exact"/>
        <w:ind w:left="3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5388680" cy="7429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388680" cy="74295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2032" w:val="left" w:leader="none"/>
        </w:tabs>
        <w:spacing w:before="4"/>
        <w:ind w:left="232" w:right="0" w:firstLine="0"/>
        <w:jc w:val="center"/>
        <w:rPr>
          <w:rFonts w:ascii="宋体" w:hAnsi="宋体" w:cs="宋体" w:eastAsia="宋体" w:hint="default"/>
          <w:sz w:val="72"/>
          <w:szCs w:val="72"/>
        </w:rPr>
      </w:pPr>
      <w:r>
        <w:rPr>
          <w:rFonts w:ascii="Times New Roman" w:hAnsi="Times New Roman" w:cs="Times New Roman" w:eastAsia="Times New Roman" w:hint="default"/>
          <w:b/>
          <w:bCs/>
          <w:sz w:val="72"/>
          <w:szCs w:val="72"/>
        </w:rPr>
        <w:t>2009</w:t>
        <w:tab/>
      </w:r>
      <w:r>
        <w:rPr>
          <w:rFonts w:ascii="宋体" w:hAnsi="宋体" w:cs="宋体" w:eastAsia="宋体" w:hint="default"/>
          <w:sz w:val="72"/>
          <w:szCs w:val="72"/>
        </w:rPr>
        <w:t>年 年 度 报</w:t>
      </w:r>
      <w:r>
        <w:rPr>
          <w:rFonts w:ascii="宋体" w:hAnsi="宋体" w:cs="宋体" w:eastAsia="宋体" w:hint="default"/>
          <w:spacing w:val="9"/>
          <w:sz w:val="72"/>
          <w:szCs w:val="72"/>
        </w:rPr>
        <w:t> </w:t>
      </w:r>
      <w:r>
        <w:rPr>
          <w:rFonts w:ascii="宋体" w:hAnsi="宋体" w:cs="宋体" w:eastAsia="宋体" w:hint="default"/>
          <w:sz w:val="72"/>
          <w:szCs w:val="72"/>
        </w:rPr>
        <w:t>告</w:t>
      </w:r>
    </w:p>
    <w:p>
      <w:pPr>
        <w:spacing w:line="240" w:lineRule="auto" w:before="0"/>
        <w:rPr>
          <w:rFonts w:ascii="宋体" w:hAnsi="宋体" w:cs="宋体" w:eastAsia="宋体" w:hint="default"/>
          <w:sz w:val="76"/>
          <w:szCs w:val="76"/>
        </w:rPr>
      </w:pPr>
    </w:p>
    <w:p>
      <w:pPr>
        <w:spacing w:line="240" w:lineRule="auto" w:before="0"/>
        <w:rPr>
          <w:rFonts w:ascii="宋体" w:hAnsi="宋体" w:cs="宋体" w:eastAsia="宋体" w:hint="default"/>
          <w:sz w:val="76"/>
          <w:szCs w:val="76"/>
        </w:rPr>
      </w:pPr>
    </w:p>
    <w:p>
      <w:pPr>
        <w:spacing w:line="240" w:lineRule="auto" w:before="0"/>
        <w:rPr>
          <w:rFonts w:ascii="宋体" w:hAnsi="宋体" w:cs="宋体" w:eastAsia="宋体" w:hint="default"/>
          <w:sz w:val="76"/>
          <w:szCs w:val="76"/>
        </w:rPr>
      </w:pPr>
    </w:p>
    <w:p>
      <w:pPr>
        <w:spacing w:line="240" w:lineRule="auto" w:before="0"/>
        <w:rPr>
          <w:rFonts w:ascii="宋体" w:hAnsi="宋体" w:cs="宋体" w:eastAsia="宋体" w:hint="default"/>
          <w:sz w:val="76"/>
          <w:szCs w:val="76"/>
        </w:rPr>
      </w:pPr>
    </w:p>
    <w:p>
      <w:pPr>
        <w:spacing w:line="240" w:lineRule="auto" w:before="0"/>
        <w:rPr>
          <w:rFonts w:ascii="宋体" w:hAnsi="宋体" w:cs="宋体" w:eastAsia="宋体" w:hint="default"/>
          <w:sz w:val="76"/>
          <w:szCs w:val="76"/>
        </w:rPr>
      </w:pPr>
    </w:p>
    <w:p>
      <w:pPr>
        <w:spacing w:line="240" w:lineRule="auto" w:before="6"/>
        <w:rPr>
          <w:rFonts w:ascii="宋体" w:hAnsi="宋体" w:cs="宋体" w:eastAsia="宋体" w:hint="default"/>
          <w:sz w:val="85"/>
          <w:szCs w:val="85"/>
        </w:rPr>
      </w:pPr>
    </w:p>
    <w:p>
      <w:pPr>
        <w:spacing w:before="0"/>
        <w:ind w:left="191" w:right="0" w:firstLine="0"/>
        <w:jc w:val="center"/>
        <w:rPr>
          <w:rFonts w:ascii="宋体" w:hAnsi="宋体" w:cs="宋体" w:eastAsia="宋体" w:hint="default"/>
          <w:sz w:val="44"/>
          <w:szCs w:val="44"/>
        </w:rPr>
      </w:pPr>
      <w:r>
        <w:rPr>
          <w:rFonts w:ascii="宋体" w:hAnsi="宋体" w:cs="宋体" w:eastAsia="宋体" w:hint="default"/>
          <w:sz w:val="44"/>
          <w:szCs w:val="44"/>
        </w:rPr>
        <w:t>二○一○年四月</w:t>
      </w:r>
    </w:p>
    <w:p>
      <w:pPr>
        <w:spacing w:after="0"/>
        <w:jc w:val="center"/>
        <w:rPr>
          <w:rFonts w:ascii="宋体" w:hAnsi="宋体" w:cs="宋体" w:eastAsia="宋体" w:hint="default"/>
          <w:sz w:val="44"/>
          <w:szCs w:val="44"/>
        </w:rPr>
        <w:sectPr>
          <w:type w:val="continuous"/>
          <w:pgSz w:w="11910" w:h="16840"/>
          <w:pgMar w:top="1580" w:bottom="280" w:left="1680" w:right="1360"/>
        </w:sectPr>
      </w:pPr>
    </w:p>
    <w:p>
      <w:pPr>
        <w:pStyle w:val="Heading3"/>
        <w:spacing w:line="446" w:lineRule="exact"/>
        <w:ind w:left="3808" w:right="3415"/>
        <w:jc w:val="center"/>
        <w:rPr>
          <w:b w:val="0"/>
          <w:bCs w:val="0"/>
        </w:rPr>
      </w:pPr>
      <w:r>
        <w:rPr/>
        <w:t>重  要  提 </w:t>
      </w:r>
      <w:r>
        <w:rPr>
          <w:spacing w:val="2"/>
        </w:rPr>
        <w:t> </w:t>
      </w:r>
      <w:r>
        <w:rPr/>
        <w:t>示</w:t>
      </w:r>
      <w:r>
        <w:rPr>
          <w:b w:val="0"/>
          <w:bCs w:val="0"/>
        </w:rPr>
      </w:r>
    </w:p>
    <w:p>
      <w:pPr>
        <w:spacing w:line="240" w:lineRule="auto" w:before="3"/>
        <w:rPr>
          <w:rFonts w:ascii="Microsoft JhengHei" w:hAnsi="Microsoft JhengHei" w:cs="Microsoft JhengHei" w:eastAsia="Microsoft JhengHei" w:hint="default"/>
          <w:b/>
          <w:bCs/>
          <w:sz w:val="37"/>
          <w:szCs w:val="37"/>
        </w:rPr>
      </w:pPr>
    </w:p>
    <w:p>
      <w:pPr>
        <w:pStyle w:val="BodyText"/>
        <w:spacing w:line="357" w:lineRule="auto" w:before="0"/>
        <w:ind w:right="105" w:firstLine="480"/>
        <w:jc w:val="both"/>
      </w:pPr>
      <w:r>
        <w:rPr/>
        <w:t>（一）本公司董事会、监事会及董事、监事、高级管理人员保证本报告所载 资料不存在任何虚假记载、误导性陈述或者重大遗漏，并对其内容的真实性、准 确性和完整性承担个别及连带责任。</w:t>
      </w:r>
    </w:p>
    <w:p>
      <w:pPr>
        <w:pStyle w:val="BodyText"/>
        <w:spacing w:line="357" w:lineRule="auto"/>
        <w:ind w:right="105" w:firstLine="480"/>
        <w:jc w:val="both"/>
      </w:pPr>
      <w:r>
        <w:rPr/>
        <w:t>（二）公司董事徐国荣先生因公未能出席会议，委托董事、总经理曾湃先生 代为出席并表决。</w:t>
      </w:r>
    </w:p>
    <w:p>
      <w:pPr>
        <w:pStyle w:val="BodyText"/>
        <w:spacing w:line="357" w:lineRule="auto"/>
        <w:ind w:right="105" w:firstLine="480"/>
        <w:jc w:val="both"/>
      </w:pPr>
      <w:r>
        <w:rPr/>
        <w:t>（三）深圳南方民和会计师事务所有限责任公司为本公司出具了带强调事项 段无保留意见的审计报告，本公司董事会、监事会对相关事项亦有详细说明，请 投资者注意阅读。</w:t>
      </w:r>
    </w:p>
    <w:p>
      <w:pPr>
        <w:pStyle w:val="BodyText"/>
        <w:spacing w:line="357" w:lineRule="auto"/>
        <w:ind w:right="105" w:firstLine="480"/>
        <w:jc w:val="both"/>
      </w:pPr>
      <w:r>
        <w:rPr/>
        <w:t>（四）公司董事长陈少群先生、总经理曾湃先生、财务总监马彦钊先生、计 财部部长俞浩女士声明：保证年度报告中财务报告的真实、完整。</w:t>
      </w:r>
    </w:p>
    <w:p>
      <w:pPr>
        <w:spacing w:after="0" w:line="357" w:lineRule="auto"/>
        <w:jc w:val="both"/>
        <w:sectPr>
          <w:footerReference w:type="default" r:id="rId6"/>
          <w:pgSz w:w="11910" w:h="16840"/>
          <w:pgMar w:footer="1095" w:header="0" w:top="1580" w:bottom="1280" w:left="1680" w:right="1420"/>
          <w:pgNumType w:start="2"/>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tabs>
          <w:tab w:pos="1216" w:val="left" w:leader="none"/>
        </w:tabs>
        <w:spacing w:line="460" w:lineRule="exact" w:before="0"/>
        <w:ind w:left="496" w:right="0" w:firstLine="0"/>
        <w:jc w:val="center"/>
        <w:rPr>
          <w:rFonts w:ascii="宋体" w:hAnsi="宋体" w:cs="宋体" w:eastAsia="宋体" w:hint="default"/>
          <w:sz w:val="36"/>
          <w:szCs w:val="36"/>
        </w:rPr>
      </w:pPr>
      <w:r>
        <w:rPr>
          <w:rFonts w:ascii="宋体" w:hAnsi="宋体" w:cs="宋体" w:eastAsia="宋体" w:hint="default"/>
          <w:sz w:val="36"/>
          <w:szCs w:val="36"/>
        </w:rPr>
        <w:t>目</w:t>
        <w:tab/>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80" w:type="dxa"/>
        <w:tblLayout w:type="fixed"/>
        <w:tblCellMar>
          <w:top w:w="0" w:type="dxa"/>
          <w:left w:w="0" w:type="dxa"/>
          <w:bottom w:w="0" w:type="dxa"/>
          <w:right w:w="0" w:type="dxa"/>
        </w:tblCellMar>
        <w:tblLook w:val="01E0"/>
      </w:tblPr>
      <w:tblGrid>
        <w:gridCol w:w="867"/>
        <w:gridCol w:w="6724"/>
        <w:gridCol w:w="393"/>
      </w:tblGrid>
      <w:tr>
        <w:trPr>
          <w:trHeight w:val="539"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第一章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367" w:lineRule="exact"/>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公司基本情况简介</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5"/>
              <w:jc w:val="center"/>
              <w:rPr>
                <w:rFonts w:ascii="Times New Roman" w:hAnsi="Times New Roman" w:cs="Times New Roman" w:eastAsia="Times New Roman" w:hint="default"/>
                <w:sz w:val="24"/>
                <w:szCs w:val="24"/>
              </w:rPr>
            </w:pPr>
            <w:r>
              <w:rPr>
                <w:rFonts w:ascii="Times New Roman"/>
                <w:b/>
                <w:sz w:val="24"/>
              </w:rPr>
              <w:t>4</w:t>
            </w:r>
            <w:r>
              <w:rPr>
                <w:rFonts w:ascii="Times New Roman"/>
                <w:sz w:val="24"/>
              </w:rPr>
            </w:r>
          </w:p>
        </w:tc>
      </w:tr>
      <w:tr>
        <w:trPr>
          <w:trHeight w:val="624"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第二章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会计数据和业务数据摘要</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5"/>
              <w:jc w:val="center"/>
              <w:rPr>
                <w:rFonts w:ascii="Times New Roman" w:hAnsi="Times New Roman" w:cs="Times New Roman" w:eastAsia="Times New Roman" w:hint="default"/>
                <w:sz w:val="24"/>
                <w:szCs w:val="24"/>
              </w:rPr>
            </w:pPr>
            <w:r>
              <w:rPr>
                <w:rFonts w:ascii="Times New Roman"/>
                <w:b/>
                <w:sz w:val="24"/>
              </w:rPr>
              <w:t>5</w:t>
            </w:r>
            <w:r>
              <w:rPr>
                <w:rFonts w:ascii="Times New Roman"/>
                <w:sz w:val="24"/>
              </w:rPr>
            </w:r>
          </w:p>
        </w:tc>
      </w:tr>
      <w:tr>
        <w:trPr>
          <w:trHeight w:val="624"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第三章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股本变动及股东情况</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5"/>
              <w:jc w:val="center"/>
              <w:rPr>
                <w:rFonts w:ascii="Times New Roman" w:hAnsi="Times New Roman" w:cs="Times New Roman" w:eastAsia="Times New Roman" w:hint="default"/>
                <w:sz w:val="24"/>
                <w:szCs w:val="24"/>
              </w:rPr>
            </w:pPr>
            <w:r>
              <w:rPr>
                <w:rFonts w:ascii="Times New Roman"/>
                <w:b/>
                <w:sz w:val="24"/>
              </w:rPr>
              <w:t>7</w:t>
            </w:r>
            <w:r>
              <w:rPr>
                <w:rFonts w:ascii="Times New Roman"/>
                <w:sz w:val="24"/>
              </w:rPr>
            </w:r>
          </w:p>
        </w:tc>
      </w:tr>
      <w:tr>
        <w:trPr>
          <w:trHeight w:val="624"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第四章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董事、监事、高级管理人员和员工情况</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82" w:right="0"/>
              <w:jc w:val="center"/>
              <w:rPr>
                <w:rFonts w:ascii="Times New Roman" w:hAnsi="Times New Roman" w:cs="Times New Roman" w:eastAsia="Times New Roman" w:hint="default"/>
                <w:sz w:val="24"/>
                <w:szCs w:val="24"/>
              </w:rPr>
            </w:pPr>
            <w:r>
              <w:rPr>
                <w:rFonts w:ascii="Times New Roman"/>
                <w:b/>
                <w:sz w:val="24"/>
              </w:rPr>
              <w:t>13</w:t>
            </w:r>
            <w:r>
              <w:rPr>
                <w:rFonts w:ascii="Times New Roman"/>
                <w:sz w:val="24"/>
              </w:rPr>
            </w:r>
          </w:p>
        </w:tc>
      </w:tr>
      <w:tr>
        <w:trPr>
          <w:trHeight w:val="624"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第五章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公司治理结构 </w:t>
            </w:r>
            <w:r>
              <w:rPr>
                <w:rFonts w:ascii="Microsoft JhengHei" w:hAnsi="Microsoft JhengHei" w:cs="Microsoft JhengHei" w:eastAsia="Microsoft JhengHei" w:hint="default"/>
                <w:b/>
                <w:bCs/>
                <w:spacing w:val="4"/>
                <w:sz w:val="24"/>
                <w:szCs w:val="24"/>
              </w:rPr>
              <w:t> </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82" w:right="0"/>
              <w:jc w:val="center"/>
              <w:rPr>
                <w:rFonts w:ascii="Times New Roman" w:hAnsi="Times New Roman" w:cs="Times New Roman" w:eastAsia="Times New Roman" w:hint="default"/>
                <w:sz w:val="24"/>
                <w:szCs w:val="24"/>
              </w:rPr>
            </w:pPr>
            <w:r>
              <w:rPr>
                <w:rFonts w:ascii="Times New Roman"/>
                <w:b/>
                <w:sz w:val="24"/>
              </w:rPr>
              <w:t>22</w:t>
            </w:r>
            <w:r>
              <w:rPr>
                <w:rFonts w:ascii="Times New Roman"/>
                <w:sz w:val="24"/>
              </w:rPr>
            </w:r>
          </w:p>
        </w:tc>
      </w:tr>
      <w:tr>
        <w:trPr>
          <w:trHeight w:val="624"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第六章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股东大会情况简介 </w:t>
            </w:r>
            <w:r>
              <w:rPr>
                <w:rFonts w:ascii="Microsoft JhengHei" w:hAnsi="Microsoft JhengHei" w:cs="Microsoft JhengHei" w:eastAsia="Microsoft JhengHei" w:hint="default"/>
                <w:b/>
                <w:bCs/>
                <w:spacing w:val="5"/>
                <w:sz w:val="24"/>
                <w:szCs w:val="24"/>
              </w:rPr>
              <w:t> </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82" w:right="0"/>
              <w:jc w:val="center"/>
              <w:rPr>
                <w:rFonts w:ascii="Times New Roman" w:hAnsi="Times New Roman" w:cs="Times New Roman" w:eastAsia="Times New Roman" w:hint="default"/>
                <w:sz w:val="24"/>
                <w:szCs w:val="24"/>
              </w:rPr>
            </w:pPr>
            <w:r>
              <w:rPr>
                <w:rFonts w:ascii="Times New Roman"/>
                <w:b/>
                <w:sz w:val="24"/>
              </w:rPr>
              <w:t>36</w:t>
            </w:r>
            <w:r>
              <w:rPr>
                <w:rFonts w:ascii="Times New Roman"/>
                <w:sz w:val="24"/>
              </w:rPr>
            </w:r>
          </w:p>
        </w:tc>
      </w:tr>
      <w:tr>
        <w:trPr>
          <w:trHeight w:val="624"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第七章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董事会报告 </w:t>
            </w:r>
            <w:r>
              <w:rPr>
                <w:rFonts w:ascii="Microsoft JhengHei" w:hAnsi="Microsoft JhengHei" w:cs="Microsoft JhengHei" w:eastAsia="Microsoft JhengHei" w:hint="default"/>
                <w:b/>
                <w:bCs/>
                <w:spacing w:val="4"/>
                <w:sz w:val="24"/>
                <w:szCs w:val="24"/>
              </w:rPr>
              <w:t> </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82" w:right="0"/>
              <w:jc w:val="center"/>
              <w:rPr>
                <w:rFonts w:ascii="Times New Roman" w:hAnsi="Times New Roman" w:cs="Times New Roman" w:eastAsia="Times New Roman" w:hint="default"/>
                <w:sz w:val="24"/>
                <w:szCs w:val="24"/>
              </w:rPr>
            </w:pPr>
            <w:r>
              <w:rPr>
                <w:rFonts w:ascii="Times New Roman"/>
                <w:b/>
                <w:sz w:val="24"/>
              </w:rPr>
              <w:t>37</w:t>
            </w:r>
            <w:r>
              <w:rPr>
                <w:rFonts w:ascii="Times New Roman"/>
                <w:sz w:val="24"/>
              </w:rPr>
            </w:r>
          </w:p>
        </w:tc>
      </w:tr>
      <w:tr>
        <w:trPr>
          <w:trHeight w:val="624"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第八章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监事会报告 </w:t>
            </w:r>
            <w:r>
              <w:rPr>
                <w:rFonts w:ascii="Microsoft JhengHei" w:hAnsi="Microsoft JhengHei" w:cs="Microsoft JhengHei" w:eastAsia="Microsoft JhengHei" w:hint="default"/>
                <w:b/>
                <w:bCs/>
                <w:spacing w:val="4"/>
                <w:sz w:val="24"/>
                <w:szCs w:val="24"/>
              </w:rPr>
              <w:t> </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82" w:right="0"/>
              <w:jc w:val="center"/>
              <w:rPr>
                <w:rFonts w:ascii="Times New Roman" w:hAnsi="Times New Roman" w:cs="Times New Roman" w:eastAsia="Times New Roman" w:hint="default"/>
                <w:sz w:val="24"/>
                <w:szCs w:val="24"/>
              </w:rPr>
            </w:pPr>
            <w:r>
              <w:rPr>
                <w:rFonts w:ascii="Times New Roman"/>
                <w:b/>
                <w:sz w:val="24"/>
              </w:rPr>
              <w:t>73</w:t>
            </w:r>
            <w:r>
              <w:rPr>
                <w:rFonts w:ascii="Times New Roman"/>
                <w:sz w:val="24"/>
              </w:rPr>
            </w:r>
          </w:p>
        </w:tc>
      </w:tr>
      <w:tr>
        <w:trPr>
          <w:trHeight w:val="624"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第九章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重要事项 </w:t>
            </w:r>
            <w:r>
              <w:rPr>
                <w:rFonts w:ascii="Microsoft JhengHei" w:hAnsi="Microsoft JhengHei" w:cs="Microsoft JhengHei" w:eastAsia="Microsoft JhengHei" w:hint="default"/>
                <w:b/>
                <w:bCs/>
                <w:spacing w:val="2"/>
                <w:sz w:val="24"/>
                <w:szCs w:val="24"/>
              </w:rPr>
              <w:t> </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82" w:right="0"/>
              <w:jc w:val="center"/>
              <w:rPr>
                <w:rFonts w:ascii="Times New Roman" w:hAnsi="Times New Roman" w:cs="Times New Roman" w:eastAsia="Times New Roman" w:hint="default"/>
                <w:sz w:val="24"/>
                <w:szCs w:val="24"/>
              </w:rPr>
            </w:pPr>
            <w:r>
              <w:rPr>
                <w:rFonts w:ascii="Times New Roman"/>
                <w:b/>
                <w:sz w:val="24"/>
              </w:rPr>
              <w:t>79</w:t>
            </w:r>
            <w:r>
              <w:rPr>
                <w:rFonts w:ascii="Times New Roman"/>
                <w:sz w:val="24"/>
              </w:rPr>
            </w:r>
          </w:p>
        </w:tc>
      </w:tr>
      <w:tr>
        <w:trPr>
          <w:trHeight w:val="539" w:hRule="exact"/>
        </w:trPr>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第十章</w:t>
            </w:r>
            <w:r>
              <w:rPr>
                <w:rFonts w:ascii="Microsoft JhengHei" w:hAnsi="Microsoft JhengHei" w:cs="Microsoft JhengHei" w:eastAsia="Microsoft JhengHei" w:hint="default"/>
                <w:sz w:val="24"/>
                <w:szCs w:val="24"/>
              </w:rPr>
            </w:r>
          </w:p>
        </w:tc>
        <w:tc>
          <w:tcPr>
            <w:tcW w:w="67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财务报告 </w:t>
            </w:r>
            <w:r>
              <w:rPr>
                <w:rFonts w:ascii="Microsoft JhengHei" w:hAnsi="Microsoft JhengHei" w:cs="Microsoft JhengHei" w:eastAsia="Microsoft JhengHei" w:hint="default"/>
                <w:b/>
                <w:bCs/>
                <w:spacing w:val="2"/>
                <w:sz w:val="24"/>
                <w:szCs w:val="24"/>
              </w:rPr>
              <w:t> </w:t>
            </w:r>
            <w:r>
              <w:rPr>
                <w:rFonts w:ascii="宋体" w:hAnsi="宋体" w:cs="宋体" w:eastAsia="宋体" w:hint="default"/>
                <w:sz w:val="24"/>
                <w:szCs w:val="24"/>
              </w:rPr>
              <w:t>…………………………………………………………</w:t>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82" w:right="0"/>
              <w:jc w:val="center"/>
              <w:rPr>
                <w:rFonts w:ascii="Times New Roman" w:hAnsi="Times New Roman" w:cs="Times New Roman" w:eastAsia="Times New Roman" w:hint="default"/>
                <w:sz w:val="24"/>
                <w:szCs w:val="24"/>
              </w:rPr>
            </w:pPr>
            <w:r>
              <w:rPr>
                <w:rFonts w:ascii="Times New Roman"/>
                <w:b/>
                <w:sz w:val="24"/>
              </w:rPr>
              <w:t>95</w:t>
            </w:r>
            <w:r>
              <w:rPr>
                <w:rFonts w:ascii="Times New Roman"/>
                <w:sz w:val="24"/>
              </w:rPr>
            </w:r>
          </w:p>
        </w:tc>
      </w:tr>
    </w:tbl>
    <w:p>
      <w:pPr>
        <w:spacing w:after="0" w:line="240" w:lineRule="auto"/>
        <w:jc w:val="center"/>
        <w:rPr>
          <w:rFonts w:ascii="Times New Roman" w:hAnsi="Times New Roman" w:cs="Times New Roman" w:eastAsia="Times New Roman" w:hint="default"/>
          <w:sz w:val="24"/>
          <w:szCs w:val="24"/>
        </w:rPr>
        <w:sectPr>
          <w:pgSz w:w="11910" w:h="16840"/>
          <w:pgMar w:header="0" w:footer="1095" w:top="1580" w:bottom="1280" w:left="1680" w:right="1660"/>
        </w:sectPr>
      </w:pPr>
    </w:p>
    <w:p>
      <w:pPr>
        <w:spacing w:line="240" w:lineRule="auto" w:before="4"/>
        <w:rPr>
          <w:rFonts w:ascii="宋体" w:hAnsi="宋体" w:cs="宋体" w:eastAsia="宋体" w:hint="default"/>
          <w:sz w:val="16"/>
          <w:szCs w:val="16"/>
        </w:rPr>
      </w:pPr>
    </w:p>
    <w:p>
      <w:pPr>
        <w:pStyle w:val="Heading4"/>
        <w:spacing w:line="240" w:lineRule="auto" w:before="14"/>
        <w:ind w:left="2922" w:right="1110"/>
        <w:jc w:val="left"/>
      </w:pPr>
      <w:r>
        <w:rPr/>
        <w:t>第一章</w:t>
      </w:r>
      <w:r>
        <w:rPr>
          <w:spacing w:val="9"/>
        </w:rPr>
        <w:t> </w:t>
      </w:r>
      <w:r>
        <w:rPr/>
        <w:t>公司基本情况简介</w:t>
      </w:r>
    </w:p>
    <w:p>
      <w:pPr>
        <w:spacing w:line="254" w:lineRule="auto" w:before="218"/>
        <w:ind w:left="770" w:right="1110" w:hanging="47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一、公司法定中文名称：</w:t>
      </w:r>
      <w:r>
        <w:rPr>
          <w:rFonts w:ascii="宋体" w:hAnsi="宋体" w:cs="宋体" w:eastAsia="宋体" w:hint="default"/>
          <w:sz w:val="24"/>
          <w:szCs w:val="24"/>
        </w:rPr>
        <w:t>深圳市农产品股份有限公司</w:t>
      </w:r>
      <w:r>
        <w:rPr>
          <w:rFonts w:ascii="宋体" w:hAnsi="宋体" w:cs="宋体" w:eastAsia="宋体" w:hint="default"/>
          <w:spacing w:val="-111"/>
          <w:sz w:val="24"/>
          <w:szCs w:val="24"/>
        </w:rPr>
        <w:t> </w:t>
      </w:r>
      <w:r>
        <w:rPr>
          <w:rFonts w:ascii="Microsoft JhengHei" w:hAnsi="Microsoft JhengHei" w:cs="Microsoft JhengHei" w:eastAsia="Microsoft JhengHei" w:hint="default"/>
          <w:b/>
          <w:bCs/>
          <w:sz w:val="24"/>
          <w:szCs w:val="24"/>
        </w:rPr>
        <w:t>公司法定英文名称：</w:t>
      </w:r>
      <w:r>
        <w:rPr>
          <w:rFonts w:ascii="宋体" w:hAnsi="宋体" w:cs="宋体" w:eastAsia="宋体" w:hint="default"/>
          <w:sz w:val="24"/>
          <w:szCs w:val="24"/>
        </w:rPr>
        <w:t>SHENZHEN AGRICULTURAL PRODUCTS CO.,</w:t>
      </w:r>
      <w:r>
        <w:rPr>
          <w:rFonts w:ascii="宋体" w:hAnsi="宋体" w:cs="宋体" w:eastAsia="宋体" w:hint="default"/>
          <w:spacing w:val="6"/>
          <w:sz w:val="24"/>
          <w:szCs w:val="24"/>
        </w:rPr>
        <w:t> </w:t>
      </w:r>
      <w:r>
        <w:rPr>
          <w:rFonts w:ascii="宋体" w:hAnsi="宋体" w:cs="宋体" w:eastAsia="宋体" w:hint="default"/>
          <w:sz w:val="24"/>
          <w:szCs w:val="24"/>
        </w:rPr>
        <w:t>LTD.</w:t>
      </w:r>
    </w:p>
    <w:p>
      <w:pPr>
        <w:spacing w:line="252" w:lineRule="auto" w:before="2"/>
        <w:ind w:left="300" w:right="542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二、公司法定代表人：</w:t>
      </w:r>
      <w:r>
        <w:rPr>
          <w:rFonts w:ascii="宋体" w:hAnsi="宋体" w:cs="宋体" w:eastAsia="宋体" w:hint="default"/>
          <w:sz w:val="24"/>
          <w:szCs w:val="24"/>
        </w:rPr>
        <w:t>陈少群</w:t>
      </w:r>
      <w:r>
        <w:rPr>
          <w:rFonts w:ascii="宋体" w:hAnsi="宋体" w:cs="宋体" w:eastAsia="宋体" w:hint="default"/>
          <w:spacing w:val="-113"/>
          <w:sz w:val="24"/>
          <w:szCs w:val="24"/>
        </w:rPr>
        <w:t> </w:t>
      </w:r>
      <w:r>
        <w:rPr>
          <w:rFonts w:ascii="Microsoft JhengHei" w:hAnsi="Microsoft JhengHei" w:cs="Microsoft JhengHei" w:eastAsia="Microsoft JhengHei" w:hint="default"/>
          <w:b/>
          <w:bCs/>
          <w:sz w:val="24"/>
          <w:szCs w:val="24"/>
        </w:rPr>
        <w:t>三、公司董事会秘书：</w:t>
      </w:r>
      <w:r>
        <w:rPr>
          <w:rFonts w:ascii="宋体" w:hAnsi="宋体" w:cs="宋体" w:eastAsia="宋体" w:hint="default"/>
          <w:sz w:val="24"/>
          <w:szCs w:val="24"/>
        </w:rPr>
        <w:t>刘雄佳</w:t>
      </w:r>
    </w:p>
    <w:p>
      <w:pPr>
        <w:pStyle w:val="BodyText"/>
        <w:tabs>
          <w:tab w:pos="1490" w:val="left" w:leader="none"/>
        </w:tabs>
        <w:spacing w:line="252" w:lineRule="auto" w:before="8"/>
        <w:ind w:left="770" w:right="2448"/>
        <w:jc w:val="left"/>
      </w:pPr>
      <w:r>
        <w:rPr>
          <w:rFonts w:ascii="Microsoft JhengHei" w:hAnsi="Microsoft JhengHei" w:cs="Microsoft JhengHei" w:eastAsia="Microsoft JhengHei" w:hint="default"/>
          <w:b/>
          <w:bCs/>
        </w:rPr>
        <w:t>联系地址：</w:t>
      </w:r>
      <w:r>
        <w:rPr/>
        <w:t>深圳市罗湖区布吉路1021</w:t>
      </w:r>
      <w:r>
        <w:rPr>
          <w:spacing w:val="3"/>
        </w:rPr>
        <w:t> </w:t>
      </w:r>
      <w:r>
        <w:rPr/>
        <w:t>号天乐大厦22层 </w:t>
      </w:r>
      <w:r>
        <w:rPr>
          <w:rFonts w:ascii="Microsoft JhengHei" w:hAnsi="Microsoft JhengHei" w:cs="Microsoft JhengHei" w:eastAsia="Microsoft JhengHei" w:hint="default"/>
          <w:b/>
          <w:bCs/>
        </w:rPr>
        <w:t>电</w:t>
        <w:tab/>
        <w:t>话：</w:t>
      </w:r>
      <w:r>
        <w:rPr/>
        <w:t>（0755）25850050</w:t>
      </w:r>
    </w:p>
    <w:p>
      <w:pPr>
        <w:tabs>
          <w:tab w:pos="1490" w:val="left" w:leader="none"/>
        </w:tabs>
        <w:spacing w:before="5"/>
        <w:ind w:left="770" w:right="111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传</w:t>
        <w:tab/>
        <w:t>真：</w:t>
      </w:r>
      <w:r>
        <w:rPr>
          <w:rFonts w:ascii="宋体" w:hAnsi="宋体" w:cs="宋体" w:eastAsia="宋体" w:hint="default"/>
          <w:sz w:val="24"/>
          <w:szCs w:val="24"/>
        </w:rPr>
        <w:t>（0755）25850050</w:t>
      </w:r>
    </w:p>
    <w:p>
      <w:pPr>
        <w:spacing w:line="252" w:lineRule="auto" w:before="24"/>
        <w:ind w:left="300" w:right="1217" w:firstLine="47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电子信箱：</w:t>
      </w:r>
      <w:r>
        <w:rPr>
          <w:rFonts w:ascii="宋体" w:hAnsi="宋体" w:cs="宋体" w:eastAsia="宋体" w:hint="default"/>
          <w:sz w:val="24"/>
          <w:szCs w:val="24"/>
        </w:rPr>
      </w:r>
      <w:hyperlink r:id="rId7">
        <w:r>
          <w:rPr>
            <w:rFonts w:ascii="宋体" w:hAnsi="宋体" w:cs="宋体" w:eastAsia="宋体" w:hint="default"/>
            <w:sz w:val="24"/>
            <w:szCs w:val="24"/>
            <w:u w:val="single" w:color="000000"/>
          </w:rPr>
          <w:t>IR@szap.com</w:t>
        </w:r>
        <w:r>
          <w:rPr>
            <w:rFonts w:ascii="宋体" w:hAnsi="宋体" w:cs="宋体" w:eastAsia="宋体" w:hint="default"/>
            <w:sz w:val="24"/>
            <w:szCs w:val="24"/>
          </w:rPr>
        </w:r>
      </w:hyperlink>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四、公司注册及办公地址：</w:t>
      </w:r>
      <w:r>
        <w:rPr>
          <w:rFonts w:ascii="宋体" w:hAnsi="宋体" w:cs="宋体" w:eastAsia="宋体" w:hint="default"/>
          <w:sz w:val="24"/>
          <w:szCs w:val="24"/>
        </w:rPr>
        <w:t>深圳市罗湖区布吉路1021</w:t>
      </w:r>
      <w:r>
        <w:rPr>
          <w:rFonts w:ascii="宋体" w:hAnsi="宋体" w:cs="宋体" w:eastAsia="宋体" w:hint="default"/>
          <w:spacing w:val="9"/>
          <w:sz w:val="24"/>
          <w:szCs w:val="24"/>
        </w:rPr>
        <w:t> </w:t>
      </w:r>
      <w:r>
        <w:rPr>
          <w:rFonts w:ascii="宋体" w:hAnsi="宋体" w:cs="宋体" w:eastAsia="宋体" w:hint="default"/>
          <w:sz w:val="24"/>
          <w:szCs w:val="24"/>
        </w:rPr>
        <w:t>号天乐大厦22层</w:t>
      </w:r>
    </w:p>
    <w:p>
      <w:pPr>
        <w:spacing w:line="252" w:lineRule="auto" w:before="5"/>
        <w:ind w:left="770" w:right="354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邮政编码：</w:t>
      </w:r>
      <w:r>
        <w:rPr>
          <w:rFonts w:ascii="宋体" w:hAnsi="宋体" w:cs="宋体" w:eastAsia="宋体" w:hint="default"/>
          <w:sz w:val="24"/>
          <w:szCs w:val="24"/>
        </w:rPr>
        <w:t>518019</w:t>
      </w:r>
      <w:r>
        <w:rPr>
          <w:rFonts w:ascii="宋体" w:hAnsi="宋体" w:cs="宋体" w:eastAsia="宋体" w:hint="default"/>
          <w:spacing w:val="-116"/>
          <w:sz w:val="24"/>
          <w:szCs w:val="24"/>
        </w:rPr>
        <w:t> </w:t>
      </w:r>
      <w:r>
        <w:rPr>
          <w:rFonts w:ascii="Microsoft JhengHei" w:hAnsi="Microsoft JhengHei" w:cs="Microsoft JhengHei" w:eastAsia="Microsoft JhengHei" w:hint="default"/>
          <w:b/>
          <w:bCs/>
          <w:sz w:val="24"/>
          <w:szCs w:val="24"/>
        </w:rPr>
        <w:t>公司国际互联网网址：</w:t>
      </w:r>
      <w:r>
        <w:rPr>
          <w:rFonts w:ascii="Times New Roman" w:hAnsi="Times New Roman" w:cs="Times New Roman" w:eastAsia="Times New Roman" w:hint="default"/>
          <w:sz w:val="24"/>
          <w:szCs w:val="24"/>
        </w:rPr>
        <w:t>http: // </w:t>
      </w:r>
      <w:hyperlink r:id="rId8">
        <w:r>
          <w:rPr>
            <w:rFonts w:ascii="宋体" w:hAnsi="宋体" w:cs="宋体" w:eastAsia="宋体" w:hint="default"/>
            <w:sz w:val="24"/>
            <w:szCs w:val="24"/>
          </w:rPr>
          <w:t>www.szap.com</w:t>
        </w:r>
      </w:hyperlink>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电子信箱：</w:t>
      </w:r>
      <w:hyperlink r:id="rId9">
        <w:r>
          <w:rPr>
            <w:rFonts w:ascii="宋体" w:hAnsi="宋体" w:cs="宋体" w:eastAsia="宋体" w:hint="default"/>
            <w:sz w:val="24"/>
            <w:szCs w:val="24"/>
          </w:rPr>
        </w:r>
        <w:r>
          <w:rPr>
            <w:rFonts w:ascii="宋体" w:hAnsi="宋体" w:cs="宋体" w:eastAsia="宋体" w:hint="default"/>
            <w:sz w:val="24"/>
            <w:szCs w:val="24"/>
            <w:u w:val="single" w:color="000000"/>
          </w:rPr>
          <w:t>IR@szap.com</w:t>
        </w:r>
        <w:r>
          <w:rPr>
            <w:rFonts w:ascii="宋体" w:hAnsi="宋体" w:cs="宋体" w:eastAsia="宋体" w:hint="default"/>
            <w:sz w:val="24"/>
            <w:szCs w:val="24"/>
          </w:rPr>
        </w:r>
      </w:hyperlink>
    </w:p>
    <w:p>
      <w:pPr>
        <w:spacing w:line="297" w:lineRule="auto" w:before="5"/>
        <w:ind w:left="300" w:right="90" w:firstLine="0"/>
        <w:jc w:val="left"/>
        <w:rPr>
          <w:rFonts w:ascii="宋体" w:hAnsi="宋体" w:cs="宋体" w:eastAsia="宋体" w:hint="default"/>
          <w:sz w:val="24"/>
          <w:szCs w:val="24"/>
        </w:rPr>
      </w:pPr>
      <w:r>
        <w:rPr>
          <w:rFonts w:ascii="Microsoft JhengHei" w:hAnsi="Microsoft JhengHei" w:cs="Microsoft JhengHei" w:eastAsia="Microsoft JhengHei" w:hint="default"/>
          <w:b/>
          <w:bCs/>
          <w:spacing w:val="-2"/>
          <w:w w:val="95"/>
          <w:sz w:val="24"/>
          <w:szCs w:val="24"/>
        </w:rPr>
        <w:t>五、公司选定的信息披露报纸：</w:t>
      </w:r>
      <w:r>
        <w:rPr>
          <w:rFonts w:ascii="宋体" w:hAnsi="宋体" w:cs="宋体" w:eastAsia="宋体" w:hint="default"/>
          <w:spacing w:val="-2"/>
          <w:w w:val="95"/>
          <w:sz w:val="24"/>
          <w:szCs w:val="24"/>
        </w:rPr>
        <w:t>《证券时报》、《中国证券报》、《上海证券报》</w:t>
      </w:r>
      <w:r>
        <w:rPr>
          <w:rFonts w:ascii="宋体" w:hAnsi="宋体" w:cs="宋体" w:eastAsia="宋体" w:hint="default"/>
          <w:spacing w:val="93"/>
          <w:w w:val="95"/>
          <w:sz w:val="24"/>
          <w:szCs w:val="24"/>
        </w:rPr>
        <w:t> </w:t>
      </w:r>
      <w:r>
        <w:rPr>
          <w:rFonts w:ascii="宋体" w:hAnsi="宋体" w:cs="宋体" w:eastAsia="宋体" w:hint="default"/>
          <w:spacing w:val="93"/>
          <w:w w:val="95"/>
          <w:sz w:val="24"/>
          <w:szCs w:val="24"/>
        </w:rPr>
      </w:r>
      <w:r>
        <w:rPr>
          <w:rFonts w:ascii="宋体" w:hAnsi="宋体" w:cs="宋体" w:eastAsia="宋体" w:hint="default"/>
          <w:sz w:val="24"/>
          <w:szCs w:val="24"/>
        </w:rPr>
        <w:t>及《证券日报》</w:t>
      </w:r>
    </w:p>
    <w:p>
      <w:pPr>
        <w:spacing w:line="409" w:lineRule="exact" w:before="0"/>
        <w:ind w:left="770" w:right="9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登载年度报告的中国证监会指定网站的网址：</w:t>
      </w:r>
      <w:r>
        <w:rPr>
          <w:rFonts w:ascii="Times New Roman" w:hAnsi="Times New Roman" w:cs="Times New Roman" w:eastAsia="Times New Roman" w:hint="default"/>
          <w:sz w:val="24"/>
          <w:szCs w:val="24"/>
        </w:rPr>
        <w:t>http: //</w:t>
      </w:r>
      <w:r>
        <w:rPr>
          <w:rFonts w:ascii="Times New Roman" w:hAnsi="Times New Roman" w:cs="Times New Roman" w:eastAsia="Times New Roman" w:hint="default"/>
          <w:spacing w:val="28"/>
          <w:sz w:val="24"/>
          <w:szCs w:val="24"/>
        </w:rPr>
        <w:t> </w:t>
      </w:r>
      <w:hyperlink r:id="rId10">
        <w:r>
          <w:rPr>
            <w:rFonts w:ascii="Times New Roman" w:hAnsi="Times New Roman" w:cs="Times New Roman" w:eastAsia="Times New Roman" w:hint="default"/>
            <w:spacing w:val="-3"/>
            <w:sz w:val="24"/>
            <w:szCs w:val="24"/>
          </w:rPr>
          <w:t>www.cninfo.com.cn</w:t>
        </w:r>
      </w:hyperlink>
    </w:p>
    <w:p>
      <w:pPr>
        <w:spacing w:line="254" w:lineRule="auto" w:before="21"/>
        <w:ind w:left="300" w:right="3516" w:firstLine="47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公司年度报告备置地址：</w:t>
      </w:r>
      <w:r>
        <w:rPr>
          <w:rFonts w:ascii="宋体" w:hAnsi="宋体" w:cs="宋体" w:eastAsia="宋体" w:hint="default"/>
          <w:sz w:val="24"/>
          <w:szCs w:val="24"/>
        </w:rPr>
        <w:t>公司董事会办公室 </w:t>
      </w:r>
      <w:r>
        <w:rPr>
          <w:rFonts w:ascii="Microsoft JhengHei" w:hAnsi="Microsoft JhengHei" w:cs="Microsoft JhengHei" w:eastAsia="Microsoft JhengHei" w:hint="default"/>
          <w:b/>
          <w:bCs/>
          <w:sz w:val="24"/>
          <w:szCs w:val="24"/>
        </w:rPr>
        <w:t>六、公司股票上市交易所：</w:t>
      </w:r>
      <w:r>
        <w:rPr>
          <w:rFonts w:ascii="宋体" w:hAnsi="宋体" w:cs="宋体" w:eastAsia="宋体" w:hint="default"/>
          <w:sz w:val="24"/>
          <w:szCs w:val="24"/>
        </w:rPr>
        <w:t>深圳证券交易所</w:t>
      </w:r>
    </w:p>
    <w:p>
      <w:pPr>
        <w:spacing w:line="252" w:lineRule="auto" w:before="2"/>
        <w:ind w:left="770" w:right="615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股票简称</w:t>
      </w:r>
      <w:r>
        <w:rPr>
          <w:rFonts w:ascii="宋体" w:hAnsi="宋体" w:cs="宋体" w:eastAsia="宋体" w:hint="default"/>
          <w:sz w:val="24"/>
          <w:szCs w:val="24"/>
        </w:rPr>
        <w:t>：农产品</w:t>
      </w:r>
      <w:r>
        <w:rPr>
          <w:rFonts w:ascii="宋体" w:hAnsi="宋体" w:cs="宋体" w:eastAsia="宋体" w:hint="default"/>
          <w:spacing w:val="-116"/>
          <w:sz w:val="24"/>
          <w:szCs w:val="24"/>
        </w:rPr>
        <w:t> </w:t>
      </w:r>
      <w:r>
        <w:rPr>
          <w:rFonts w:ascii="Microsoft JhengHei" w:hAnsi="Microsoft JhengHei" w:cs="Microsoft JhengHei" w:eastAsia="Microsoft JhengHei" w:hint="default"/>
          <w:b/>
          <w:bCs/>
          <w:sz w:val="24"/>
          <w:szCs w:val="24"/>
        </w:rPr>
        <w:t>股票代码：</w:t>
      </w:r>
      <w:r>
        <w:rPr>
          <w:rFonts w:ascii="宋体" w:hAnsi="宋体" w:cs="宋体" w:eastAsia="宋体" w:hint="default"/>
          <w:sz w:val="24"/>
          <w:szCs w:val="24"/>
        </w:rPr>
        <w:t>000061</w:t>
      </w:r>
    </w:p>
    <w:p>
      <w:pPr>
        <w:spacing w:line="252" w:lineRule="auto" w:before="8"/>
        <w:ind w:left="770" w:right="3876" w:hanging="47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七、其他有关资料：</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z w:val="24"/>
          <w:szCs w:val="24"/>
        </w:rPr>
        <w:t>公司首次注册登记日期：</w:t>
      </w:r>
      <w:r>
        <w:rPr>
          <w:rFonts w:ascii="宋体" w:hAnsi="宋体" w:cs="宋体" w:eastAsia="宋体" w:hint="default"/>
          <w:sz w:val="24"/>
          <w:szCs w:val="24"/>
        </w:rPr>
        <w:t>1989年1月14日 </w:t>
      </w:r>
      <w:r>
        <w:rPr>
          <w:rFonts w:ascii="Microsoft JhengHei" w:hAnsi="Microsoft JhengHei" w:cs="Microsoft JhengHei" w:eastAsia="Microsoft JhengHei" w:hint="default"/>
          <w:b/>
          <w:bCs/>
          <w:sz w:val="24"/>
          <w:szCs w:val="24"/>
        </w:rPr>
        <w:t>公司变更注册登记日期：</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w:t>
      </w:r>
      <w:r>
        <w:rPr>
          <w:rFonts w:ascii="Times New Roman" w:hAnsi="Times New Roman" w:cs="Times New Roman" w:eastAsia="Times New Roman" w:hint="default"/>
          <w:sz w:val="24"/>
          <w:szCs w:val="24"/>
        </w:rPr>
        <w:t>3</w:t>
      </w:r>
      <w:r>
        <w:rPr>
          <w:rFonts w:ascii="宋体" w:hAnsi="宋体" w:cs="宋体" w:eastAsia="宋体" w:hint="default"/>
          <w:sz w:val="24"/>
          <w:szCs w:val="24"/>
        </w:rPr>
        <w:t>日</w:t>
      </w:r>
    </w:p>
    <w:p>
      <w:pPr>
        <w:spacing w:line="252" w:lineRule="auto" w:before="8"/>
        <w:ind w:left="770" w:right="87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公司首次注册登记地点：</w:t>
      </w:r>
      <w:r>
        <w:rPr>
          <w:rFonts w:ascii="宋体" w:hAnsi="宋体" w:cs="宋体" w:eastAsia="宋体" w:hint="default"/>
          <w:sz w:val="24"/>
          <w:szCs w:val="24"/>
        </w:rPr>
        <w:t>深圳市罗湖区爱国路一号外贸轻工大厦15楼</w:t>
      </w:r>
      <w:r>
        <w:rPr>
          <w:rFonts w:ascii="宋体" w:hAnsi="宋体" w:cs="宋体" w:eastAsia="宋体" w:hint="default"/>
          <w:spacing w:val="-114"/>
          <w:sz w:val="24"/>
          <w:szCs w:val="24"/>
        </w:rPr>
        <w:t> </w:t>
      </w:r>
      <w:r>
        <w:rPr>
          <w:rFonts w:ascii="Microsoft JhengHei" w:hAnsi="Microsoft JhengHei" w:cs="Microsoft JhengHei" w:eastAsia="Microsoft JhengHei" w:hint="default"/>
          <w:b/>
          <w:bCs/>
          <w:sz w:val="24"/>
          <w:szCs w:val="24"/>
        </w:rPr>
        <w:t>公司变更注册登记地点：</w:t>
      </w:r>
      <w:r>
        <w:rPr>
          <w:rFonts w:ascii="宋体" w:hAnsi="宋体" w:cs="宋体" w:eastAsia="宋体" w:hint="default"/>
          <w:sz w:val="24"/>
          <w:szCs w:val="24"/>
        </w:rPr>
        <w:t>深圳市罗湖区布吉路1021号天乐大厦22层</w:t>
      </w:r>
      <w:r>
        <w:rPr>
          <w:rFonts w:ascii="宋体" w:hAnsi="宋体" w:cs="宋体" w:eastAsia="宋体" w:hint="default"/>
          <w:spacing w:val="-114"/>
          <w:sz w:val="24"/>
          <w:szCs w:val="24"/>
        </w:rPr>
        <w:t> </w:t>
      </w:r>
      <w:r>
        <w:rPr>
          <w:rFonts w:ascii="Microsoft JhengHei" w:hAnsi="Microsoft JhengHei" w:cs="Microsoft JhengHei" w:eastAsia="Microsoft JhengHei" w:hint="default"/>
          <w:b/>
          <w:bCs/>
          <w:sz w:val="24"/>
          <w:szCs w:val="24"/>
        </w:rPr>
        <w:t>企业法人营业执照注册号：</w:t>
      </w:r>
      <w:r>
        <w:rPr>
          <w:rFonts w:ascii="宋体" w:hAnsi="宋体" w:cs="宋体" w:eastAsia="宋体" w:hint="default"/>
          <w:sz w:val="24"/>
          <w:szCs w:val="24"/>
        </w:rPr>
        <w:t>440301103671739</w:t>
      </w:r>
      <w:r>
        <w:rPr>
          <w:rFonts w:ascii="宋体" w:hAnsi="宋体" w:cs="宋体" w:eastAsia="宋体" w:hint="default"/>
          <w:spacing w:val="-111"/>
          <w:sz w:val="24"/>
          <w:szCs w:val="24"/>
        </w:rPr>
        <w:t> </w:t>
      </w:r>
      <w:r>
        <w:rPr>
          <w:rFonts w:ascii="Microsoft JhengHei" w:hAnsi="Microsoft JhengHei" w:cs="Microsoft JhengHei" w:eastAsia="Microsoft JhengHei" w:hint="default"/>
          <w:b/>
          <w:bCs/>
          <w:sz w:val="24"/>
          <w:szCs w:val="24"/>
        </w:rPr>
        <w:t>税务登记号码：</w:t>
      </w:r>
      <w:r>
        <w:rPr>
          <w:rFonts w:ascii="宋体" w:hAnsi="宋体" w:cs="宋体" w:eastAsia="宋体" w:hint="default"/>
          <w:sz w:val="24"/>
          <w:szCs w:val="24"/>
        </w:rPr>
        <w:t>440301192179163</w:t>
      </w:r>
    </w:p>
    <w:p>
      <w:pPr>
        <w:spacing w:line="252" w:lineRule="auto" w:before="5"/>
        <w:ind w:left="770" w:right="39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组织机构代码：</w:t>
      </w:r>
      <w:r>
        <w:rPr>
          <w:rFonts w:ascii="宋体" w:hAnsi="宋体" w:cs="宋体" w:eastAsia="宋体" w:hint="default"/>
          <w:sz w:val="24"/>
          <w:szCs w:val="24"/>
        </w:rPr>
        <w:t>19217916-3</w:t>
      </w:r>
      <w:r>
        <w:rPr>
          <w:rFonts w:ascii="宋体" w:hAnsi="宋体" w:cs="宋体" w:eastAsia="宋体" w:hint="default"/>
          <w:spacing w:val="-115"/>
          <w:sz w:val="24"/>
          <w:szCs w:val="24"/>
        </w:rPr>
        <w:t> </w:t>
      </w:r>
      <w:r>
        <w:rPr>
          <w:rFonts w:ascii="Microsoft JhengHei" w:hAnsi="Microsoft JhengHei" w:cs="Microsoft JhengHei" w:eastAsia="Microsoft JhengHei" w:hint="default"/>
          <w:b/>
          <w:bCs/>
          <w:sz w:val="24"/>
          <w:szCs w:val="24"/>
        </w:rPr>
        <w:t>公司聘请的会计师事务所名称：</w:t>
      </w:r>
      <w:r>
        <w:rPr>
          <w:rFonts w:ascii="宋体" w:hAnsi="宋体" w:cs="宋体" w:eastAsia="宋体" w:hint="default"/>
          <w:sz w:val="24"/>
          <w:szCs w:val="24"/>
        </w:rPr>
        <w:t>深圳南方民和会计师事务所有限责任公司</w:t>
      </w:r>
      <w:r>
        <w:rPr>
          <w:rFonts w:ascii="宋体" w:hAnsi="宋体" w:cs="宋体" w:eastAsia="宋体" w:hint="default"/>
          <w:spacing w:val="-109"/>
          <w:sz w:val="24"/>
          <w:szCs w:val="24"/>
        </w:rPr>
        <w:t> </w:t>
      </w:r>
      <w:r>
        <w:rPr>
          <w:rFonts w:ascii="Microsoft JhengHei" w:hAnsi="Microsoft JhengHei" w:cs="Microsoft JhengHei" w:eastAsia="Microsoft JhengHei" w:hint="default"/>
          <w:b/>
          <w:bCs/>
          <w:sz w:val="24"/>
          <w:szCs w:val="24"/>
        </w:rPr>
        <w:t>办公地址：</w:t>
      </w:r>
      <w:r>
        <w:rPr>
          <w:rFonts w:ascii="宋体" w:hAnsi="宋体" w:cs="宋体" w:eastAsia="宋体" w:hint="default"/>
          <w:sz w:val="24"/>
          <w:szCs w:val="24"/>
        </w:rPr>
        <w:t>深圳市福田区深南中路2072号电子大厦8F</w:t>
      </w:r>
    </w:p>
    <w:p>
      <w:pPr>
        <w:spacing w:after="0" w:line="252" w:lineRule="auto"/>
        <w:jc w:val="left"/>
        <w:rPr>
          <w:rFonts w:ascii="宋体" w:hAnsi="宋体" w:cs="宋体" w:eastAsia="宋体" w:hint="default"/>
          <w:sz w:val="24"/>
          <w:szCs w:val="24"/>
        </w:rPr>
        <w:sectPr>
          <w:pgSz w:w="11910" w:h="16840"/>
          <w:pgMar w:header="0" w:footer="1095" w:top="1580" w:bottom="1280" w:left="1680" w:right="1360"/>
        </w:sectPr>
      </w:pPr>
    </w:p>
    <w:p>
      <w:pPr>
        <w:pStyle w:val="Heading4"/>
        <w:tabs>
          <w:tab w:pos="3622" w:val="left" w:leader="none"/>
        </w:tabs>
        <w:spacing w:line="240" w:lineRule="auto" w:before="6"/>
        <w:ind w:left="2360" w:right="0"/>
        <w:jc w:val="left"/>
      </w:pPr>
      <w:r>
        <w:rPr/>
        <w:t>第二章</w:t>
        <w:tab/>
        <w:t>会计数据和业务数据摘要</w:t>
      </w:r>
    </w:p>
    <w:p>
      <w:pPr>
        <w:pStyle w:val="Heading5"/>
        <w:spacing w:line="240" w:lineRule="auto" w:before="184"/>
        <w:ind w:right="0"/>
        <w:jc w:val="left"/>
        <w:rPr>
          <w:b w:val="0"/>
          <w:bCs w:val="0"/>
        </w:rPr>
      </w:pPr>
      <w:bookmarkStart w:name="第一节本年度主要会计数据" w:id="1"/>
      <w:bookmarkEnd w:id="1"/>
      <w:r>
        <w:rPr>
          <w:b w:val="0"/>
          <w:bCs w:val="0"/>
        </w:rPr>
      </w:r>
      <w:r>
        <w:rPr/>
        <w:t>第一节 </w:t>
      </w:r>
      <w:r>
        <w:rPr>
          <w:spacing w:val="9"/>
        </w:rPr>
        <w:t> </w:t>
      </w:r>
      <w:r>
        <w:rPr/>
        <w:t>本年度主要会计数据</w:t>
      </w:r>
      <w:r>
        <w:rPr>
          <w:b w:val="0"/>
          <w:bCs w:val="0"/>
        </w:rPr>
      </w:r>
    </w:p>
    <w:p>
      <w:pPr>
        <w:spacing w:line="240" w:lineRule="auto" w:before="12"/>
        <w:rPr>
          <w:rFonts w:ascii="Microsoft JhengHei" w:hAnsi="Microsoft JhengHei" w:cs="Microsoft JhengHei" w:eastAsia="Microsoft JhengHei" w:hint="default"/>
          <w:b/>
          <w:bCs/>
          <w:sz w:val="13"/>
          <w:szCs w:val="13"/>
        </w:rPr>
      </w:pPr>
    </w:p>
    <w:p>
      <w:pPr>
        <w:spacing w:before="36"/>
        <w:ind w:left="0" w:right="318"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（单位：人民币元）</w:t>
      </w:r>
    </w:p>
    <w:p>
      <w:pPr>
        <w:spacing w:line="240" w:lineRule="auto" w:before="11"/>
        <w:rPr>
          <w:rFonts w:ascii="宋体" w:hAnsi="宋体" w:cs="宋体" w:eastAsia="宋体" w:hint="default"/>
          <w:sz w:val="5"/>
          <w:szCs w:val="5"/>
        </w:rPr>
      </w:pPr>
    </w:p>
    <w:tbl>
      <w:tblPr>
        <w:tblW w:w="0" w:type="auto"/>
        <w:jc w:val="left"/>
        <w:tblInd w:w="475" w:type="dxa"/>
        <w:tblLayout w:type="fixed"/>
        <w:tblCellMar>
          <w:top w:w="0" w:type="dxa"/>
          <w:left w:w="0" w:type="dxa"/>
          <w:bottom w:w="0" w:type="dxa"/>
          <w:right w:w="0" w:type="dxa"/>
        </w:tblCellMar>
        <w:tblLook w:val="01E0"/>
      </w:tblPr>
      <w:tblGrid>
        <w:gridCol w:w="5467"/>
        <w:gridCol w:w="2921"/>
      </w:tblGrid>
      <w:tr>
        <w:trPr>
          <w:trHeight w:val="323" w:hRule="exact"/>
        </w:trPr>
        <w:tc>
          <w:tcPr>
            <w:tcW w:w="5467"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tabs>
                <w:tab w:pos="631" w:val="left" w:leader="none"/>
              </w:tabs>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921"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tabs>
                <w:tab w:pos="419" w:val="left" w:leader="none"/>
              </w:tabs>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r>
      <w:tr>
        <w:trPr>
          <w:trHeight w:val="323" w:hRule="exact"/>
        </w:trPr>
        <w:tc>
          <w:tcPr>
            <w:tcW w:w="5467"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9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195,859,673.00</w:t>
            </w:r>
          </w:p>
        </w:tc>
      </w:tr>
      <w:tr>
        <w:trPr>
          <w:trHeight w:val="322" w:hRule="exact"/>
        </w:trPr>
        <w:tc>
          <w:tcPr>
            <w:tcW w:w="5467"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9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207,651,277.11</w:t>
            </w:r>
          </w:p>
        </w:tc>
      </w:tr>
      <w:tr>
        <w:trPr>
          <w:trHeight w:val="322" w:hRule="exact"/>
        </w:trPr>
        <w:tc>
          <w:tcPr>
            <w:tcW w:w="5467"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9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85,187,634.00</w:t>
            </w:r>
          </w:p>
        </w:tc>
      </w:tr>
      <w:tr>
        <w:trPr>
          <w:trHeight w:val="322" w:hRule="exact"/>
        </w:trPr>
        <w:tc>
          <w:tcPr>
            <w:tcW w:w="5467"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9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-23,825,324.55</w:t>
            </w:r>
          </w:p>
        </w:tc>
      </w:tr>
      <w:tr>
        <w:trPr>
          <w:trHeight w:val="322" w:hRule="exact"/>
        </w:trPr>
        <w:tc>
          <w:tcPr>
            <w:tcW w:w="5467"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9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516,512,887.67</w:t>
            </w:r>
          </w:p>
        </w:tc>
      </w:tr>
    </w:tbl>
    <w:p>
      <w:pPr>
        <w:spacing w:line="240" w:lineRule="auto" w:before="7"/>
        <w:rPr>
          <w:rFonts w:ascii="宋体" w:hAnsi="宋体" w:cs="宋体" w:eastAsia="宋体" w:hint="default"/>
          <w:sz w:val="20"/>
          <w:szCs w:val="20"/>
        </w:rPr>
      </w:pPr>
    </w:p>
    <w:p>
      <w:pPr>
        <w:tabs>
          <w:tab w:pos="6914" w:val="left" w:leader="none"/>
        </w:tabs>
        <w:spacing w:before="0"/>
        <w:ind w:left="511" w:right="0" w:firstLine="0"/>
        <w:jc w:val="left"/>
        <w:rPr>
          <w:rFonts w:ascii="宋体" w:hAnsi="宋体" w:cs="宋体" w:eastAsia="宋体" w:hint="default"/>
          <w:sz w:val="21"/>
          <w:szCs w:val="21"/>
        </w:rPr>
      </w:pPr>
      <w:r>
        <w:rPr>
          <w:rFonts w:ascii="宋体" w:hAnsi="宋体" w:cs="宋体" w:eastAsia="宋体" w:hint="default"/>
          <w:spacing w:val="-2"/>
          <w:sz w:val="21"/>
          <w:szCs w:val="21"/>
        </w:rPr>
        <w:t>注：扣除的非经常性损益项目及金额如下：</w:t>
        <w:tab/>
      </w:r>
      <w:r>
        <w:rPr>
          <w:rFonts w:ascii="宋体" w:hAnsi="宋体" w:cs="宋体" w:eastAsia="宋体" w:hint="default"/>
          <w:spacing w:val="11"/>
          <w:sz w:val="21"/>
          <w:szCs w:val="21"/>
        </w:rPr>
        <w:t>（单位：人民币元）</w:t>
      </w:r>
    </w:p>
    <w:p>
      <w:pPr>
        <w:spacing w:line="240" w:lineRule="auto" w:before="10"/>
        <w:rPr>
          <w:rFonts w:ascii="宋体" w:hAnsi="宋体" w:cs="宋体" w:eastAsia="宋体" w:hint="default"/>
          <w:sz w:val="3"/>
          <w:szCs w:val="3"/>
        </w:rPr>
      </w:pPr>
    </w:p>
    <w:tbl>
      <w:tblPr>
        <w:tblW w:w="0" w:type="auto"/>
        <w:jc w:val="left"/>
        <w:tblInd w:w="475" w:type="dxa"/>
        <w:tblLayout w:type="fixed"/>
        <w:tblCellMar>
          <w:top w:w="0" w:type="dxa"/>
          <w:left w:w="0" w:type="dxa"/>
          <w:bottom w:w="0" w:type="dxa"/>
          <w:right w:w="0" w:type="dxa"/>
        </w:tblCellMar>
        <w:tblLook w:val="01E0"/>
      </w:tblPr>
      <w:tblGrid>
        <w:gridCol w:w="425"/>
        <w:gridCol w:w="5866"/>
        <w:gridCol w:w="2170"/>
      </w:tblGrid>
      <w:tr>
        <w:trPr>
          <w:trHeight w:val="461"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tabs>
                <w:tab w:pos="633" w:val="left" w:leader="none"/>
              </w:tabs>
              <w:spacing w:line="353"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170"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tabs>
                <w:tab w:pos="419" w:val="left" w:leader="none"/>
              </w:tabs>
              <w:spacing w:line="35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r>
      <w:tr>
        <w:trPr>
          <w:trHeight w:val="322"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34"/>
              <w:ind w:right="151"/>
              <w:jc w:val="right"/>
              <w:rPr>
                <w:rFonts w:ascii="Times New Roman" w:hAnsi="Times New Roman" w:cs="Times New Roman" w:eastAsia="Times New Roman" w:hint="default"/>
                <w:sz w:val="21"/>
                <w:szCs w:val="21"/>
              </w:rPr>
            </w:pPr>
            <w:r>
              <w:rPr>
                <w:rFonts w:ascii="Times New Roman"/>
                <w:w w:val="100"/>
                <w:sz w:val="21"/>
              </w:rPr>
              <w:t>1</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非流动资产（非股权）处置损益</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16,016,550.49</w:t>
            </w:r>
          </w:p>
        </w:tc>
      </w:tr>
      <w:tr>
        <w:trPr>
          <w:trHeight w:val="322"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36"/>
              <w:ind w:right="151"/>
              <w:jc w:val="right"/>
              <w:rPr>
                <w:rFonts w:ascii="Times New Roman" w:hAnsi="Times New Roman" w:cs="Times New Roman" w:eastAsia="Times New Roman" w:hint="default"/>
                <w:sz w:val="21"/>
                <w:szCs w:val="21"/>
              </w:rPr>
            </w:pPr>
            <w:r>
              <w:rPr>
                <w:rFonts w:ascii="Times New Roman"/>
                <w:w w:val="100"/>
                <w:sz w:val="21"/>
              </w:rPr>
              <w:t>2</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转让股权损益</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153,363,518.62</w:t>
            </w:r>
          </w:p>
        </w:tc>
      </w:tr>
      <w:tr>
        <w:trPr>
          <w:trHeight w:val="634"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w w:val="100"/>
                <w:sz w:val="21"/>
              </w:rPr>
              <w:t>3</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73" w:lineRule="auto"/>
              <w:ind w:left="105" w:right="98"/>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计入当期损益的政府补助（与企业业务密切相关，按照国家统</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一标准定额或定量享受的政府补助除外）</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47,640,713.59</w:t>
            </w:r>
          </w:p>
        </w:tc>
      </w:tr>
      <w:tr>
        <w:trPr>
          <w:trHeight w:val="323"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36"/>
              <w:ind w:right="151"/>
              <w:jc w:val="right"/>
              <w:rPr>
                <w:rFonts w:ascii="Times New Roman" w:hAnsi="Times New Roman" w:cs="Times New Roman" w:eastAsia="Times New Roman" w:hint="default"/>
                <w:sz w:val="21"/>
                <w:szCs w:val="21"/>
              </w:rPr>
            </w:pPr>
            <w:r>
              <w:rPr>
                <w:rFonts w:ascii="Times New Roman"/>
                <w:w w:val="100"/>
                <w:sz w:val="21"/>
              </w:rPr>
              <w:t>4</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2"/>
                <w:sz w:val="21"/>
              </w:rPr>
              <w:t>--</w:t>
            </w:r>
          </w:p>
        </w:tc>
      </w:tr>
      <w:tr>
        <w:trPr>
          <w:trHeight w:val="1211"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w w:val="100"/>
                <w:sz w:val="21"/>
              </w:rPr>
              <w:t>5</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1" w:lineRule="auto"/>
              <w:ind w:left="105" w:right="98"/>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除同公司正常经营业务相关的有效套期保值业务外，持有交易</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性金融资产、交易性金融负债产生的公允价值变动损益，以及</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处置交易性金融资产、交易性金融负债和可供出售金融资产取</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得的投资收益</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w:t>
            </w:r>
          </w:p>
        </w:tc>
      </w:tr>
      <w:tr>
        <w:trPr>
          <w:trHeight w:val="322"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34"/>
              <w:ind w:right="151"/>
              <w:jc w:val="right"/>
              <w:rPr>
                <w:rFonts w:ascii="Times New Roman" w:hAnsi="Times New Roman" w:cs="Times New Roman" w:eastAsia="Times New Roman" w:hint="default"/>
                <w:sz w:val="21"/>
                <w:szCs w:val="21"/>
              </w:rPr>
            </w:pPr>
            <w:r>
              <w:rPr>
                <w:rFonts w:ascii="Times New Roman"/>
                <w:w w:val="100"/>
                <w:sz w:val="21"/>
              </w:rPr>
              <w:t>6</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410"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80"/>
              <w:ind w:right="151"/>
              <w:jc w:val="right"/>
              <w:rPr>
                <w:rFonts w:ascii="Times New Roman" w:hAnsi="Times New Roman" w:cs="Times New Roman" w:eastAsia="Times New Roman" w:hint="default"/>
                <w:sz w:val="21"/>
                <w:szCs w:val="21"/>
              </w:rPr>
            </w:pPr>
            <w:r>
              <w:rPr>
                <w:rFonts w:ascii="Times New Roman"/>
                <w:w w:val="100"/>
                <w:sz w:val="21"/>
              </w:rPr>
              <w:t>7</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105"/>
              <w:jc w:val="right"/>
              <w:rPr>
                <w:rFonts w:ascii="Times New Roman" w:hAnsi="Times New Roman" w:cs="Times New Roman" w:eastAsia="Times New Roman" w:hint="default"/>
                <w:sz w:val="21"/>
                <w:szCs w:val="21"/>
              </w:rPr>
            </w:pPr>
            <w:r>
              <w:rPr>
                <w:rFonts w:ascii="Times New Roman"/>
                <w:spacing w:val="-2"/>
                <w:sz w:val="21"/>
              </w:rPr>
              <w:t>--</w:t>
            </w:r>
          </w:p>
        </w:tc>
      </w:tr>
      <w:tr>
        <w:trPr>
          <w:trHeight w:val="634"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w w:val="100"/>
                <w:sz w:val="21"/>
              </w:rPr>
              <w:t>8</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根据税收、会计等法律、法规的要求对当期损益进行一次性调</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w:t>
            </w:r>
          </w:p>
        </w:tc>
      </w:tr>
      <w:tr>
        <w:trPr>
          <w:trHeight w:val="410"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80"/>
              <w:ind w:right="151"/>
              <w:jc w:val="right"/>
              <w:rPr>
                <w:rFonts w:ascii="Times New Roman" w:hAnsi="Times New Roman" w:cs="Times New Roman" w:eastAsia="Times New Roman" w:hint="default"/>
                <w:sz w:val="21"/>
                <w:szCs w:val="21"/>
              </w:rPr>
            </w:pPr>
            <w:r>
              <w:rPr>
                <w:rFonts w:ascii="Times New Roman"/>
                <w:w w:val="100"/>
                <w:sz w:val="21"/>
              </w:rPr>
              <w:t>9</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96"/>
              <w:jc w:val="right"/>
              <w:rPr>
                <w:rFonts w:ascii="Times New Roman" w:hAnsi="Times New Roman" w:cs="Times New Roman" w:eastAsia="Times New Roman" w:hint="default"/>
                <w:sz w:val="21"/>
                <w:szCs w:val="21"/>
              </w:rPr>
            </w:pPr>
            <w:r>
              <w:rPr>
                <w:rFonts w:ascii="Times New Roman"/>
                <w:sz w:val="21"/>
              </w:rPr>
              <w:t>5,487,602.94</w:t>
            </w:r>
          </w:p>
        </w:tc>
      </w:tr>
      <w:tr>
        <w:trPr>
          <w:trHeight w:val="410"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z w:val="21"/>
              </w:rPr>
              <w:t>10</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105"/>
              <w:jc w:val="right"/>
              <w:rPr>
                <w:rFonts w:ascii="Times New Roman" w:hAnsi="Times New Roman" w:cs="Times New Roman" w:eastAsia="Times New Roman" w:hint="default"/>
                <w:sz w:val="21"/>
                <w:szCs w:val="21"/>
              </w:rPr>
            </w:pPr>
            <w:r>
              <w:rPr>
                <w:rFonts w:ascii="Times New Roman"/>
                <w:spacing w:val="-2"/>
                <w:sz w:val="21"/>
              </w:rPr>
              <w:t>--</w:t>
            </w:r>
          </w:p>
        </w:tc>
      </w:tr>
      <w:tr>
        <w:trPr>
          <w:trHeight w:val="409"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4"/>
                <w:sz w:val="21"/>
              </w:rPr>
              <w:t>11</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-30,397,337.70</w:t>
            </w:r>
          </w:p>
        </w:tc>
      </w:tr>
      <w:tr>
        <w:trPr>
          <w:trHeight w:val="409"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12</w:t>
            </w: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75"/>
              <w:ind w:left="105" w:right="0"/>
              <w:jc w:val="left"/>
              <w:rPr>
                <w:rFonts w:ascii="宋体" w:hAnsi="宋体" w:cs="宋体" w:eastAsia="宋体" w:hint="default"/>
                <w:sz w:val="21"/>
                <w:szCs w:val="21"/>
              </w:rPr>
            </w:pPr>
            <w:r>
              <w:rPr>
                <w:rFonts w:ascii="宋体" w:hAnsi="宋体" w:cs="宋体" w:eastAsia="宋体" w:hint="default"/>
                <w:sz w:val="21"/>
                <w:szCs w:val="21"/>
              </w:rPr>
              <w:t>少数股东损益影响额（税后）</w:t>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8"/>
              <w:ind w:right="96"/>
              <w:jc w:val="right"/>
              <w:rPr>
                <w:rFonts w:ascii="Times New Roman" w:hAnsi="Times New Roman" w:cs="Times New Roman" w:eastAsia="Times New Roman" w:hint="default"/>
                <w:sz w:val="21"/>
                <w:szCs w:val="21"/>
              </w:rPr>
            </w:pPr>
            <w:r>
              <w:rPr>
                <w:rFonts w:ascii="Times New Roman"/>
                <w:spacing w:val="-1"/>
                <w:sz w:val="21"/>
              </w:rPr>
              <w:t>-18,098,089.39</w:t>
            </w:r>
          </w:p>
        </w:tc>
      </w:tr>
      <w:tr>
        <w:trPr>
          <w:trHeight w:val="322" w:hRule="exact"/>
        </w:trPr>
        <w:tc>
          <w:tcPr>
            <w:tcW w:w="425" w:type="dxa"/>
            <w:tcBorders>
              <w:top w:val="single" w:sz="4" w:space="0" w:color="000008"/>
              <w:left w:val="single" w:sz="4" w:space="0" w:color="000008"/>
              <w:bottom w:val="single" w:sz="4" w:space="0" w:color="000008"/>
              <w:right w:val="single" w:sz="4" w:space="0" w:color="000008"/>
            </w:tcBorders>
            <w:shd w:val="clear" w:color="auto" w:fill="E6E6E6"/>
          </w:tcPr>
          <w:p>
            <w:pPr/>
          </w:p>
        </w:tc>
        <w:tc>
          <w:tcPr>
            <w:tcW w:w="5866"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86"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87"/>
              <w:jc w:val="right"/>
              <w:rPr>
                <w:rFonts w:ascii="Times New Roman" w:hAnsi="Times New Roman" w:cs="Times New Roman" w:eastAsia="Times New Roman" w:hint="default"/>
                <w:sz w:val="21"/>
                <w:szCs w:val="21"/>
              </w:rPr>
            </w:pPr>
            <w:r>
              <w:rPr>
                <w:rFonts w:ascii="Times New Roman"/>
                <w:b/>
                <w:sz w:val="21"/>
              </w:rPr>
              <w:t>109,012,958.55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Heading5"/>
        <w:spacing w:line="268" w:lineRule="auto"/>
        <w:ind w:right="304" w:firstLine="2"/>
        <w:jc w:val="left"/>
        <w:rPr>
          <w:b w:val="0"/>
          <w:bCs w:val="0"/>
        </w:rPr>
      </w:pPr>
      <w:bookmarkStart w:name="第二节截至报告期末公司近三年主要会计数据和财务指标" w:id="2"/>
      <w:bookmarkEnd w:id="2"/>
      <w:r>
        <w:rPr>
          <w:b w:val="0"/>
          <w:bCs w:val="0"/>
        </w:rPr>
      </w:r>
      <w:r>
        <w:rPr/>
        <w:t>第二节</w:t>
      </w:r>
      <w:r>
        <w:rPr>
          <w:spacing w:val="20"/>
        </w:rPr>
        <w:t> </w:t>
      </w:r>
      <w:r>
        <w:rPr/>
        <w:t>截至报告期末公司近三年主要会计数据和财务指标</w:t>
      </w:r>
      <w:r>
        <w:rPr/>
        <w:t> </w:t>
      </w:r>
      <w:bookmarkStart w:name="一、主要会计数据" w:id="3"/>
      <w:bookmarkEnd w:id="3"/>
      <w:r>
        <w:rPr/>
        <w:t>一</w:t>
      </w:r>
      <w:r>
        <w:rPr/>
        <w:t>、主要会计数据</w:t>
      </w:r>
      <w:r>
        <w:rPr>
          <w:b w:val="0"/>
          <w:bCs w:val="0"/>
        </w:rPr>
      </w:r>
    </w:p>
    <w:p>
      <w:pPr>
        <w:spacing w:after="0" w:line="268" w:lineRule="auto"/>
        <w:jc w:val="left"/>
        <w:sectPr>
          <w:pgSz w:w="11910" w:h="16840"/>
          <w:pgMar w:header="0" w:footer="1095" w:top="1180" w:bottom="1280" w:left="1680" w:right="1160"/>
        </w:sectPr>
      </w:pPr>
    </w:p>
    <w:p>
      <w:pPr>
        <w:spacing w:before="19"/>
        <w:ind w:left="540" w:right="0" w:firstLine="6465"/>
        <w:jc w:val="lef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759"/>
        <w:gridCol w:w="1620"/>
        <w:gridCol w:w="1620"/>
        <w:gridCol w:w="1620"/>
        <w:gridCol w:w="1080"/>
        <w:gridCol w:w="1630"/>
      </w:tblGrid>
      <w:tr>
        <w:trPr>
          <w:trHeight w:val="936" w:hRule="exact"/>
        </w:trPr>
        <w:tc>
          <w:tcPr>
            <w:tcW w:w="1759" w:type="dxa"/>
            <w:vMerge w:val="restart"/>
            <w:tcBorders>
              <w:top w:val="single" w:sz="4" w:space="0" w:color="000008"/>
              <w:left w:val="single" w:sz="4" w:space="0" w:color="000008"/>
              <w:right w:val="single" w:sz="4" w:space="0" w:color="000008"/>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031" w:val="left" w:leader="none"/>
              </w:tabs>
              <w:spacing w:line="240" w:lineRule="auto" w:before="175"/>
              <w:ind w:left="5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620" w:type="dxa"/>
            <w:vMerge w:val="restart"/>
            <w:tcBorders>
              <w:top w:val="single" w:sz="4" w:space="0" w:color="000008"/>
              <w:left w:val="single" w:sz="4" w:space="0" w:color="000008"/>
              <w:right w:val="single" w:sz="4" w:space="0" w:color="000008"/>
            </w:tcBorders>
            <w:shd w:val="clear" w:color="auto" w:fill="E6E6E6"/>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40" w:lineRule="auto"/>
              <w:ind w:left="469"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7"/>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3240" w:type="dxa"/>
            <w:gridSpan w:val="2"/>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7"/>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080" w:type="dxa"/>
            <w:vMerge w:val="restart"/>
            <w:tcBorders>
              <w:top w:val="single" w:sz="4" w:space="0" w:color="000008"/>
              <w:left w:val="single" w:sz="4" w:space="0" w:color="000008"/>
              <w:right w:val="single" w:sz="4" w:space="0" w:color="000008"/>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2" w:lineRule="exact"/>
              <w:ind w:left="60" w:right="-29" w:firstLine="52"/>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本年比上</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年调整后</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Microsoft JhengHei" w:hAnsi="Microsoft JhengHei" w:cs="Microsoft JhengHei" w:eastAsia="Microsoft JhengHei" w:hint="default"/>
                <w:b/>
                <w:bCs/>
                <w:w w:val="90"/>
                <w:sz w:val="21"/>
                <w:szCs w:val="21"/>
              </w:rPr>
              <w:t>增</w:t>
            </w:r>
            <w:r>
              <w:rPr>
                <w:rFonts w:ascii="Microsoft JhengHei" w:hAnsi="Microsoft JhengHei" w:cs="Microsoft JhengHei" w:eastAsia="Microsoft JhengHei" w:hint="default"/>
                <w:b/>
                <w:bCs/>
                <w:spacing w:val="-24"/>
                <w:w w:val="90"/>
                <w:sz w:val="21"/>
                <w:szCs w:val="21"/>
              </w:rPr>
              <w:t> </w:t>
            </w:r>
            <w:r>
              <w:rPr>
                <w:rFonts w:ascii="Microsoft JhengHei" w:hAnsi="Microsoft JhengHei" w:cs="Microsoft JhengHei" w:eastAsia="Microsoft JhengHei" w:hint="default"/>
                <w:b/>
                <w:bCs/>
                <w:spacing w:val="17"/>
                <w:w w:val="90"/>
                <w:sz w:val="21"/>
                <w:szCs w:val="21"/>
              </w:rPr>
              <w:t>减（％）</w:t>
            </w:r>
            <w:r>
              <w:rPr>
                <w:rFonts w:ascii="Microsoft JhengHei" w:hAnsi="Microsoft JhengHei" w:cs="Microsoft JhengHei" w:eastAsia="Microsoft JhengHei" w:hint="default"/>
                <w:spacing w:val="17"/>
                <w:sz w:val="21"/>
                <w:szCs w:val="21"/>
              </w:rPr>
            </w:r>
          </w:p>
        </w:tc>
        <w:tc>
          <w:tcPr>
            <w:tcW w:w="1630" w:type="dxa"/>
            <w:vMerge w:val="restart"/>
            <w:tcBorders>
              <w:top w:val="single" w:sz="4" w:space="0" w:color="000008"/>
              <w:left w:val="single" w:sz="4" w:space="0" w:color="000008"/>
              <w:right w:val="single" w:sz="4" w:space="0" w:color="000008"/>
            </w:tcBorders>
            <w:shd w:val="clear" w:color="auto" w:fill="E6E6E6"/>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40" w:lineRule="auto"/>
              <w:ind w:left="47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7"/>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934" w:hRule="exact"/>
        </w:trPr>
        <w:tc>
          <w:tcPr>
            <w:tcW w:w="1759" w:type="dxa"/>
            <w:vMerge/>
            <w:tcBorders>
              <w:left w:val="single" w:sz="4" w:space="0" w:color="000008"/>
              <w:bottom w:val="single" w:sz="4" w:space="0" w:color="000008"/>
              <w:right w:val="single" w:sz="4" w:space="0" w:color="000008"/>
            </w:tcBorders>
            <w:shd w:val="clear" w:color="auto" w:fill="E6E6E6"/>
          </w:tcPr>
          <w:p>
            <w:pPr/>
          </w:p>
        </w:tc>
        <w:tc>
          <w:tcPr>
            <w:tcW w:w="1620" w:type="dxa"/>
            <w:vMerge/>
            <w:tcBorders>
              <w:left w:val="single" w:sz="4" w:space="0" w:color="000008"/>
              <w:bottom w:val="single" w:sz="4" w:space="0" w:color="000008"/>
              <w:right w:val="single" w:sz="4" w:space="0" w:color="000008"/>
            </w:tcBorders>
            <w:shd w:val="clear" w:color="auto" w:fill="E6E6E6"/>
          </w:tcPr>
          <w:p>
            <w:pPr/>
          </w:p>
        </w:tc>
        <w:tc>
          <w:tcPr>
            <w:tcW w:w="1620"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620"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080" w:type="dxa"/>
            <w:vMerge/>
            <w:tcBorders>
              <w:left w:val="single" w:sz="4" w:space="0" w:color="000008"/>
              <w:bottom w:val="single" w:sz="4" w:space="0" w:color="000008"/>
              <w:right w:val="single" w:sz="4" w:space="0" w:color="000008"/>
            </w:tcBorders>
            <w:shd w:val="clear" w:color="auto" w:fill="E6E6E6"/>
          </w:tcPr>
          <w:p>
            <w:pPr/>
          </w:p>
        </w:tc>
        <w:tc>
          <w:tcPr>
            <w:tcW w:w="1630" w:type="dxa"/>
            <w:vMerge/>
            <w:tcBorders>
              <w:left w:val="single" w:sz="4" w:space="0" w:color="000008"/>
              <w:bottom w:val="single" w:sz="4" w:space="0" w:color="000008"/>
              <w:right w:val="single" w:sz="4" w:space="0" w:color="000008"/>
            </w:tcBorders>
            <w:shd w:val="clear" w:color="auto" w:fill="E6E6E6"/>
          </w:tcPr>
          <w:p>
            <w:pPr/>
          </w:p>
        </w:tc>
      </w:tr>
      <w:tr>
        <w:trPr>
          <w:trHeight w:val="480" w:hRule="exact"/>
        </w:trPr>
        <w:tc>
          <w:tcPr>
            <w:tcW w:w="1759"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20"/>
                <w:szCs w:val="20"/>
              </w:rPr>
            </w:pPr>
            <w:r>
              <w:rPr>
                <w:rFonts w:ascii="Times New Roman"/>
                <w:w w:val="95"/>
                <w:sz w:val="20"/>
              </w:rPr>
              <w:t>1,245,954,899.83</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8"/>
              <w:jc w:val="right"/>
              <w:rPr>
                <w:rFonts w:ascii="Times New Roman" w:hAnsi="Times New Roman" w:cs="Times New Roman" w:eastAsia="Times New Roman" w:hint="default"/>
                <w:sz w:val="20"/>
                <w:szCs w:val="20"/>
              </w:rPr>
            </w:pPr>
            <w:r>
              <w:rPr>
                <w:rFonts w:ascii="Times New Roman"/>
                <w:w w:val="95"/>
                <w:sz w:val="20"/>
              </w:rPr>
              <w:t>1,231,895,952.77</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20"/>
                <w:szCs w:val="20"/>
              </w:rPr>
            </w:pPr>
            <w:r>
              <w:rPr>
                <w:rFonts w:ascii="Times New Roman"/>
                <w:w w:val="95"/>
                <w:sz w:val="20"/>
              </w:rPr>
              <w:t>1,279,996,696.42</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20"/>
                <w:szCs w:val="20"/>
              </w:rPr>
            </w:pPr>
            <w:r>
              <w:rPr>
                <w:rFonts w:ascii="Times New Roman"/>
                <w:w w:val="95"/>
                <w:sz w:val="20"/>
              </w:rPr>
              <w:t>1.14</w:t>
            </w:r>
            <w:r>
              <w:rPr>
                <w:rFonts w:ascii="Times New Roman"/>
                <w:sz w:val="20"/>
              </w:rPr>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4"/>
              <w:jc w:val="right"/>
              <w:rPr>
                <w:rFonts w:ascii="Times New Roman" w:hAnsi="Times New Roman" w:cs="Times New Roman" w:eastAsia="Times New Roman" w:hint="default"/>
                <w:sz w:val="21"/>
                <w:szCs w:val="21"/>
              </w:rPr>
            </w:pPr>
            <w:r>
              <w:rPr>
                <w:rFonts w:ascii="Times New Roman"/>
                <w:sz w:val="21"/>
              </w:rPr>
              <w:t>1,425,696,551.06</w:t>
            </w:r>
          </w:p>
        </w:tc>
      </w:tr>
      <w:tr>
        <w:trPr>
          <w:trHeight w:val="478" w:hRule="exact"/>
        </w:trPr>
        <w:tc>
          <w:tcPr>
            <w:tcW w:w="1759"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8"/>
              <w:jc w:val="right"/>
              <w:rPr>
                <w:rFonts w:ascii="Times New Roman" w:hAnsi="Times New Roman" w:cs="Times New Roman" w:eastAsia="Times New Roman" w:hint="default"/>
                <w:sz w:val="20"/>
                <w:szCs w:val="20"/>
              </w:rPr>
            </w:pPr>
            <w:r>
              <w:rPr>
                <w:rFonts w:ascii="Times New Roman"/>
                <w:spacing w:val="-1"/>
                <w:sz w:val="20"/>
              </w:rPr>
              <w:t>207,651,277.11</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20"/>
              <w:jc w:val="right"/>
              <w:rPr>
                <w:rFonts w:ascii="Times New Roman" w:hAnsi="Times New Roman" w:cs="Times New Roman" w:eastAsia="Times New Roman" w:hint="default"/>
                <w:sz w:val="20"/>
                <w:szCs w:val="20"/>
              </w:rPr>
            </w:pPr>
            <w:r>
              <w:rPr>
                <w:rFonts w:ascii="Times New Roman"/>
                <w:w w:val="95"/>
                <w:sz w:val="20"/>
              </w:rPr>
              <w:t>137,633,732.32</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65" w:right="0"/>
              <w:jc w:val="left"/>
              <w:rPr>
                <w:rFonts w:ascii="Times New Roman" w:hAnsi="Times New Roman" w:cs="Times New Roman" w:eastAsia="Times New Roman" w:hint="default"/>
                <w:sz w:val="21"/>
                <w:szCs w:val="21"/>
              </w:rPr>
            </w:pPr>
            <w:r>
              <w:rPr>
                <w:rFonts w:ascii="Times New Roman"/>
                <w:sz w:val="21"/>
              </w:rPr>
              <w:t>137,633,732.32</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9"/>
              <w:jc w:val="right"/>
              <w:rPr>
                <w:rFonts w:ascii="Times New Roman" w:hAnsi="Times New Roman" w:cs="Times New Roman" w:eastAsia="Times New Roman" w:hint="default"/>
                <w:sz w:val="22"/>
                <w:szCs w:val="22"/>
              </w:rPr>
            </w:pPr>
            <w:r>
              <w:rPr>
                <w:rFonts w:ascii="Times New Roman"/>
                <w:sz w:val="22"/>
              </w:rPr>
              <w:t>50.87</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14"/>
              <w:jc w:val="right"/>
              <w:rPr>
                <w:rFonts w:ascii="Times New Roman" w:hAnsi="Times New Roman" w:cs="Times New Roman" w:eastAsia="Times New Roman" w:hint="default"/>
                <w:sz w:val="21"/>
                <w:szCs w:val="21"/>
              </w:rPr>
            </w:pPr>
            <w:r>
              <w:rPr>
                <w:rFonts w:ascii="Times New Roman"/>
                <w:sz w:val="21"/>
              </w:rPr>
              <w:t>298,547,299.66</w:t>
            </w:r>
          </w:p>
        </w:tc>
      </w:tr>
      <w:tr>
        <w:trPr>
          <w:trHeight w:val="946" w:hRule="exact"/>
        </w:trPr>
        <w:tc>
          <w:tcPr>
            <w:tcW w:w="1759"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408" w:lineRule="auto" w:before="64"/>
              <w:ind w:left="24" w:right="29"/>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东的净利润</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2"/>
                <w:szCs w:val="22"/>
              </w:rPr>
            </w:pPr>
            <w:r>
              <w:rPr>
                <w:rFonts w:ascii="Times New Roman"/>
                <w:sz w:val="22"/>
              </w:rPr>
              <w:t>85,187,634.00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2"/>
                <w:szCs w:val="22"/>
              </w:rPr>
            </w:pPr>
            <w:r>
              <w:rPr>
                <w:rFonts w:ascii="Times New Roman"/>
                <w:sz w:val="22"/>
              </w:rPr>
              <w:t>53,067,901.84</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53,067,901.84</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2"/>
                <w:szCs w:val="22"/>
              </w:rPr>
            </w:pPr>
            <w:r>
              <w:rPr>
                <w:rFonts w:ascii="Times New Roman"/>
                <w:sz w:val="22"/>
              </w:rPr>
              <w:t>60.53</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170,669,294.87</w:t>
            </w:r>
          </w:p>
        </w:tc>
      </w:tr>
      <w:tr>
        <w:trPr>
          <w:trHeight w:val="1414" w:hRule="exact"/>
        </w:trPr>
        <w:tc>
          <w:tcPr>
            <w:tcW w:w="1759"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408" w:lineRule="auto" w:before="64"/>
              <w:ind w:left="24" w:right="29"/>
              <w:jc w:val="both"/>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东的扣除非经常性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损益的净利润</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-23,825,324.55</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-15,449,448.13</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-15,449,448.13</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-54.21</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13,209,329.56</w:t>
            </w:r>
          </w:p>
        </w:tc>
      </w:tr>
      <w:tr>
        <w:trPr>
          <w:trHeight w:val="946" w:hRule="exact"/>
        </w:trPr>
        <w:tc>
          <w:tcPr>
            <w:tcW w:w="1759"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408" w:lineRule="auto" w:before="66"/>
              <w:ind w:left="24" w:right="29"/>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金流量净额</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2"/>
                <w:szCs w:val="22"/>
              </w:rPr>
            </w:pPr>
            <w:r>
              <w:rPr>
                <w:rFonts w:ascii="Times New Roman"/>
                <w:spacing w:val="-1"/>
                <w:sz w:val="22"/>
              </w:rPr>
              <w:t>516,512,887.67</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22"/>
                <w:szCs w:val="22"/>
              </w:rPr>
            </w:pPr>
            <w:r>
              <w:rPr>
                <w:rFonts w:ascii="Times New Roman"/>
                <w:sz w:val="22"/>
              </w:rPr>
              <w:t>278,828,607.03</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278,828,607.03</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2"/>
                <w:szCs w:val="22"/>
              </w:rPr>
            </w:pPr>
            <w:r>
              <w:rPr>
                <w:rFonts w:ascii="Times New Roman"/>
                <w:sz w:val="22"/>
              </w:rPr>
              <w:t>85.24</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705,958,271.99</w:t>
            </w:r>
          </w:p>
        </w:tc>
      </w:tr>
      <w:tr>
        <w:trPr>
          <w:trHeight w:val="941" w:hRule="exact"/>
        </w:trPr>
        <w:tc>
          <w:tcPr>
            <w:tcW w:w="1759"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10"/>
              <w:ind w:right="0"/>
              <w:jc w:val="left"/>
              <w:rPr>
                <w:rFonts w:ascii="宋体" w:hAnsi="宋体" w:cs="宋体" w:eastAsia="宋体" w:hint="default"/>
                <w:sz w:val="17"/>
                <w:szCs w:val="17"/>
              </w:rPr>
            </w:pPr>
          </w:p>
          <w:p>
            <w:pPr>
              <w:pStyle w:val="TableParagraph"/>
              <w:tabs>
                <w:tab w:pos="969" w:val="left" w:leader="none"/>
              </w:tabs>
              <w:spacing w:line="240" w:lineRule="auto"/>
              <w:ind w:left="4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620"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3240" w:type="dxa"/>
            <w:gridSpan w:val="2"/>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080"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59" w:lineRule="exact"/>
              <w:ind w:left="1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本年末比</w:t>
            </w:r>
            <w:r>
              <w:rPr>
                <w:rFonts w:ascii="Microsoft JhengHei" w:hAnsi="Microsoft JhengHei" w:cs="Microsoft JhengHei" w:eastAsia="Microsoft JhengHei" w:hint="default"/>
                <w:sz w:val="21"/>
                <w:szCs w:val="21"/>
              </w:rPr>
            </w:r>
          </w:p>
          <w:p>
            <w:pPr>
              <w:pStyle w:val="TableParagraph"/>
              <w:spacing w:line="312" w:lineRule="exact" w:before="35"/>
              <w:ind w:left="112" w:right="10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上年末增</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Microsoft JhengHei" w:hAnsi="Microsoft JhengHei" w:cs="Microsoft JhengHei" w:eastAsia="Microsoft JhengHei" w:hint="default"/>
                <w:b/>
                <w:bCs/>
                <w:sz w:val="21"/>
                <w:szCs w:val="21"/>
              </w:rPr>
              <w:t>减（％）</w:t>
            </w:r>
            <w:r>
              <w:rPr>
                <w:rFonts w:ascii="Microsoft JhengHei" w:hAnsi="Microsoft JhengHei" w:cs="Microsoft JhengHei" w:eastAsia="Microsoft JhengHei" w:hint="default"/>
                <w:sz w:val="21"/>
                <w:szCs w:val="21"/>
              </w:rPr>
            </w:r>
          </w:p>
        </w:tc>
        <w:tc>
          <w:tcPr>
            <w:tcW w:w="1630"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r>
      <w:tr>
        <w:trPr>
          <w:trHeight w:val="329" w:hRule="exact"/>
        </w:trPr>
        <w:tc>
          <w:tcPr>
            <w:tcW w:w="1759"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19"/>
              <w:jc w:val="right"/>
              <w:rPr>
                <w:rFonts w:ascii="Times New Roman" w:hAnsi="Times New Roman" w:cs="Times New Roman" w:eastAsia="Times New Roman" w:hint="default"/>
                <w:sz w:val="22"/>
                <w:szCs w:val="22"/>
              </w:rPr>
            </w:pPr>
            <w:r>
              <w:rPr>
                <w:rFonts w:ascii="Times New Roman"/>
                <w:spacing w:val="-1"/>
                <w:sz w:val="22"/>
              </w:rPr>
              <w:t>7,011,003,579.40</w:t>
            </w:r>
          </w:p>
        </w:tc>
        <w:tc>
          <w:tcPr>
            <w:tcW w:w="324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left="1668" w:right="0"/>
              <w:jc w:val="left"/>
              <w:rPr>
                <w:rFonts w:ascii="Times New Roman" w:hAnsi="Times New Roman" w:cs="Times New Roman" w:eastAsia="Times New Roman" w:hint="default"/>
                <w:sz w:val="22"/>
                <w:szCs w:val="22"/>
              </w:rPr>
            </w:pPr>
            <w:r>
              <w:rPr>
                <w:rFonts w:ascii="Times New Roman"/>
                <w:sz w:val="22"/>
              </w:rPr>
              <w:t>6,154,610,506.52</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19"/>
              <w:jc w:val="right"/>
              <w:rPr>
                <w:rFonts w:ascii="Times New Roman" w:hAnsi="Times New Roman" w:cs="Times New Roman" w:eastAsia="Times New Roman" w:hint="default"/>
                <w:sz w:val="22"/>
                <w:szCs w:val="22"/>
              </w:rPr>
            </w:pPr>
            <w:r>
              <w:rPr>
                <w:rFonts w:ascii="Times New Roman"/>
                <w:sz w:val="22"/>
              </w:rPr>
              <w:t>13.91</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4"/>
              <w:jc w:val="right"/>
              <w:rPr>
                <w:rFonts w:ascii="Times New Roman" w:hAnsi="Times New Roman" w:cs="Times New Roman" w:eastAsia="Times New Roman" w:hint="default"/>
                <w:sz w:val="21"/>
                <w:szCs w:val="21"/>
              </w:rPr>
            </w:pPr>
            <w:r>
              <w:rPr>
                <w:rFonts w:ascii="Times New Roman"/>
                <w:sz w:val="21"/>
              </w:rPr>
              <w:t>5,303,216,398.75</w:t>
            </w:r>
          </w:p>
        </w:tc>
      </w:tr>
      <w:tr>
        <w:trPr>
          <w:trHeight w:val="634" w:hRule="exact"/>
        </w:trPr>
        <w:tc>
          <w:tcPr>
            <w:tcW w:w="1759"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归属上市公司股东</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的所有者权益</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3"/>
              <w:ind w:right="14"/>
              <w:jc w:val="right"/>
              <w:rPr>
                <w:rFonts w:ascii="Times New Roman" w:hAnsi="Times New Roman" w:cs="Times New Roman" w:eastAsia="Times New Roman" w:hint="default"/>
                <w:sz w:val="22"/>
                <w:szCs w:val="22"/>
              </w:rPr>
            </w:pPr>
            <w:r>
              <w:rPr>
                <w:rFonts w:ascii="Times New Roman"/>
                <w:sz w:val="22"/>
              </w:rPr>
              <w:t>2,884,987,816.73</w:t>
            </w:r>
          </w:p>
        </w:tc>
        <w:tc>
          <w:tcPr>
            <w:tcW w:w="324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83"/>
              <w:ind w:left="1668" w:right="0"/>
              <w:jc w:val="left"/>
              <w:rPr>
                <w:rFonts w:ascii="Times New Roman" w:hAnsi="Times New Roman" w:cs="Times New Roman" w:eastAsia="Times New Roman" w:hint="default"/>
                <w:sz w:val="22"/>
                <w:szCs w:val="22"/>
              </w:rPr>
            </w:pPr>
            <w:r>
              <w:rPr>
                <w:rFonts w:ascii="Times New Roman"/>
                <w:sz w:val="22"/>
              </w:rPr>
              <w:t>2,842,045,370.23</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3"/>
              <w:ind w:right="19"/>
              <w:jc w:val="right"/>
              <w:rPr>
                <w:rFonts w:ascii="Times New Roman" w:hAnsi="Times New Roman" w:cs="Times New Roman" w:eastAsia="Times New Roman" w:hint="default"/>
                <w:sz w:val="22"/>
                <w:szCs w:val="22"/>
              </w:rPr>
            </w:pPr>
            <w:r>
              <w:rPr>
                <w:rFonts w:ascii="Times New Roman"/>
                <w:sz w:val="22"/>
              </w:rPr>
              <w:t>1.51</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1,670,168,836.71</w:t>
            </w:r>
          </w:p>
        </w:tc>
      </w:tr>
    </w:tbl>
    <w:p>
      <w:pPr>
        <w:spacing w:before="13"/>
        <w:ind w:left="540" w:right="0" w:firstLine="0"/>
        <w:jc w:val="left"/>
        <w:rPr>
          <w:rFonts w:ascii="宋体" w:hAnsi="宋体" w:cs="宋体" w:eastAsia="宋体" w:hint="default"/>
          <w:sz w:val="18"/>
          <w:szCs w:val="18"/>
        </w:rPr>
      </w:pPr>
      <w:r>
        <w:rPr>
          <w:rFonts w:ascii="宋体" w:hAnsi="宋体" w:cs="宋体" w:eastAsia="宋体" w:hint="default"/>
          <w:sz w:val="18"/>
          <w:szCs w:val="18"/>
        </w:rPr>
        <w:t>注：1.对 2008</w:t>
      </w:r>
      <w:r>
        <w:rPr>
          <w:rFonts w:ascii="宋体" w:hAnsi="宋体" w:cs="宋体" w:eastAsia="宋体" w:hint="default"/>
          <w:spacing w:val="-10"/>
          <w:sz w:val="18"/>
          <w:szCs w:val="18"/>
        </w:rPr>
        <w:t> </w:t>
      </w:r>
      <w:r>
        <w:rPr>
          <w:rFonts w:ascii="宋体" w:hAnsi="宋体" w:cs="宋体" w:eastAsia="宋体" w:hint="default"/>
          <w:sz w:val="18"/>
          <w:szCs w:val="18"/>
        </w:rPr>
        <w:t>年营业收入的调整系公司孙公司云南鲲鹏食糖配送公司根据业务实质采用净额法确认收入所</w:t>
      </w:r>
    </w:p>
    <w:p>
      <w:pPr>
        <w:spacing w:line="316" w:lineRule="auto" w:before="76"/>
        <w:ind w:left="540" w:right="0" w:firstLine="0"/>
        <w:jc w:val="left"/>
        <w:rPr>
          <w:rFonts w:ascii="宋体" w:hAnsi="宋体" w:cs="宋体" w:eastAsia="宋体" w:hint="default"/>
          <w:sz w:val="18"/>
          <w:szCs w:val="18"/>
        </w:rPr>
      </w:pPr>
      <w:r>
        <w:rPr>
          <w:rFonts w:ascii="宋体" w:hAnsi="宋体" w:cs="宋体" w:eastAsia="宋体" w:hint="default"/>
          <w:spacing w:val="-3"/>
          <w:sz w:val="18"/>
          <w:szCs w:val="18"/>
        </w:rPr>
        <w:t>致，调减金额</w:t>
      </w:r>
      <w:r>
        <w:rPr>
          <w:rFonts w:ascii="宋体" w:hAnsi="宋体" w:cs="宋体" w:eastAsia="宋体" w:hint="default"/>
          <w:spacing w:val="-45"/>
          <w:sz w:val="18"/>
          <w:szCs w:val="18"/>
        </w:rPr>
        <w:t> </w:t>
      </w:r>
      <w:r>
        <w:rPr>
          <w:rFonts w:ascii="宋体" w:hAnsi="宋体" w:cs="宋体" w:eastAsia="宋体" w:hint="default"/>
          <w:sz w:val="18"/>
          <w:szCs w:val="18"/>
        </w:rPr>
        <w:t>48,100,743.65</w:t>
      </w:r>
      <w:r>
        <w:rPr>
          <w:rFonts w:ascii="宋体" w:hAnsi="宋体" w:cs="宋体" w:eastAsia="宋体" w:hint="default"/>
          <w:spacing w:val="-44"/>
          <w:sz w:val="18"/>
          <w:szCs w:val="18"/>
        </w:rPr>
        <w:t> </w:t>
      </w:r>
      <w:r>
        <w:rPr>
          <w:rFonts w:ascii="宋体" w:hAnsi="宋体" w:cs="宋体" w:eastAsia="宋体" w:hint="default"/>
          <w:spacing w:val="-4"/>
          <w:sz w:val="18"/>
          <w:szCs w:val="18"/>
        </w:rPr>
        <w:t>元，占</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pacing w:val="-3"/>
          <w:sz w:val="18"/>
          <w:szCs w:val="18"/>
        </w:rPr>
        <w:t>年度营业收入（调整前）3.76%。该调整事项不影响公司</w:t>
      </w:r>
      <w:r>
        <w:rPr>
          <w:rFonts w:ascii="宋体" w:hAnsi="宋体" w:cs="宋体" w:eastAsia="宋体" w:hint="default"/>
          <w:spacing w:val="-45"/>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年度</w:t>
      </w:r>
      <w:r>
        <w:rPr>
          <w:rFonts w:ascii="宋体" w:hAnsi="宋体" w:cs="宋体" w:eastAsia="宋体" w:hint="default"/>
          <w:sz w:val="18"/>
          <w:szCs w:val="18"/>
        </w:rPr>
        <w:t> 利润及经营活动现金流量净额。</w:t>
      </w:r>
    </w:p>
    <w:p>
      <w:pPr>
        <w:spacing w:line="316" w:lineRule="auto" w:before="19"/>
        <w:ind w:left="540" w:right="0" w:firstLine="360"/>
        <w:jc w:val="left"/>
        <w:rPr>
          <w:rFonts w:ascii="宋体" w:hAnsi="宋体" w:cs="宋体" w:eastAsia="宋体" w:hint="default"/>
          <w:sz w:val="18"/>
          <w:szCs w:val="18"/>
        </w:rPr>
      </w:pPr>
      <w:r>
        <w:rPr>
          <w:rFonts w:ascii="宋体" w:hAnsi="宋体" w:cs="宋体" w:eastAsia="宋体" w:hint="default"/>
          <w:sz w:val="18"/>
          <w:szCs w:val="18"/>
        </w:rPr>
        <w:t>2.利润总额和归属于上市公司股东的净利润同比分别增长 50.87%和</w:t>
      </w:r>
      <w:r>
        <w:rPr>
          <w:rFonts w:ascii="宋体" w:hAnsi="宋体" w:cs="宋体" w:eastAsia="宋体" w:hint="default"/>
          <w:spacing w:val="-45"/>
          <w:sz w:val="18"/>
          <w:szCs w:val="18"/>
        </w:rPr>
        <w:t> </w:t>
      </w:r>
      <w:r>
        <w:rPr>
          <w:rFonts w:ascii="宋体" w:hAnsi="宋体" w:cs="宋体" w:eastAsia="宋体" w:hint="default"/>
          <w:sz w:val="18"/>
          <w:szCs w:val="18"/>
        </w:rPr>
        <w:t>60.53%，增长的原因主要有二个方</w:t>
      </w:r>
      <w:r>
        <w:rPr>
          <w:rFonts w:ascii="宋体" w:hAnsi="宋体" w:cs="宋体" w:eastAsia="宋体" w:hint="default"/>
          <w:sz w:val="18"/>
          <w:szCs w:val="18"/>
        </w:rPr>
        <w:t> 面：（1）批发市场主业利润继续稳步增长；（2）处置金信信托等股权实现收益。</w:t>
      </w:r>
    </w:p>
    <w:p>
      <w:pPr>
        <w:spacing w:before="19"/>
        <w:ind w:left="900" w:right="0" w:firstLine="0"/>
        <w:jc w:val="left"/>
        <w:rPr>
          <w:rFonts w:ascii="宋体" w:hAnsi="宋体" w:cs="宋体" w:eastAsia="宋体" w:hint="default"/>
          <w:sz w:val="18"/>
          <w:szCs w:val="18"/>
        </w:rPr>
      </w:pPr>
      <w:r>
        <w:rPr>
          <w:rFonts w:ascii="宋体" w:hAnsi="宋体" w:cs="宋体" w:eastAsia="宋体" w:hint="default"/>
          <w:sz w:val="18"/>
          <w:szCs w:val="18"/>
        </w:rPr>
        <w:t>3.归属于上市公司股东的扣除非经常性损益的净利润为- 2,383</w:t>
      </w:r>
      <w:r>
        <w:rPr>
          <w:rFonts w:ascii="宋体" w:hAnsi="宋体" w:cs="宋体" w:eastAsia="宋体" w:hint="default"/>
          <w:spacing w:val="-15"/>
          <w:sz w:val="18"/>
          <w:szCs w:val="18"/>
        </w:rPr>
        <w:t> </w:t>
      </w:r>
      <w:r>
        <w:rPr>
          <w:rFonts w:ascii="宋体" w:hAnsi="宋体" w:cs="宋体" w:eastAsia="宋体" w:hint="default"/>
          <w:sz w:val="18"/>
          <w:szCs w:val="18"/>
        </w:rPr>
        <w:t>万元，若剔除计提民润公司应收款项坏</w:t>
      </w:r>
    </w:p>
    <w:p>
      <w:pPr>
        <w:spacing w:line="316" w:lineRule="auto" w:before="76"/>
        <w:ind w:left="900" w:right="532" w:hanging="360"/>
        <w:jc w:val="left"/>
        <w:rPr>
          <w:rFonts w:ascii="宋体" w:hAnsi="宋体" w:cs="宋体" w:eastAsia="宋体" w:hint="default"/>
          <w:sz w:val="18"/>
          <w:szCs w:val="18"/>
        </w:rPr>
      </w:pPr>
      <w:r>
        <w:rPr>
          <w:rFonts w:ascii="宋体" w:hAnsi="宋体" w:cs="宋体" w:eastAsia="宋体" w:hint="default"/>
          <w:sz w:val="18"/>
          <w:szCs w:val="18"/>
        </w:rPr>
        <w:t>账准备</w:t>
      </w:r>
      <w:r>
        <w:rPr>
          <w:rFonts w:ascii="宋体" w:hAnsi="宋体" w:cs="宋体" w:eastAsia="宋体" w:hint="default"/>
          <w:spacing w:val="-45"/>
          <w:sz w:val="18"/>
          <w:szCs w:val="18"/>
        </w:rPr>
        <w:t> </w:t>
      </w:r>
      <w:r>
        <w:rPr>
          <w:rFonts w:ascii="宋体" w:hAnsi="宋体" w:cs="宋体" w:eastAsia="宋体" w:hint="default"/>
          <w:sz w:val="18"/>
          <w:szCs w:val="18"/>
        </w:rPr>
        <w:t>7,101</w:t>
      </w:r>
      <w:r>
        <w:rPr>
          <w:rFonts w:ascii="宋体" w:hAnsi="宋体" w:cs="宋体" w:eastAsia="宋体" w:hint="default"/>
          <w:spacing w:val="-48"/>
          <w:sz w:val="18"/>
          <w:szCs w:val="18"/>
        </w:rPr>
        <w:t> </w:t>
      </w:r>
      <w:r>
        <w:rPr>
          <w:rFonts w:ascii="宋体" w:hAnsi="宋体" w:cs="宋体" w:eastAsia="宋体" w:hint="default"/>
          <w:sz w:val="18"/>
          <w:szCs w:val="18"/>
        </w:rPr>
        <w:t>万元及相应的递延所得税影响，经常性净利润为</w:t>
      </w:r>
      <w:r>
        <w:rPr>
          <w:rFonts w:ascii="宋体" w:hAnsi="宋体" w:cs="宋体" w:eastAsia="宋体" w:hint="default"/>
          <w:spacing w:val="-45"/>
          <w:sz w:val="18"/>
          <w:szCs w:val="18"/>
        </w:rPr>
        <w:t> </w:t>
      </w:r>
      <w:r>
        <w:rPr>
          <w:rFonts w:ascii="宋体" w:hAnsi="宋体" w:cs="宋体" w:eastAsia="宋体" w:hint="default"/>
          <w:sz w:val="18"/>
          <w:szCs w:val="18"/>
        </w:rPr>
        <w:t>3,156</w:t>
      </w:r>
      <w:r>
        <w:rPr>
          <w:rFonts w:ascii="宋体" w:hAnsi="宋体" w:cs="宋体" w:eastAsia="宋体" w:hint="default"/>
          <w:spacing w:val="-48"/>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r>
        <w:rPr>
          <w:rFonts w:ascii="宋体" w:hAnsi="宋体" w:cs="宋体" w:eastAsia="宋体" w:hint="default"/>
          <w:spacing w:val="-1"/>
          <w:sz w:val="18"/>
          <w:szCs w:val="18"/>
        </w:rPr>
        <w:t>4.经营活动产生的现金流量净额同比增长</w:t>
      </w:r>
      <w:r>
        <w:rPr>
          <w:rFonts w:ascii="宋体" w:hAnsi="宋体" w:cs="宋体" w:eastAsia="宋体" w:hint="default"/>
          <w:spacing w:val="-17"/>
          <w:sz w:val="18"/>
          <w:szCs w:val="18"/>
        </w:rPr>
        <w:t> </w:t>
      </w:r>
      <w:r>
        <w:rPr>
          <w:rFonts w:ascii="宋体" w:hAnsi="宋体" w:cs="宋体" w:eastAsia="宋体" w:hint="default"/>
          <w:spacing w:val="-2"/>
          <w:sz w:val="18"/>
          <w:szCs w:val="18"/>
        </w:rPr>
        <w:t>85.24%，系下属公司开展业务收取的客户押金和保证金大幅增</w:t>
      </w:r>
    </w:p>
    <w:p>
      <w:pPr>
        <w:spacing w:before="19"/>
        <w:ind w:left="540" w:right="0" w:firstLine="0"/>
        <w:jc w:val="left"/>
        <w:rPr>
          <w:rFonts w:ascii="宋体" w:hAnsi="宋体" w:cs="宋体" w:eastAsia="宋体" w:hint="default"/>
          <w:sz w:val="18"/>
          <w:szCs w:val="18"/>
        </w:rPr>
      </w:pPr>
      <w:r>
        <w:rPr>
          <w:rFonts w:ascii="宋体" w:hAnsi="宋体" w:cs="宋体" w:eastAsia="宋体" w:hint="default"/>
          <w:sz w:val="18"/>
          <w:szCs w:val="18"/>
        </w:rPr>
        <w:t>长。</w:t>
      </w:r>
    </w:p>
    <w:p>
      <w:pPr>
        <w:spacing w:line="240" w:lineRule="auto" w:before="0"/>
        <w:rPr>
          <w:rFonts w:ascii="宋体" w:hAnsi="宋体" w:cs="宋体" w:eastAsia="宋体" w:hint="default"/>
          <w:sz w:val="26"/>
          <w:szCs w:val="26"/>
        </w:rPr>
      </w:pPr>
    </w:p>
    <w:p>
      <w:pPr>
        <w:tabs>
          <w:tab w:pos="6567" w:val="left" w:leader="none"/>
        </w:tabs>
        <w:spacing w:before="0"/>
        <w:ind w:left="476" w:right="0" w:firstLine="0"/>
        <w:jc w:val="center"/>
        <w:rPr>
          <w:rFonts w:ascii="宋体" w:hAnsi="宋体" w:cs="宋体" w:eastAsia="宋体" w:hint="default"/>
          <w:sz w:val="21"/>
          <w:szCs w:val="21"/>
        </w:rPr>
      </w:pPr>
      <w:bookmarkStart w:name="二、主要财务指标（单位：人民币元）" w:id="4"/>
      <w:bookmarkEnd w:id="4"/>
      <w:r>
        <w:rPr/>
      </w:r>
      <w:r>
        <w:rPr>
          <w:rFonts w:ascii="Microsoft JhengHei" w:hAnsi="Microsoft JhengHei" w:cs="Microsoft JhengHei" w:eastAsia="Microsoft JhengHei" w:hint="default"/>
          <w:b/>
          <w:bCs/>
          <w:sz w:val="24"/>
          <w:szCs w:val="24"/>
        </w:rPr>
        <w:t>二、主要财务指标</w:t>
        <w:tab/>
      </w:r>
      <w:r>
        <w:rPr>
          <w:rFonts w:ascii="宋体" w:hAnsi="宋体" w:cs="宋体" w:eastAsia="宋体" w:hint="default"/>
          <w:w w:val="95"/>
          <w:sz w:val="21"/>
          <w:szCs w:val="21"/>
        </w:rPr>
        <w:t>（单位：人民币元</w:t>
      </w:r>
      <w:r>
        <w:rPr>
          <w:rFonts w:ascii="宋体" w:hAnsi="宋体" w:cs="宋体" w:eastAsia="宋体" w:hint="default"/>
          <w:spacing w:val="3"/>
          <w:w w:val="95"/>
          <w:sz w:val="21"/>
          <w:szCs w:val="21"/>
        </w:rPr>
        <w:t> </w:t>
      </w:r>
      <w:r>
        <w:rPr>
          <w:rFonts w:ascii="宋体" w:hAnsi="宋体" w:cs="宋体" w:eastAsia="宋体" w:hint="default"/>
          <w:w w:val="90"/>
          <w:sz w:val="21"/>
          <w:szCs w:val="21"/>
        </w:rPr>
        <w:t>）</w:t>
      </w:r>
      <w:r>
        <w:rPr>
          <w:rFonts w:ascii="宋体" w:hAnsi="宋体" w:cs="宋体" w:eastAsia="宋体" w:hint="default"/>
          <w:sz w:val="21"/>
          <w:szCs w:val="21"/>
        </w:rPr>
      </w:r>
    </w:p>
    <w:p>
      <w:pPr>
        <w:spacing w:line="240" w:lineRule="auto" w:before="7"/>
        <w:rPr>
          <w:rFonts w:ascii="宋体" w:hAnsi="宋体" w:cs="宋体" w:eastAsia="宋体" w:hint="default"/>
          <w:sz w:val="6"/>
          <w:szCs w:val="6"/>
        </w:rPr>
      </w:pPr>
    </w:p>
    <w:tbl>
      <w:tblPr>
        <w:tblW w:w="0" w:type="auto"/>
        <w:jc w:val="left"/>
        <w:tblInd w:w="604" w:type="dxa"/>
        <w:tblLayout w:type="fixed"/>
        <w:tblCellMar>
          <w:top w:w="0" w:type="dxa"/>
          <w:left w:w="0" w:type="dxa"/>
          <w:bottom w:w="0" w:type="dxa"/>
          <w:right w:w="0" w:type="dxa"/>
        </w:tblCellMar>
        <w:tblLook w:val="01E0"/>
      </w:tblPr>
      <w:tblGrid>
        <w:gridCol w:w="1781"/>
        <w:gridCol w:w="1049"/>
        <w:gridCol w:w="1003"/>
        <w:gridCol w:w="1642"/>
        <w:gridCol w:w="1642"/>
        <w:gridCol w:w="1202"/>
      </w:tblGrid>
      <w:tr>
        <w:trPr>
          <w:trHeight w:val="650" w:hRule="exact"/>
        </w:trPr>
        <w:tc>
          <w:tcPr>
            <w:tcW w:w="1781" w:type="dxa"/>
            <w:vMerge w:val="restart"/>
            <w:tcBorders>
              <w:top w:val="single" w:sz="4" w:space="0" w:color="000008"/>
              <w:left w:val="single" w:sz="4" w:space="0" w:color="000008"/>
              <w:right w:val="single" w:sz="4" w:space="0" w:color="000008"/>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tabs>
                <w:tab w:pos="1041" w:val="left" w:leader="none"/>
              </w:tabs>
              <w:spacing w:line="240" w:lineRule="auto" w:before="153"/>
              <w:ind w:left="5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049" w:type="dxa"/>
            <w:vMerge w:val="restart"/>
            <w:tcBorders>
              <w:top w:val="single" w:sz="4" w:space="0" w:color="000008"/>
              <w:left w:val="single" w:sz="4" w:space="0" w:color="000008"/>
              <w:right w:val="single" w:sz="4" w:space="0" w:color="000008"/>
            </w:tcBorders>
            <w:shd w:val="clear" w:color="auto" w:fill="E6E6E6"/>
          </w:tcPr>
          <w:p>
            <w:pPr>
              <w:pStyle w:val="TableParagraph"/>
              <w:spacing w:line="240" w:lineRule="auto" w:before="9"/>
              <w:ind w:right="0"/>
              <w:jc w:val="left"/>
              <w:rPr>
                <w:rFonts w:ascii="宋体" w:hAnsi="宋体" w:cs="宋体" w:eastAsia="宋体" w:hint="default"/>
                <w:sz w:val="31"/>
                <w:szCs w:val="31"/>
              </w:rPr>
            </w:pPr>
          </w:p>
          <w:p>
            <w:pPr>
              <w:pStyle w:val="TableParagraph"/>
              <w:spacing w:line="240" w:lineRule="auto"/>
              <w:ind w:left="186"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6"/>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645" w:type="dxa"/>
            <w:gridSpan w:val="2"/>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84"/>
              <w:ind w:left="3"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6"/>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642" w:type="dxa"/>
            <w:vMerge w:val="restart"/>
            <w:tcBorders>
              <w:top w:val="single" w:sz="4" w:space="0" w:color="000008"/>
              <w:left w:val="single" w:sz="4" w:space="0" w:color="000008"/>
              <w:right w:val="single" w:sz="4" w:space="0" w:color="000008"/>
            </w:tcBorders>
            <w:shd w:val="clear" w:color="auto" w:fill="E6E6E6"/>
          </w:tcPr>
          <w:p>
            <w:pPr>
              <w:pStyle w:val="TableParagraph"/>
              <w:spacing w:line="307" w:lineRule="auto" w:before="180"/>
              <w:ind w:left="182" w:right="71" w:hanging="10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本年比上年调整</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Microsoft JhengHei" w:hAnsi="Microsoft JhengHei" w:cs="Microsoft JhengHei" w:eastAsia="Microsoft JhengHei" w:hint="default"/>
                <w:b/>
                <w:bCs/>
                <w:sz w:val="21"/>
                <w:szCs w:val="21"/>
              </w:rPr>
              <w:t>后增减（％）</w:t>
            </w:r>
            <w:r>
              <w:rPr>
                <w:rFonts w:ascii="Microsoft JhengHei" w:hAnsi="Microsoft JhengHei" w:cs="Microsoft JhengHei" w:eastAsia="Microsoft JhengHei" w:hint="default"/>
                <w:sz w:val="21"/>
                <w:szCs w:val="21"/>
              </w:rPr>
            </w:r>
          </w:p>
        </w:tc>
        <w:tc>
          <w:tcPr>
            <w:tcW w:w="1202" w:type="dxa"/>
            <w:vMerge w:val="restart"/>
            <w:tcBorders>
              <w:top w:val="single" w:sz="4" w:space="0" w:color="000008"/>
              <w:left w:val="single" w:sz="4" w:space="0" w:color="000008"/>
              <w:right w:val="single" w:sz="4" w:space="0" w:color="000008"/>
            </w:tcBorders>
            <w:shd w:val="clear" w:color="auto" w:fill="E6E6E6"/>
          </w:tcPr>
          <w:p>
            <w:pPr>
              <w:pStyle w:val="TableParagraph"/>
              <w:spacing w:line="240" w:lineRule="auto" w:before="9"/>
              <w:ind w:right="0"/>
              <w:jc w:val="left"/>
              <w:rPr>
                <w:rFonts w:ascii="宋体" w:hAnsi="宋体" w:cs="宋体" w:eastAsia="宋体" w:hint="default"/>
                <w:sz w:val="31"/>
                <w:szCs w:val="31"/>
              </w:rPr>
            </w:pPr>
          </w:p>
          <w:p>
            <w:pPr>
              <w:pStyle w:val="TableParagraph"/>
              <w:spacing w:line="240" w:lineRule="auto"/>
              <w:ind w:left="26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7"/>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650" w:hRule="exact"/>
        </w:trPr>
        <w:tc>
          <w:tcPr>
            <w:tcW w:w="1781" w:type="dxa"/>
            <w:vMerge/>
            <w:tcBorders>
              <w:left w:val="single" w:sz="4" w:space="0" w:color="000008"/>
              <w:bottom w:val="single" w:sz="4" w:space="0" w:color="000008"/>
              <w:right w:val="single" w:sz="4" w:space="0" w:color="000008"/>
            </w:tcBorders>
            <w:shd w:val="clear" w:color="auto" w:fill="E6E6E6"/>
          </w:tcPr>
          <w:p>
            <w:pPr/>
          </w:p>
        </w:tc>
        <w:tc>
          <w:tcPr>
            <w:tcW w:w="1049" w:type="dxa"/>
            <w:vMerge/>
            <w:tcBorders>
              <w:left w:val="single" w:sz="4" w:space="0" w:color="000008"/>
              <w:bottom w:val="single" w:sz="4" w:space="0" w:color="000008"/>
              <w:right w:val="single" w:sz="4" w:space="0" w:color="000008"/>
            </w:tcBorders>
            <w:shd w:val="clear" w:color="auto" w:fill="E6E6E6"/>
          </w:tcPr>
          <w:p>
            <w:pPr/>
          </w:p>
        </w:tc>
        <w:tc>
          <w:tcPr>
            <w:tcW w:w="1003"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88"/>
              <w:ind w:left="1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642"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88"/>
              <w:ind w:left="4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642" w:type="dxa"/>
            <w:vMerge/>
            <w:tcBorders>
              <w:left w:val="single" w:sz="4" w:space="0" w:color="000008"/>
              <w:bottom w:val="single" w:sz="4" w:space="0" w:color="000008"/>
              <w:right w:val="single" w:sz="4" w:space="0" w:color="000008"/>
            </w:tcBorders>
            <w:shd w:val="clear" w:color="auto" w:fill="E6E6E6"/>
          </w:tcPr>
          <w:p>
            <w:pPr/>
          </w:p>
        </w:tc>
        <w:tc>
          <w:tcPr>
            <w:tcW w:w="1202" w:type="dxa"/>
            <w:vMerge/>
            <w:tcBorders>
              <w:left w:val="single" w:sz="4" w:space="0" w:color="000008"/>
              <w:bottom w:val="single" w:sz="4" w:space="0" w:color="000008"/>
              <w:right w:val="single" w:sz="4" w:space="0" w:color="000008"/>
            </w:tcBorders>
            <w:shd w:val="clear" w:color="auto" w:fill="E6E6E6"/>
          </w:tcPr>
          <w:p>
            <w:pPr/>
          </w:p>
        </w:tc>
      </w:tr>
      <w:tr>
        <w:trPr>
          <w:trHeight w:val="478" w:hRule="exact"/>
        </w:trPr>
        <w:tc>
          <w:tcPr>
            <w:tcW w:w="1781"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0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2"/>
                <w:sz w:val="18"/>
              </w:rPr>
              <w:t>0.11</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0.07</w:t>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57.14%</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0.44</w:t>
            </w:r>
          </w:p>
        </w:tc>
      </w:tr>
      <w:tr>
        <w:trPr>
          <w:trHeight w:val="478" w:hRule="exact"/>
        </w:trPr>
        <w:tc>
          <w:tcPr>
            <w:tcW w:w="1781"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0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2"/>
                <w:sz w:val="18"/>
              </w:rPr>
              <w:t>0.11</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0.07</w:t>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57.14%</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0.44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95" w:top="1040" w:bottom="1280" w:left="1440" w:right="920"/>
        </w:sectPr>
      </w:pPr>
    </w:p>
    <w:p>
      <w:pPr>
        <w:spacing w:line="240" w:lineRule="auto" w:before="6"/>
        <w:rPr>
          <w:rFonts w:ascii="宋体" w:hAnsi="宋体" w:cs="宋体" w:eastAsia="宋体" w:hint="default"/>
          <w:sz w:val="5"/>
          <w:szCs w:val="5"/>
        </w:rPr>
      </w:pPr>
    </w:p>
    <w:tbl>
      <w:tblPr>
        <w:tblW w:w="0" w:type="auto"/>
        <w:jc w:val="left"/>
        <w:tblInd w:w="444" w:type="dxa"/>
        <w:tblLayout w:type="fixed"/>
        <w:tblCellMar>
          <w:top w:w="0" w:type="dxa"/>
          <w:left w:w="0" w:type="dxa"/>
          <w:bottom w:w="0" w:type="dxa"/>
          <w:right w:w="0" w:type="dxa"/>
        </w:tblCellMar>
        <w:tblLook w:val="01E0"/>
      </w:tblPr>
      <w:tblGrid>
        <w:gridCol w:w="1781"/>
        <w:gridCol w:w="1049"/>
        <w:gridCol w:w="1001"/>
        <w:gridCol w:w="1644"/>
        <w:gridCol w:w="1642"/>
        <w:gridCol w:w="149"/>
        <w:gridCol w:w="1054"/>
      </w:tblGrid>
      <w:tr>
        <w:trPr>
          <w:trHeight w:val="946" w:hRule="exact"/>
        </w:trPr>
        <w:tc>
          <w:tcPr>
            <w:tcW w:w="1781"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408" w:lineRule="auto" w:before="66"/>
              <w:ind w:left="24" w:right="29"/>
              <w:jc w:val="left"/>
              <w:rPr>
                <w:rFonts w:ascii="宋体" w:hAnsi="宋体" w:cs="宋体" w:eastAsia="宋体" w:hint="default"/>
                <w:sz w:val="21"/>
                <w:szCs w:val="21"/>
              </w:rPr>
            </w:pPr>
            <w:r>
              <w:rPr>
                <w:rFonts w:ascii="宋体" w:hAnsi="宋体" w:cs="宋体" w:eastAsia="宋体" w:hint="default"/>
                <w:spacing w:val="2"/>
                <w:sz w:val="21"/>
                <w:szCs w:val="21"/>
              </w:rPr>
              <w:t>扣除非经常性损益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后的基本每股收益</w:t>
            </w:r>
          </w:p>
        </w:tc>
        <w:tc>
          <w:tcPr>
            <w:tcW w:w="10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-0.03</w:t>
            </w: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-50%</w:t>
            </w:r>
          </w:p>
        </w:tc>
        <w:tc>
          <w:tcPr>
            <w:tcW w:w="120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0.03</w:t>
            </w:r>
          </w:p>
        </w:tc>
      </w:tr>
      <w:tr>
        <w:trPr>
          <w:trHeight w:val="948" w:hRule="exact"/>
        </w:trPr>
        <w:tc>
          <w:tcPr>
            <w:tcW w:w="1781"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408" w:lineRule="auto" w:before="66"/>
              <w:ind w:left="24" w:right="29"/>
              <w:jc w:val="left"/>
              <w:rPr>
                <w:rFonts w:ascii="宋体" w:hAnsi="宋体" w:cs="宋体" w:eastAsia="宋体" w:hint="default"/>
                <w:sz w:val="21"/>
                <w:szCs w:val="21"/>
              </w:rPr>
            </w:pPr>
            <w:r>
              <w:rPr>
                <w:rFonts w:ascii="宋体" w:hAnsi="宋体" w:cs="宋体" w:eastAsia="宋体" w:hint="default"/>
                <w:spacing w:val="2"/>
                <w:sz w:val="21"/>
                <w:szCs w:val="21"/>
              </w:rPr>
              <w:t>加权平均净资产收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益率</w:t>
            </w:r>
          </w:p>
        </w:tc>
        <w:tc>
          <w:tcPr>
            <w:tcW w:w="10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2.97%</w:t>
            </w: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2.36%</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2.36%</w:t>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0.61%</w:t>
            </w:r>
          </w:p>
        </w:tc>
        <w:tc>
          <w:tcPr>
            <w:tcW w:w="120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16" w:right="0"/>
              <w:jc w:val="left"/>
              <w:rPr>
                <w:rFonts w:ascii="Times New Roman" w:hAnsi="Times New Roman" w:cs="Times New Roman" w:eastAsia="Times New Roman" w:hint="default"/>
                <w:sz w:val="18"/>
                <w:szCs w:val="18"/>
              </w:rPr>
            </w:pPr>
            <w:r>
              <w:rPr>
                <w:rFonts w:ascii="Times New Roman"/>
                <w:sz w:val="18"/>
              </w:rPr>
              <w:t>10.83%</w:t>
            </w:r>
          </w:p>
        </w:tc>
      </w:tr>
      <w:tr>
        <w:trPr>
          <w:trHeight w:val="470" w:hRule="exact"/>
        </w:trPr>
        <w:tc>
          <w:tcPr>
            <w:tcW w:w="1781" w:type="dxa"/>
            <w:tcBorders>
              <w:top w:val="single" w:sz="4" w:space="0" w:color="000008"/>
              <w:left w:val="single" w:sz="4" w:space="0" w:color="000008"/>
              <w:bottom w:val="nil" w:sz="6" w:space="0" w:color="auto"/>
              <w:right w:val="single" w:sz="4" w:space="0" w:color="000008"/>
            </w:tcBorders>
            <w:shd w:val="clear" w:color="auto" w:fill="E6E6E6"/>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w:t>
            </w:r>
          </w:p>
        </w:tc>
        <w:tc>
          <w:tcPr>
            <w:tcW w:w="1049" w:type="dxa"/>
            <w:tcBorders>
              <w:top w:val="single" w:sz="4" w:space="0" w:color="000008"/>
              <w:left w:val="single" w:sz="4" w:space="0" w:color="000008"/>
              <w:bottom w:val="nil" w:sz="6" w:space="0" w:color="auto"/>
              <w:right w:val="single" w:sz="4" w:space="0" w:color="000008"/>
            </w:tcBorders>
          </w:tcPr>
          <w:p>
            <w:pPr/>
          </w:p>
        </w:tc>
        <w:tc>
          <w:tcPr>
            <w:tcW w:w="1001" w:type="dxa"/>
            <w:tcBorders>
              <w:top w:val="single" w:sz="4" w:space="0" w:color="000008"/>
              <w:left w:val="single" w:sz="4" w:space="0" w:color="000008"/>
              <w:bottom w:val="nil" w:sz="6" w:space="0" w:color="auto"/>
              <w:right w:val="single" w:sz="4" w:space="0" w:color="000008"/>
            </w:tcBorders>
          </w:tcPr>
          <w:p>
            <w:pPr/>
          </w:p>
        </w:tc>
        <w:tc>
          <w:tcPr>
            <w:tcW w:w="1644" w:type="dxa"/>
            <w:tcBorders>
              <w:top w:val="single" w:sz="4" w:space="0" w:color="000008"/>
              <w:left w:val="single" w:sz="4" w:space="0" w:color="000008"/>
              <w:bottom w:val="nil" w:sz="6" w:space="0" w:color="auto"/>
              <w:right w:val="single" w:sz="4" w:space="0" w:color="000008"/>
            </w:tcBorders>
          </w:tcPr>
          <w:p>
            <w:pPr/>
          </w:p>
        </w:tc>
        <w:tc>
          <w:tcPr>
            <w:tcW w:w="1642" w:type="dxa"/>
            <w:tcBorders>
              <w:top w:val="single" w:sz="4" w:space="0" w:color="000008"/>
              <w:left w:val="single" w:sz="4" w:space="0" w:color="000008"/>
              <w:bottom w:val="nil" w:sz="6" w:space="0" w:color="auto"/>
              <w:right w:val="single" w:sz="4" w:space="0" w:color="000008"/>
            </w:tcBorders>
          </w:tcPr>
          <w:p>
            <w:pPr/>
          </w:p>
        </w:tc>
        <w:tc>
          <w:tcPr>
            <w:tcW w:w="1202" w:type="dxa"/>
            <w:gridSpan w:val="2"/>
            <w:tcBorders>
              <w:top w:val="single" w:sz="4" w:space="0" w:color="000008"/>
              <w:left w:val="single" w:sz="4" w:space="0" w:color="000008"/>
              <w:bottom w:val="nil" w:sz="6" w:space="0" w:color="auto"/>
              <w:right w:val="single" w:sz="4" w:space="0" w:color="000008"/>
            </w:tcBorders>
          </w:tcPr>
          <w:p>
            <w:pPr/>
          </w:p>
        </w:tc>
      </w:tr>
      <w:tr>
        <w:trPr>
          <w:trHeight w:val="474" w:hRule="exact"/>
        </w:trPr>
        <w:tc>
          <w:tcPr>
            <w:tcW w:w="1781" w:type="dxa"/>
            <w:tcBorders>
              <w:top w:val="nil" w:sz="6" w:space="0" w:color="auto"/>
              <w:left w:val="single" w:sz="4" w:space="0" w:color="000008"/>
              <w:bottom w:val="nil" w:sz="6" w:space="0" w:color="auto"/>
              <w:right w:val="single" w:sz="4" w:space="0" w:color="000008"/>
            </w:tcBorders>
            <w:shd w:val="clear" w:color="auto" w:fill="E6E6E6"/>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pacing w:val="2"/>
                <w:sz w:val="21"/>
                <w:szCs w:val="21"/>
              </w:rPr>
              <w:t>后的加权平均净资</w:t>
            </w:r>
          </w:p>
        </w:tc>
        <w:tc>
          <w:tcPr>
            <w:tcW w:w="1049" w:type="dxa"/>
            <w:tcBorders>
              <w:top w:val="nil" w:sz="6" w:space="0" w:color="auto"/>
              <w:left w:val="single" w:sz="4" w:space="0" w:color="000008"/>
              <w:bottom w:val="nil" w:sz="6" w:space="0" w:color="auto"/>
              <w:right w:val="single" w:sz="4" w:space="0" w:color="000008"/>
            </w:tcBorders>
          </w:tcPr>
          <w:p>
            <w:pPr>
              <w:pStyle w:val="TableParagraph"/>
              <w:spacing w:line="240" w:lineRule="auto" w:before="114"/>
              <w:ind w:right="16"/>
              <w:jc w:val="right"/>
              <w:rPr>
                <w:rFonts w:ascii="Times New Roman" w:hAnsi="Times New Roman" w:cs="Times New Roman" w:eastAsia="Times New Roman" w:hint="default"/>
                <w:sz w:val="21"/>
                <w:szCs w:val="21"/>
              </w:rPr>
            </w:pPr>
            <w:r>
              <w:rPr>
                <w:rFonts w:ascii="Times New Roman"/>
                <w:spacing w:val="-1"/>
                <w:sz w:val="21"/>
              </w:rPr>
              <w:t>-0.83%</w:t>
            </w:r>
          </w:p>
        </w:tc>
        <w:tc>
          <w:tcPr>
            <w:tcW w:w="1001" w:type="dxa"/>
            <w:tcBorders>
              <w:top w:val="nil" w:sz="6" w:space="0" w:color="auto"/>
              <w:left w:val="single" w:sz="4" w:space="0" w:color="000008"/>
              <w:bottom w:val="nil" w:sz="6" w:space="0" w:color="auto"/>
              <w:right w:val="single" w:sz="4" w:space="0" w:color="000008"/>
            </w:tcBorders>
          </w:tcPr>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z w:val="18"/>
              </w:rPr>
              <w:t>-0.69%</w:t>
            </w:r>
          </w:p>
        </w:tc>
        <w:tc>
          <w:tcPr>
            <w:tcW w:w="1644" w:type="dxa"/>
            <w:tcBorders>
              <w:top w:val="nil" w:sz="6" w:space="0" w:color="auto"/>
              <w:left w:val="single" w:sz="4" w:space="0" w:color="000008"/>
              <w:bottom w:val="nil" w:sz="6" w:space="0" w:color="auto"/>
              <w:right w:val="single" w:sz="4" w:space="0" w:color="000008"/>
            </w:tcBorders>
          </w:tcPr>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z w:val="18"/>
              </w:rPr>
              <w:t>-0.69%</w:t>
            </w:r>
          </w:p>
        </w:tc>
        <w:tc>
          <w:tcPr>
            <w:tcW w:w="1642" w:type="dxa"/>
            <w:tcBorders>
              <w:top w:val="nil" w:sz="6" w:space="0" w:color="auto"/>
              <w:left w:val="single" w:sz="4" w:space="0" w:color="000008"/>
              <w:bottom w:val="nil" w:sz="6" w:space="0" w:color="auto"/>
              <w:right w:val="single" w:sz="4" w:space="0" w:color="000008"/>
            </w:tcBorders>
          </w:tcPr>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1202" w:type="dxa"/>
            <w:gridSpan w:val="2"/>
            <w:tcBorders>
              <w:top w:val="nil" w:sz="6" w:space="0" w:color="auto"/>
              <w:left w:val="single" w:sz="4" w:space="0" w:color="000008"/>
              <w:bottom w:val="nil" w:sz="6" w:space="0" w:color="auto"/>
              <w:right w:val="single" w:sz="4" w:space="0" w:color="000008"/>
            </w:tcBorders>
          </w:tcPr>
          <w:p>
            <w:pPr>
              <w:pStyle w:val="TableParagraph"/>
              <w:spacing w:line="240" w:lineRule="auto" w:before="132"/>
              <w:ind w:left="705" w:right="0"/>
              <w:jc w:val="left"/>
              <w:rPr>
                <w:rFonts w:ascii="Times New Roman" w:hAnsi="Times New Roman" w:cs="Times New Roman" w:eastAsia="Times New Roman" w:hint="default"/>
                <w:sz w:val="18"/>
                <w:szCs w:val="18"/>
              </w:rPr>
            </w:pPr>
            <w:r>
              <w:rPr>
                <w:rFonts w:ascii="Times New Roman"/>
                <w:sz w:val="18"/>
              </w:rPr>
              <w:t>0.84%</w:t>
            </w:r>
          </w:p>
        </w:tc>
      </w:tr>
      <w:tr>
        <w:trPr>
          <w:trHeight w:val="470" w:hRule="exact"/>
        </w:trPr>
        <w:tc>
          <w:tcPr>
            <w:tcW w:w="1781" w:type="dxa"/>
            <w:tcBorders>
              <w:top w:val="nil" w:sz="6" w:space="0" w:color="auto"/>
              <w:left w:val="single" w:sz="4" w:space="0" w:color="000008"/>
              <w:bottom w:val="single" w:sz="4" w:space="0" w:color="000008"/>
              <w:right w:val="single" w:sz="4" w:space="0" w:color="000008"/>
            </w:tcBorders>
            <w:shd w:val="clear" w:color="auto" w:fill="E6E6E6"/>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产收益率</w:t>
            </w:r>
          </w:p>
        </w:tc>
        <w:tc>
          <w:tcPr>
            <w:tcW w:w="1049" w:type="dxa"/>
            <w:tcBorders>
              <w:top w:val="nil" w:sz="6" w:space="0" w:color="auto"/>
              <w:left w:val="single" w:sz="4" w:space="0" w:color="000008"/>
              <w:bottom w:val="single" w:sz="4" w:space="0" w:color="000008"/>
              <w:right w:val="single" w:sz="4" w:space="0" w:color="000008"/>
            </w:tcBorders>
          </w:tcPr>
          <w:p>
            <w:pPr/>
          </w:p>
        </w:tc>
        <w:tc>
          <w:tcPr>
            <w:tcW w:w="1001" w:type="dxa"/>
            <w:tcBorders>
              <w:top w:val="nil" w:sz="6" w:space="0" w:color="auto"/>
              <w:left w:val="single" w:sz="4" w:space="0" w:color="000008"/>
              <w:bottom w:val="single" w:sz="4" w:space="0" w:color="000008"/>
              <w:right w:val="single" w:sz="4" w:space="0" w:color="000008"/>
            </w:tcBorders>
          </w:tcPr>
          <w:p>
            <w:pPr/>
          </w:p>
        </w:tc>
        <w:tc>
          <w:tcPr>
            <w:tcW w:w="1644" w:type="dxa"/>
            <w:tcBorders>
              <w:top w:val="nil" w:sz="6" w:space="0" w:color="auto"/>
              <w:left w:val="single" w:sz="4" w:space="0" w:color="000008"/>
              <w:bottom w:val="single" w:sz="4" w:space="0" w:color="000008"/>
              <w:right w:val="single" w:sz="4" w:space="0" w:color="000008"/>
            </w:tcBorders>
          </w:tcPr>
          <w:p>
            <w:pPr/>
          </w:p>
        </w:tc>
        <w:tc>
          <w:tcPr>
            <w:tcW w:w="1642" w:type="dxa"/>
            <w:tcBorders>
              <w:top w:val="nil" w:sz="6" w:space="0" w:color="auto"/>
              <w:left w:val="single" w:sz="4" w:space="0" w:color="000008"/>
              <w:bottom w:val="single" w:sz="4" w:space="0" w:color="000008"/>
              <w:right w:val="single" w:sz="4" w:space="0" w:color="000008"/>
            </w:tcBorders>
          </w:tcPr>
          <w:p>
            <w:pPr/>
          </w:p>
        </w:tc>
        <w:tc>
          <w:tcPr>
            <w:tcW w:w="1202" w:type="dxa"/>
            <w:gridSpan w:val="2"/>
            <w:tcBorders>
              <w:top w:val="nil" w:sz="6" w:space="0" w:color="auto"/>
              <w:left w:val="single" w:sz="4" w:space="0" w:color="000008"/>
              <w:bottom w:val="single" w:sz="4" w:space="0" w:color="000008"/>
              <w:right w:val="single" w:sz="4" w:space="0" w:color="000008"/>
            </w:tcBorders>
          </w:tcPr>
          <w:p>
            <w:pPr/>
          </w:p>
        </w:tc>
      </w:tr>
      <w:tr>
        <w:trPr>
          <w:trHeight w:val="946" w:hRule="exact"/>
        </w:trPr>
        <w:tc>
          <w:tcPr>
            <w:tcW w:w="1781"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408" w:lineRule="auto" w:before="64"/>
              <w:ind w:left="24" w:right="29"/>
              <w:jc w:val="left"/>
              <w:rPr>
                <w:rFonts w:ascii="宋体" w:hAnsi="宋体" w:cs="宋体" w:eastAsia="宋体" w:hint="default"/>
                <w:sz w:val="21"/>
                <w:szCs w:val="21"/>
              </w:rPr>
            </w:pPr>
            <w:r>
              <w:rPr>
                <w:rFonts w:ascii="宋体" w:hAnsi="宋体" w:cs="宋体" w:eastAsia="宋体" w:hint="default"/>
                <w:spacing w:val="2"/>
                <w:sz w:val="21"/>
                <w:szCs w:val="21"/>
              </w:rPr>
              <w:t>每股经营活动产生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的现金流量净额</w:t>
            </w:r>
          </w:p>
        </w:tc>
        <w:tc>
          <w:tcPr>
            <w:tcW w:w="10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0.67</w:t>
            </w: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0.62</w:t>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2"/>
                <w:sz w:val="18"/>
              </w:rPr>
              <w:t>86.11%</w:t>
            </w:r>
          </w:p>
        </w:tc>
        <w:tc>
          <w:tcPr>
            <w:tcW w:w="120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1.82</w:t>
            </w:r>
          </w:p>
        </w:tc>
      </w:tr>
      <w:tr>
        <w:trPr>
          <w:trHeight w:val="533" w:hRule="exact"/>
        </w:trPr>
        <w:tc>
          <w:tcPr>
            <w:tcW w:w="1781" w:type="dxa"/>
            <w:tcBorders>
              <w:top w:val="single" w:sz="4" w:space="0" w:color="000008"/>
              <w:left w:val="single" w:sz="4" w:space="0" w:color="000008"/>
              <w:bottom w:val="nil" w:sz="6" w:space="0" w:color="auto"/>
              <w:right w:val="single" w:sz="4" w:space="0" w:color="000008"/>
            </w:tcBorders>
            <w:shd w:val="clear" w:color="auto" w:fill="E6E6E6"/>
          </w:tcPr>
          <w:p>
            <w:pPr/>
          </w:p>
        </w:tc>
        <w:tc>
          <w:tcPr>
            <w:tcW w:w="1049" w:type="dxa"/>
            <w:tcBorders>
              <w:top w:val="single" w:sz="4" w:space="0" w:color="000008"/>
              <w:left w:val="single" w:sz="4" w:space="0" w:color="000008"/>
              <w:bottom w:val="nil" w:sz="6" w:space="0" w:color="auto"/>
              <w:right w:val="single" w:sz="4" w:space="0" w:color="000008"/>
            </w:tcBorders>
            <w:shd w:val="clear" w:color="auto" w:fill="E6E6E6"/>
          </w:tcPr>
          <w:p>
            <w:pPr/>
          </w:p>
        </w:tc>
        <w:tc>
          <w:tcPr>
            <w:tcW w:w="2645" w:type="dxa"/>
            <w:gridSpan w:val="2"/>
            <w:tcBorders>
              <w:top w:val="single" w:sz="4" w:space="0" w:color="000008"/>
              <w:left w:val="single" w:sz="4" w:space="0" w:color="000008"/>
              <w:bottom w:val="nil" w:sz="6" w:space="0" w:color="auto"/>
              <w:right w:val="single" w:sz="4" w:space="0" w:color="000008"/>
            </w:tcBorders>
            <w:shd w:val="clear" w:color="auto" w:fill="E6E6E6"/>
          </w:tcPr>
          <w:p>
            <w:pPr>
              <w:pStyle w:val="TableParagraph"/>
              <w:spacing w:line="240" w:lineRule="auto" w:before="84"/>
              <w:ind w:left="87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642" w:type="dxa"/>
            <w:tcBorders>
              <w:top w:val="single" w:sz="4" w:space="0" w:color="000008"/>
              <w:left w:val="single" w:sz="4" w:space="0" w:color="000008"/>
              <w:bottom w:val="nil" w:sz="6" w:space="0" w:color="auto"/>
              <w:right w:val="single" w:sz="4" w:space="0" w:color="000008"/>
            </w:tcBorders>
            <w:shd w:val="clear" w:color="auto" w:fill="E6E6E6"/>
          </w:tcPr>
          <w:p>
            <w:pPr>
              <w:pStyle w:val="TableParagraph"/>
              <w:spacing w:line="240" w:lineRule="auto" w:before="175"/>
              <w:ind w:right="7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本年末比上年末</w:t>
            </w:r>
            <w:r>
              <w:rPr>
                <w:rFonts w:ascii="Microsoft JhengHei" w:hAnsi="Microsoft JhengHei" w:cs="Microsoft JhengHei" w:eastAsia="Microsoft JhengHei" w:hint="default"/>
                <w:sz w:val="21"/>
                <w:szCs w:val="21"/>
              </w:rPr>
            </w:r>
          </w:p>
        </w:tc>
        <w:tc>
          <w:tcPr>
            <w:tcW w:w="149" w:type="dxa"/>
            <w:tcBorders>
              <w:top w:val="single" w:sz="4" w:space="0" w:color="000008"/>
              <w:left w:val="single" w:sz="4" w:space="0" w:color="000008"/>
              <w:bottom w:val="nil" w:sz="6" w:space="0" w:color="auto"/>
              <w:right w:val="nil" w:sz="6" w:space="0" w:color="auto"/>
            </w:tcBorders>
            <w:shd w:val="clear" w:color="auto" w:fill="E6E6E6"/>
          </w:tcPr>
          <w:p>
            <w:pPr/>
          </w:p>
        </w:tc>
        <w:tc>
          <w:tcPr>
            <w:tcW w:w="1054" w:type="dxa"/>
            <w:tcBorders>
              <w:top w:val="single" w:sz="4" w:space="0" w:color="000008"/>
              <w:left w:val="nil" w:sz="6" w:space="0" w:color="auto"/>
              <w:bottom w:val="nil" w:sz="6" w:space="0" w:color="auto"/>
              <w:right w:val="single" w:sz="4" w:space="0" w:color="000008"/>
            </w:tcBorders>
            <w:shd w:val="clear" w:color="auto" w:fill="E6E6E6"/>
          </w:tcPr>
          <w:p>
            <w:pPr/>
          </w:p>
        </w:tc>
      </w:tr>
      <w:tr>
        <w:trPr>
          <w:trHeight w:val="118" w:hRule="exact"/>
        </w:trPr>
        <w:tc>
          <w:tcPr>
            <w:tcW w:w="1781" w:type="dxa"/>
            <w:vMerge w:val="restart"/>
            <w:tcBorders>
              <w:top w:val="nil" w:sz="6" w:space="0" w:color="auto"/>
              <w:left w:val="single" w:sz="4" w:space="0" w:color="000008"/>
              <w:right w:val="single" w:sz="4" w:space="0" w:color="000008"/>
            </w:tcBorders>
            <w:shd w:val="clear" w:color="auto" w:fill="E6E6E6"/>
          </w:tcPr>
          <w:p>
            <w:pPr>
              <w:pStyle w:val="TableParagraph"/>
              <w:tabs>
                <w:tab w:pos="967" w:val="left" w:leader="none"/>
              </w:tabs>
              <w:spacing w:line="246" w:lineRule="exact"/>
              <w:ind w:left="4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049" w:type="dxa"/>
            <w:vMerge w:val="restart"/>
            <w:tcBorders>
              <w:top w:val="nil" w:sz="6" w:space="0" w:color="auto"/>
              <w:left w:val="single" w:sz="4" w:space="0" w:color="000008"/>
              <w:right w:val="single" w:sz="4" w:space="0" w:color="000008"/>
            </w:tcBorders>
            <w:shd w:val="clear" w:color="auto" w:fill="E6E6E6"/>
          </w:tcPr>
          <w:p>
            <w:pPr>
              <w:pStyle w:val="TableParagraph"/>
              <w:spacing w:line="246" w:lineRule="exact"/>
              <w:ind w:left="7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2645" w:type="dxa"/>
            <w:gridSpan w:val="2"/>
            <w:tcBorders>
              <w:top w:val="nil" w:sz="6" w:space="0" w:color="auto"/>
              <w:left w:val="single" w:sz="4" w:space="0" w:color="000008"/>
              <w:bottom w:val="single" w:sz="4" w:space="0" w:color="000008"/>
              <w:right w:val="single" w:sz="4" w:space="0" w:color="000008"/>
            </w:tcBorders>
            <w:shd w:val="clear" w:color="auto" w:fill="E6E6E6"/>
          </w:tcPr>
          <w:p>
            <w:pPr/>
          </w:p>
        </w:tc>
        <w:tc>
          <w:tcPr>
            <w:tcW w:w="1642" w:type="dxa"/>
            <w:vMerge w:val="restart"/>
            <w:tcBorders>
              <w:top w:val="nil" w:sz="6" w:space="0" w:color="auto"/>
              <w:left w:val="single" w:sz="4" w:space="0" w:color="000008"/>
              <w:right w:val="single" w:sz="4" w:space="0" w:color="000008"/>
            </w:tcBorders>
            <w:shd w:val="clear" w:color="auto" w:fill="E6E6E6"/>
          </w:tcPr>
          <w:p>
            <w:pPr/>
          </w:p>
        </w:tc>
        <w:tc>
          <w:tcPr>
            <w:tcW w:w="149" w:type="dxa"/>
            <w:vMerge w:val="restart"/>
            <w:tcBorders>
              <w:top w:val="nil" w:sz="6" w:space="0" w:color="auto"/>
              <w:left w:val="single" w:sz="4" w:space="0" w:color="000008"/>
              <w:right w:val="nil" w:sz="6" w:space="0" w:color="auto"/>
            </w:tcBorders>
            <w:shd w:val="clear" w:color="auto" w:fill="E6E6E6"/>
          </w:tcPr>
          <w:p>
            <w:pPr/>
          </w:p>
        </w:tc>
        <w:tc>
          <w:tcPr>
            <w:tcW w:w="1054" w:type="dxa"/>
            <w:vMerge w:val="restart"/>
            <w:tcBorders>
              <w:top w:val="nil" w:sz="6" w:space="0" w:color="auto"/>
              <w:left w:val="nil" w:sz="6" w:space="0" w:color="auto"/>
              <w:right w:val="single" w:sz="4" w:space="0" w:color="000008"/>
            </w:tcBorders>
            <w:shd w:val="clear" w:color="auto" w:fill="E6E6E6"/>
          </w:tcPr>
          <w:p>
            <w:pPr>
              <w:pStyle w:val="TableParagraph"/>
              <w:spacing w:line="246" w:lineRule="exact"/>
              <w:ind w:left="76"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末</w:t>
            </w:r>
            <w:r>
              <w:rPr>
                <w:rFonts w:ascii="Microsoft JhengHei" w:hAnsi="Microsoft JhengHei" w:cs="Microsoft JhengHei" w:eastAsia="Microsoft JhengHei" w:hint="default"/>
                <w:sz w:val="21"/>
                <w:szCs w:val="21"/>
              </w:rPr>
            </w:r>
          </w:p>
        </w:tc>
      </w:tr>
      <w:tr>
        <w:trPr>
          <w:trHeight w:val="122" w:hRule="exact"/>
        </w:trPr>
        <w:tc>
          <w:tcPr>
            <w:tcW w:w="1781" w:type="dxa"/>
            <w:vMerge/>
            <w:tcBorders>
              <w:left w:val="single" w:sz="4" w:space="0" w:color="000008"/>
              <w:bottom w:val="nil" w:sz="6" w:space="0" w:color="auto"/>
              <w:right w:val="single" w:sz="4" w:space="0" w:color="000008"/>
            </w:tcBorders>
            <w:shd w:val="clear" w:color="auto" w:fill="E6E6E6"/>
          </w:tcPr>
          <w:p>
            <w:pPr/>
          </w:p>
        </w:tc>
        <w:tc>
          <w:tcPr>
            <w:tcW w:w="1049" w:type="dxa"/>
            <w:vMerge/>
            <w:tcBorders>
              <w:left w:val="single" w:sz="4" w:space="0" w:color="000008"/>
              <w:bottom w:val="nil" w:sz="6" w:space="0" w:color="auto"/>
              <w:right w:val="single" w:sz="4" w:space="0" w:color="000008"/>
            </w:tcBorders>
            <w:shd w:val="clear" w:color="auto" w:fill="E6E6E6"/>
          </w:tcPr>
          <w:p>
            <w:pPr/>
          </w:p>
        </w:tc>
        <w:tc>
          <w:tcPr>
            <w:tcW w:w="1001" w:type="dxa"/>
            <w:vMerge w:val="restart"/>
            <w:tcBorders>
              <w:top w:val="single" w:sz="4" w:space="0" w:color="000008"/>
              <w:left w:val="single" w:sz="4" w:space="0" w:color="000008"/>
              <w:right w:val="single" w:sz="4" w:space="0" w:color="000008"/>
            </w:tcBorders>
            <w:shd w:val="clear" w:color="auto" w:fill="E6E6E6"/>
          </w:tcPr>
          <w:p>
            <w:pPr>
              <w:pStyle w:val="TableParagraph"/>
              <w:spacing w:line="240" w:lineRule="auto" w:before="81"/>
              <w:ind w:left="1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1644" w:type="dxa"/>
            <w:vMerge w:val="restart"/>
            <w:tcBorders>
              <w:top w:val="single" w:sz="4" w:space="0" w:color="000008"/>
              <w:left w:val="single" w:sz="4" w:space="0" w:color="000008"/>
              <w:right w:val="single" w:sz="4" w:space="0" w:color="000008"/>
            </w:tcBorders>
            <w:shd w:val="clear" w:color="auto" w:fill="E6E6E6"/>
          </w:tcPr>
          <w:p>
            <w:pPr>
              <w:pStyle w:val="TableParagraph"/>
              <w:spacing w:line="240" w:lineRule="auto" w:before="81"/>
              <w:ind w:left="5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1642" w:type="dxa"/>
            <w:vMerge/>
            <w:tcBorders>
              <w:left w:val="single" w:sz="4" w:space="0" w:color="000008"/>
              <w:bottom w:val="nil" w:sz="6" w:space="0" w:color="auto"/>
              <w:right w:val="single" w:sz="4" w:space="0" w:color="000008"/>
            </w:tcBorders>
            <w:shd w:val="clear" w:color="auto" w:fill="E6E6E6"/>
          </w:tcPr>
          <w:p>
            <w:pPr/>
          </w:p>
        </w:tc>
        <w:tc>
          <w:tcPr>
            <w:tcW w:w="149" w:type="dxa"/>
            <w:vMerge/>
            <w:tcBorders>
              <w:left w:val="single" w:sz="4" w:space="0" w:color="000008"/>
              <w:bottom w:val="nil" w:sz="6" w:space="0" w:color="auto"/>
              <w:right w:val="nil" w:sz="6" w:space="0" w:color="auto"/>
            </w:tcBorders>
            <w:shd w:val="clear" w:color="auto" w:fill="E6E6E6"/>
          </w:tcPr>
          <w:p>
            <w:pPr/>
          </w:p>
        </w:tc>
        <w:tc>
          <w:tcPr>
            <w:tcW w:w="1054" w:type="dxa"/>
            <w:vMerge/>
            <w:tcBorders>
              <w:left w:val="nil" w:sz="6" w:space="0" w:color="auto"/>
              <w:bottom w:val="nil" w:sz="6" w:space="0" w:color="auto"/>
              <w:right w:val="single" w:sz="4" w:space="0" w:color="000008"/>
            </w:tcBorders>
            <w:shd w:val="clear" w:color="auto" w:fill="E6E6E6"/>
          </w:tcPr>
          <w:p>
            <w:pPr/>
          </w:p>
        </w:tc>
      </w:tr>
      <w:tr>
        <w:trPr>
          <w:trHeight w:val="529" w:hRule="exact"/>
        </w:trPr>
        <w:tc>
          <w:tcPr>
            <w:tcW w:w="1781" w:type="dxa"/>
            <w:tcBorders>
              <w:top w:val="nil" w:sz="6" w:space="0" w:color="auto"/>
              <w:left w:val="single" w:sz="4" w:space="0" w:color="000008"/>
              <w:bottom w:val="single" w:sz="4" w:space="0" w:color="000008"/>
              <w:right w:val="single" w:sz="4" w:space="0" w:color="000008"/>
            </w:tcBorders>
            <w:shd w:val="clear" w:color="auto" w:fill="E6E6E6"/>
          </w:tcPr>
          <w:p>
            <w:pPr/>
          </w:p>
        </w:tc>
        <w:tc>
          <w:tcPr>
            <w:tcW w:w="1049" w:type="dxa"/>
            <w:tcBorders>
              <w:top w:val="nil" w:sz="6" w:space="0" w:color="auto"/>
              <w:left w:val="single" w:sz="4" w:space="0" w:color="000008"/>
              <w:bottom w:val="single" w:sz="4" w:space="0" w:color="000008"/>
              <w:right w:val="single" w:sz="4" w:space="0" w:color="000008"/>
            </w:tcBorders>
            <w:shd w:val="clear" w:color="auto" w:fill="E6E6E6"/>
          </w:tcPr>
          <w:p>
            <w:pPr/>
          </w:p>
        </w:tc>
        <w:tc>
          <w:tcPr>
            <w:tcW w:w="1001" w:type="dxa"/>
            <w:vMerge/>
            <w:tcBorders>
              <w:left w:val="single" w:sz="4" w:space="0" w:color="000008"/>
              <w:bottom w:val="single" w:sz="4" w:space="0" w:color="000008"/>
              <w:right w:val="single" w:sz="4" w:space="0" w:color="000008"/>
            </w:tcBorders>
            <w:shd w:val="clear" w:color="auto" w:fill="E6E6E6"/>
          </w:tcPr>
          <w:p>
            <w:pPr/>
          </w:p>
        </w:tc>
        <w:tc>
          <w:tcPr>
            <w:tcW w:w="1644" w:type="dxa"/>
            <w:vMerge/>
            <w:tcBorders>
              <w:left w:val="single" w:sz="4" w:space="0" w:color="000008"/>
              <w:bottom w:val="single" w:sz="4" w:space="0" w:color="000008"/>
              <w:right w:val="single" w:sz="4" w:space="0" w:color="000008"/>
            </w:tcBorders>
            <w:shd w:val="clear" w:color="auto" w:fill="E6E6E6"/>
          </w:tcPr>
          <w:p>
            <w:pPr/>
          </w:p>
        </w:tc>
        <w:tc>
          <w:tcPr>
            <w:tcW w:w="1642" w:type="dxa"/>
            <w:tcBorders>
              <w:top w:val="nil" w:sz="6" w:space="0" w:color="auto"/>
              <w:left w:val="single" w:sz="4" w:space="0" w:color="000008"/>
              <w:bottom w:val="single" w:sz="4" w:space="0" w:color="000008"/>
              <w:right w:val="single" w:sz="4" w:space="0" w:color="000008"/>
            </w:tcBorders>
            <w:shd w:val="clear" w:color="auto" w:fill="E6E6E6"/>
          </w:tcPr>
          <w:p>
            <w:pPr>
              <w:pStyle w:val="TableParagraph"/>
              <w:spacing w:line="241"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4"/>
                <w:sz w:val="21"/>
                <w:szCs w:val="21"/>
              </w:rPr>
              <w:t>调整后增减（％</w:t>
            </w:r>
            <w:r>
              <w:rPr>
                <w:rFonts w:ascii="Microsoft JhengHei" w:hAnsi="Microsoft JhengHei" w:cs="Microsoft JhengHei" w:eastAsia="Microsoft JhengHei" w:hint="default"/>
                <w:spacing w:val="14"/>
                <w:sz w:val="21"/>
                <w:szCs w:val="21"/>
              </w:rPr>
            </w:r>
          </w:p>
        </w:tc>
        <w:tc>
          <w:tcPr>
            <w:tcW w:w="149" w:type="dxa"/>
            <w:tcBorders>
              <w:top w:val="nil" w:sz="6" w:space="0" w:color="auto"/>
              <w:left w:val="single" w:sz="4" w:space="0" w:color="000008"/>
              <w:bottom w:val="single" w:sz="4" w:space="0" w:color="000008"/>
              <w:right w:val="nil" w:sz="6" w:space="0" w:color="auto"/>
            </w:tcBorders>
            <w:shd w:val="clear" w:color="auto" w:fill="E6E6E6"/>
          </w:tcPr>
          <w:p>
            <w:pPr>
              <w:pStyle w:val="TableParagraph"/>
              <w:spacing w:line="241" w:lineRule="exact"/>
              <w:ind w:left="-1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3"/>
                <w:sz w:val="21"/>
                <w:szCs w:val="21"/>
              </w:rPr>
              <w:t>）</w:t>
            </w:r>
            <w:r>
              <w:rPr>
                <w:rFonts w:ascii="Microsoft JhengHei" w:hAnsi="Microsoft JhengHei" w:cs="Microsoft JhengHei" w:eastAsia="Microsoft JhengHei" w:hint="default"/>
                <w:sz w:val="21"/>
                <w:szCs w:val="21"/>
              </w:rPr>
            </w:r>
          </w:p>
        </w:tc>
        <w:tc>
          <w:tcPr>
            <w:tcW w:w="1054" w:type="dxa"/>
            <w:tcBorders>
              <w:top w:val="nil" w:sz="6" w:space="0" w:color="auto"/>
              <w:left w:val="nil" w:sz="6" w:space="0" w:color="auto"/>
              <w:bottom w:val="single" w:sz="4" w:space="0" w:color="000008"/>
              <w:right w:val="single" w:sz="4" w:space="0" w:color="000008"/>
            </w:tcBorders>
            <w:shd w:val="clear" w:color="auto" w:fill="E6E6E6"/>
          </w:tcPr>
          <w:p>
            <w:pPr/>
          </w:p>
        </w:tc>
      </w:tr>
      <w:tr>
        <w:trPr>
          <w:trHeight w:val="946" w:hRule="exact"/>
        </w:trPr>
        <w:tc>
          <w:tcPr>
            <w:tcW w:w="1781" w:type="dxa"/>
            <w:tcBorders>
              <w:top w:val="single" w:sz="4" w:space="0" w:color="000008"/>
              <w:left w:val="single" w:sz="4" w:space="0" w:color="000008"/>
              <w:bottom w:val="single" w:sz="4" w:space="0" w:color="000008"/>
              <w:right w:val="single" w:sz="4" w:space="0" w:color="000008"/>
            </w:tcBorders>
            <w:shd w:val="clear" w:color="auto" w:fill="E6E6E6"/>
          </w:tcPr>
          <w:p>
            <w:pPr>
              <w:pStyle w:val="TableParagraph"/>
              <w:spacing w:line="408" w:lineRule="auto" w:before="62"/>
              <w:ind w:left="24" w:right="29"/>
              <w:jc w:val="left"/>
              <w:rPr>
                <w:rFonts w:ascii="宋体" w:hAnsi="宋体" w:cs="宋体" w:eastAsia="宋体" w:hint="default"/>
                <w:sz w:val="21"/>
                <w:szCs w:val="21"/>
              </w:rPr>
            </w:pPr>
            <w:r>
              <w:rPr>
                <w:rFonts w:ascii="宋体" w:hAnsi="宋体" w:cs="宋体" w:eastAsia="宋体" w:hint="default"/>
                <w:spacing w:val="2"/>
                <w:sz w:val="21"/>
                <w:szCs w:val="21"/>
              </w:rPr>
              <w:t>归属于上市公司股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东的每股净资产</w:t>
            </w:r>
          </w:p>
        </w:tc>
        <w:tc>
          <w:tcPr>
            <w:tcW w:w="10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3.75</w:t>
            </w: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3.70</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6.29</w:t>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1.35%</w:t>
            </w:r>
          </w:p>
        </w:tc>
        <w:tc>
          <w:tcPr>
            <w:tcW w:w="120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4.31</w:t>
            </w:r>
          </w:p>
        </w:tc>
      </w:tr>
    </w:tbl>
    <w:p>
      <w:pPr>
        <w:spacing w:line="316" w:lineRule="auto" w:before="13"/>
        <w:ind w:left="740" w:right="350" w:hanging="360"/>
        <w:jc w:val="left"/>
        <w:rPr>
          <w:rFonts w:ascii="宋体" w:hAnsi="宋体" w:cs="宋体" w:eastAsia="宋体" w:hint="default"/>
          <w:sz w:val="18"/>
          <w:szCs w:val="18"/>
        </w:rPr>
      </w:pPr>
      <w:r>
        <w:rPr>
          <w:rFonts w:ascii="宋体" w:hAnsi="宋体" w:cs="宋体" w:eastAsia="宋体" w:hint="default"/>
          <w:sz w:val="18"/>
          <w:szCs w:val="18"/>
        </w:rPr>
        <w:t>注：1.2008</w:t>
      </w:r>
      <w:r>
        <w:rPr>
          <w:rFonts w:ascii="宋体" w:hAnsi="宋体" w:cs="宋体" w:eastAsia="宋体" w:hint="default"/>
          <w:spacing w:val="-47"/>
          <w:sz w:val="18"/>
          <w:szCs w:val="18"/>
        </w:rPr>
        <w:t> </w:t>
      </w:r>
      <w:r>
        <w:rPr>
          <w:rFonts w:ascii="宋体" w:hAnsi="宋体" w:cs="宋体" w:eastAsia="宋体" w:hint="default"/>
          <w:sz w:val="18"/>
          <w:szCs w:val="18"/>
        </w:rPr>
        <w:t>年调整后数据系报告期内，公司通过并实施了资本公积金转增股本方案所致。</w:t>
      </w:r>
      <w:r>
        <w:rPr>
          <w:rFonts w:ascii="宋体" w:hAnsi="宋体" w:cs="宋体" w:eastAsia="宋体" w:hint="default"/>
          <w:sz w:val="18"/>
          <w:szCs w:val="18"/>
        </w:rPr>
        <w:t> </w:t>
      </w:r>
      <w:r>
        <w:rPr>
          <w:rFonts w:ascii="宋体" w:hAnsi="宋体" w:cs="宋体" w:eastAsia="宋体" w:hint="default"/>
          <w:spacing w:val="-1"/>
          <w:sz w:val="18"/>
          <w:szCs w:val="18"/>
        </w:rPr>
        <w:t>2.基本每股收益和稀释每股收益同比均增长</w:t>
      </w:r>
      <w:r>
        <w:rPr>
          <w:rFonts w:ascii="宋体" w:hAnsi="宋体" w:cs="宋体" w:eastAsia="宋体" w:hint="default"/>
          <w:spacing w:val="-45"/>
          <w:sz w:val="18"/>
          <w:szCs w:val="18"/>
        </w:rPr>
        <w:t> </w:t>
      </w:r>
      <w:r>
        <w:rPr>
          <w:rFonts w:ascii="宋体" w:hAnsi="宋体" w:cs="宋体" w:eastAsia="宋体" w:hint="default"/>
          <w:spacing w:val="-4"/>
          <w:sz w:val="18"/>
          <w:szCs w:val="18"/>
        </w:rPr>
        <w:t>57.14%，扣除非经常性损益后的基本每股收益同比下降</w:t>
      </w:r>
      <w:r>
        <w:rPr>
          <w:rFonts w:ascii="宋体" w:hAnsi="宋体" w:cs="宋体" w:eastAsia="宋体" w:hint="default"/>
          <w:spacing w:val="-47"/>
          <w:sz w:val="18"/>
          <w:szCs w:val="18"/>
        </w:rPr>
        <w:t> </w:t>
      </w:r>
      <w:r>
        <w:rPr>
          <w:rFonts w:ascii="宋体" w:hAnsi="宋体" w:cs="宋体" w:eastAsia="宋体" w:hint="default"/>
          <w:w w:val="88"/>
          <w:sz w:val="18"/>
          <w:szCs w:val="18"/>
        </w:rPr>
        <w:t>50%，</w:t>
      </w:r>
      <w:r>
        <w:rPr>
          <w:rFonts w:ascii="宋体" w:hAnsi="宋体" w:cs="宋体" w:eastAsia="宋体" w:hint="default"/>
          <w:sz w:val="18"/>
          <w:szCs w:val="18"/>
        </w:rPr>
      </w:r>
    </w:p>
    <w:p>
      <w:pPr>
        <w:spacing w:line="316" w:lineRule="auto" w:before="19"/>
        <w:ind w:left="740" w:right="352" w:hanging="360"/>
        <w:jc w:val="left"/>
        <w:rPr>
          <w:rFonts w:ascii="宋体" w:hAnsi="宋体" w:cs="宋体" w:eastAsia="宋体" w:hint="default"/>
          <w:sz w:val="18"/>
          <w:szCs w:val="18"/>
        </w:rPr>
      </w:pPr>
      <w:r>
        <w:rPr>
          <w:rFonts w:ascii="宋体" w:hAnsi="宋体" w:cs="宋体" w:eastAsia="宋体" w:hint="default"/>
          <w:sz w:val="18"/>
          <w:szCs w:val="18"/>
        </w:rPr>
        <w:t>原因主要有二个方面：（1）批发市场主业利润继续稳步增长；（2）处置金信信托等股权实现收益。 </w:t>
      </w:r>
      <w:r>
        <w:rPr>
          <w:rFonts w:ascii="宋体" w:hAnsi="宋体" w:cs="宋体" w:eastAsia="宋体" w:hint="default"/>
          <w:spacing w:val="-1"/>
          <w:sz w:val="18"/>
          <w:szCs w:val="18"/>
        </w:rPr>
        <w:t>3.每股经营活动产生的现金流量净额同比增长</w:t>
      </w:r>
      <w:r>
        <w:rPr>
          <w:rFonts w:ascii="宋体" w:hAnsi="宋体" w:cs="宋体" w:eastAsia="宋体" w:hint="default"/>
          <w:spacing w:val="-19"/>
          <w:sz w:val="18"/>
          <w:szCs w:val="18"/>
        </w:rPr>
        <w:t> </w:t>
      </w:r>
      <w:r>
        <w:rPr>
          <w:rFonts w:ascii="宋体" w:hAnsi="宋体" w:cs="宋体" w:eastAsia="宋体" w:hint="default"/>
          <w:spacing w:val="-2"/>
          <w:sz w:val="18"/>
          <w:szCs w:val="18"/>
        </w:rPr>
        <w:t>86.11%，系下属公司开展业务收取的客户押金和保证金大</w:t>
      </w:r>
    </w:p>
    <w:p>
      <w:pPr>
        <w:spacing w:before="19"/>
        <w:ind w:left="380" w:right="350" w:firstLine="0"/>
        <w:jc w:val="left"/>
        <w:rPr>
          <w:rFonts w:ascii="宋体" w:hAnsi="宋体" w:cs="宋体" w:eastAsia="宋体" w:hint="default"/>
          <w:sz w:val="18"/>
          <w:szCs w:val="18"/>
        </w:rPr>
      </w:pPr>
      <w:r>
        <w:rPr>
          <w:rFonts w:ascii="宋体" w:hAnsi="宋体" w:cs="宋体" w:eastAsia="宋体" w:hint="default"/>
          <w:sz w:val="18"/>
          <w:szCs w:val="18"/>
        </w:rPr>
        <w:t>幅增长。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tabs>
          <w:tab w:pos="3983" w:val="left" w:leader="none"/>
        </w:tabs>
        <w:spacing w:line="240" w:lineRule="auto"/>
        <w:ind w:left="2721" w:right="350"/>
        <w:jc w:val="left"/>
      </w:pPr>
      <w:r>
        <w:rPr/>
        <w:t>第三章</w:t>
        <w:tab/>
        <w:t>股本变动及股东情况</w:t>
      </w:r>
    </w:p>
    <w:p>
      <w:pPr>
        <w:pStyle w:val="Heading5"/>
        <w:tabs>
          <w:tab w:pos="1942" w:val="left" w:leader="none"/>
        </w:tabs>
        <w:spacing w:line="268" w:lineRule="auto" w:before="187"/>
        <w:ind w:left="860" w:right="2555"/>
        <w:jc w:val="left"/>
        <w:rPr>
          <w:b w:val="0"/>
          <w:bCs w:val="0"/>
        </w:rPr>
      </w:pPr>
      <w:bookmarkStart w:name="第一节股本变动情况" w:id="5"/>
      <w:bookmarkEnd w:id="5"/>
      <w:r>
        <w:rPr>
          <w:b w:val="0"/>
          <w:bCs w:val="0"/>
        </w:rPr>
      </w:r>
      <w:r>
        <w:rPr/>
        <w:t>第一节</w:t>
        <w:tab/>
        <w:t>股本变动情况</w:t>
      </w:r>
      <w:r>
        <w:rPr>
          <w:spacing w:val="-56"/>
        </w:rPr>
        <w:t> </w:t>
      </w:r>
      <w:r>
        <w:rPr>
          <w:spacing w:val="-56"/>
        </w:rPr>
      </w:r>
      <w:r>
        <w:rPr>
          <w:w w:val="95"/>
        </w:rPr>
        <w:t>一、截至2009年12月31日，公司股份变动情况如下表：</w:t>
      </w:r>
      <w:r>
        <w:rPr>
          <w:b w:val="0"/>
          <w:bCs w:val="0"/>
          <w:w w:val="95"/>
        </w:rPr>
      </w:r>
    </w:p>
    <w:p>
      <w:pPr>
        <w:spacing w:before="113"/>
        <w:ind w:left="0" w:right="361"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9"/>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946"/>
        <w:gridCol w:w="1102"/>
        <w:gridCol w:w="552"/>
        <w:gridCol w:w="547"/>
        <w:gridCol w:w="370"/>
        <w:gridCol w:w="1282"/>
        <w:gridCol w:w="1099"/>
        <w:gridCol w:w="1282"/>
        <w:gridCol w:w="1246"/>
        <w:gridCol w:w="547"/>
      </w:tblGrid>
      <w:tr>
        <w:trPr>
          <w:trHeight w:val="322" w:hRule="exact"/>
        </w:trPr>
        <w:tc>
          <w:tcPr>
            <w:tcW w:w="946" w:type="dxa"/>
            <w:vMerge w:val="restart"/>
            <w:tcBorders>
              <w:top w:val="single" w:sz="4" w:space="0" w:color="000008"/>
              <w:left w:val="single" w:sz="4" w:space="0" w:color="000008"/>
              <w:right w:val="single" w:sz="4" w:space="0" w:color="000008"/>
            </w:tcBorders>
            <w:shd w:val="clear" w:color="auto" w:fill="F2F2F2"/>
          </w:tcPr>
          <w:p>
            <w:pPr>
              <w:pStyle w:val="TableParagraph"/>
              <w:spacing w:line="240" w:lineRule="auto" w:before="121"/>
              <w:ind w:left="288" w:right="28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 名称</w:t>
            </w:r>
            <w:r>
              <w:rPr>
                <w:rFonts w:ascii="Microsoft JhengHei" w:hAnsi="Microsoft JhengHei" w:cs="Microsoft JhengHei" w:eastAsia="Microsoft JhengHei" w:hint="default"/>
                <w:sz w:val="18"/>
                <w:szCs w:val="18"/>
              </w:rPr>
            </w:r>
          </w:p>
        </w:tc>
        <w:tc>
          <w:tcPr>
            <w:tcW w:w="1654" w:type="dxa"/>
            <w:gridSpan w:val="2"/>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9" w:lineRule="exact"/>
              <w:ind w:left="1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本报告期变动前</w:t>
            </w:r>
            <w:r>
              <w:rPr>
                <w:rFonts w:ascii="Microsoft JhengHei" w:hAnsi="Microsoft JhengHei" w:cs="Microsoft JhengHei" w:eastAsia="Microsoft JhengHei" w:hint="default"/>
                <w:sz w:val="18"/>
                <w:szCs w:val="18"/>
              </w:rPr>
            </w:r>
          </w:p>
        </w:tc>
        <w:tc>
          <w:tcPr>
            <w:tcW w:w="4579" w:type="dxa"/>
            <w:gridSpan w:val="5"/>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9" w:lineRule="exact"/>
              <w:ind w:left="12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本报告期变动增减（</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793" w:type="dxa"/>
            <w:gridSpan w:val="2"/>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9" w:lineRule="exact"/>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本报告期变动后</w:t>
            </w:r>
            <w:r>
              <w:rPr>
                <w:rFonts w:ascii="Microsoft JhengHei" w:hAnsi="Microsoft JhengHei" w:cs="Microsoft JhengHei" w:eastAsia="Microsoft JhengHei" w:hint="default"/>
                <w:sz w:val="18"/>
                <w:szCs w:val="18"/>
              </w:rPr>
            </w:r>
          </w:p>
        </w:tc>
      </w:tr>
      <w:tr>
        <w:trPr>
          <w:trHeight w:val="634" w:hRule="exact"/>
        </w:trPr>
        <w:tc>
          <w:tcPr>
            <w:tcW w:w="946" w:type="dxa"/>
            <w:vMerge/>
            <w:tcBorders>
              <w:left w:val="single" w:sz="4" w:space="0" w:color="000008"/>
              <w:bottom w:val="single" w:sz="4" w:space="0" w:color="000008"/>
              <w:right w:val="single" w:sz="4" w:space="0" w:color="000008"/>
            </w:tcBorders>
            <w:shd w:val="clear" w:color="auto" w:fill="F2F2F2"/>
          </w:tcPr>
          <w:p>
            <w:pPr/>
          </w:p>
        </w:tc>
        <w:tc>
          <w:tcPr>
            <w:tcW w:w="1102"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1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552"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73" w:lineRule="exact"/>
              <w:ind w:left="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pStyle w:val="TableParagraph"/>
              <w:spacing w:line="313" w:lineRule="exact"/>
              <w:ind w:left="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w:t>
            </w:r>
            <w:r>
              <w:rPr>
                <w:rFonts w:ascii="Microsoft JhengHei" w:hAnsi="Microsoft JhengHei" w:cs="Microsoft JhengHei" w:eastAsia="Microsoft JhengHei" w:hint="default"/>
                <w:w w:val="90"/>
                <w:sz w:val="18"/>
                <w:szCs w:val="18"/>
              </w:rPr>
            </w:r>
          </w:p>
        </w:tc>
        <w:tc>
          <w:tcPr>
            <w:tcW w:w="547"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73" w:lineRule="exact"/>
              <w:ind w:left="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发行</w:t>
            </w:r>
            <w:r>
              <w:rPr>
                <w:rFonts w:ascii="Microsoft JhengHei" w:hAnsi="Microsoft JhengHei" w:cs="Microsoft JhengHei" w:eastAsia="Microsoft JhengHei" w:hint="default"/>
                <w:sz w:val="18"/>
                <w:szCs w:val="18"/>
              </w:rPr>
            </w:r>
          </w:p>
          <w:p>
            <w:pPr>
              <w:pStyle w:val="TableParagraph"/>
              <w:spacing w:line="313" w:lineRule="exact"/>
              <w:ind w:left="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新股</w:t>
            </w:r>
            <w:r>
              <w:rPr>
                <w:rFonts w:ascii="Microsoft JhengHei" w:hAnsi="Microsoft JhengHei" w:cs="Microsoft JhengHei" w:eastAsia="Microsoft JhengHei" w:hint="default"/>
                <w:sz w:val="18"/>
                <w:szCs w:val="18"/>
              </w:rPr>
            </w:r>
          </w:p>
        </w:tc>
        <w:tc>
          <w:tcPr>
            <w:tcW w:w="37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73" w:lineRule="exact"/>
              <w:ind w:left="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送</w:t>
            </w:r>
            <w:r>
              <w:rPr>
                <w:rFonts w:ascii="Microsoft JhengHei" w:hAnsi="Microsoft JhengHei" w:cs="Microsoft JhengHei" w:eastAsia="Microsoft JhengHei" w:hint="default"/>
                <w:sz w:val="18"/>
                <w:szCs w:val="18"/>
              </w:rPr>
            </w:r>
          </w:p>
          <w:p>
            <w:pPr>
              <w:pStyle w:val="TableParagraph"/>
              <w:spacing w:line="313" w:lineRule="exact"/>
              <w:ind w:left="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1282"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7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公积金转股</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9"/>
                <w:sz w:val="18"/>
                <w:szCs w:val="18"/>
              </w:rPr>
              <w:t> </w:t>
            </w:r>
            <w:r>
              <w:rPr>
                <w:rFonts w:ascii="Times New Roman" w:hAnsi="Times New Roman" w:cs="Times New Roman" w:eastAsia="Times New Roman" w:hint="default"/>
                <w:b/>
                <w:bCs/>
                <w:spacing w:val="-4"/>
                <w:sz w:val="18"/>
                <w:szCs w:val="18"/>
              </w:rPr>
              <w:t>1</w:t>
            </w:r>
            <w:r>
              <w:rPr>
                <w:rFonts w:ascii="Microsoft JhengHei" w:hAnsi="Microsoft JhengHei" w:cs="Microsoft JhengHei" w:eastAsia="Microsoft JhengHei" w:hint="default"/>
                <w:b/>
                <w:bCs/>
                <w:spacing w:val="-4"/>
                <w:sz w:val="18"/>
                <w:szCs w:val="18"/>
              </w:rPr>
              <w:t>）</w:t>
            </w:r>
            <w:r>
              <w:rPr>
                <w:rFonts w:ascii="Microsoft JhengHei" w:hAnsi="Microsoft JhengHei" w:cs="Microsoft JhengHei" w:eastAsia="Microsoft JhengHei" w:hint="default"/>
                <w:spacing w:val="-4"/>
                <w:sz w:val="18"/>
                <w:szCs w:val="18"/>
              </w:rPr>
            </w:r>
          </w:p>
        </w:tc>
        <w:tc>
          <w:tcPr>
            <w:tcW w:w="1099"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73"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6"/>
                <w:sz w:val="18"/>
                <w:szCs w:val="18"/>
              </w:rPr>
              <w:t> </w:t>
            </w:r>
            <w:r>
              <w:rPr>
                <w:rFonts w:ascii="Times New Roman" w:hAnsi="Times New Roman" w:cs="Times New Roman" w:eastAsia="Times New Roman" w:hint="default"/>
                <w:b/>
                <w:bCs/>
                <w:spacing w:val="-3"/>
                <w:sz w:val="18"/>
                <w:szCs w:val="18"/>
              </w:rPr>
              <w:t>2</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c>
          <w:tcPr>
            <w:tcW w:w="1282"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1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2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1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547"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73" w:lineRule="exact"/>
              <w:ind w:left="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pStyle w:val="TableParagraph"/>
              <w:spacing w:line="313" w:lineRule="exact"/>
              <w:ind w:left="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w:t>
            </w:r>
            <w:r>
              <w:rPr>
                <w:rFonts w:ascii="Microsoft JhengHei" w:hAnsi="Microsoft JhengHei" w:cs="Microsoft JhengHei" w:eastAsia="Microsoft JhengHei" w:hint="default"/>
                <w:w w:val="90"/>
                <w:sz w:val="18"/>
                <w:szCs w:val="18"/>
              </w:rPr>
            </w:r>
          </w:p>
        </w:tc>
      </w:tr>
      <w:tr>
        <w:trPr>
          <w:trHeight w:val="636"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8"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一、有限售</w:t>
            </w:r>
            <w:r>
              <w:rPr>
                <w:rFonts w:ascii="Microsoft JhengHei" w:hAnsi="Microsoft JhengHei" w:cs="Microsoft JhengHei" w:eastAsia="Microsoft JhengHei" w:hint="default"/>
                <w:spacing w:val="-3"/>
                <w:sz w:val="18"/>
                <w:szCs w:val="18"/>
              </w:rPr>
            </w:r>
          </w:p>
          <w:p>
            <w:pPr>
              <w:pStyle w:val="TableParagraph"/>
              <w:spacing w:line="313"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条件股份</w:t>
            </w:r>
            <w:r>
              <w:rPr>
                <w:rFonts w:ascii="Microsoft JhengHei" w:hAnsi="Microsoft JhengHei" w:cs="Microsoft JhengHei" w:eastAsia="Microsoft JhengHei" w:hint="default"/>
                <w:sz w:val="18"/>
                <w:szCs w:val="18"/>
              </w:rPr>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188,238,772</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41.64</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+120,347,496</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-17,604,077</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+102,743,419</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290,982,191</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 w:right="0"/>
              <w:jc w:val="center"/>
              <w:rPr>
                <w:rFonts w:ascii="宋体" w:hAnsi="宋体" w:cs="宋体" w:eastAsia="宋体" w:hint="default"/>
                <w:sz w:val="18"/>
                <w:szCs w:val="18"/>
              </w:rPr>
            </w:pPr>
            <w:r>
              <w:rPr>
                <w:rFonts w:ascii="宋体"/>
                <w:sz w:val="18"/>
              </w:rPr>
              <w:t>37.86</w:t>
            </w:r>
          </w:p>
        </w:tc>
      </w:tr>
      <w:tr>
        <w:trPr>
          <w:trHeight w:val="634"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00" w:lineRule="auto" w:before="10"/>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 股</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97,269,424</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21.52</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+68,088,597</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+68,088,597</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165,358,021</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 w:right="0"/>
              <w:jc w:val="center"/>
              <w:rPr>
                <w:rFonts w:ascii="宋体" w:hAnsi="宋体" w:cs="宋体" w:eastAsia="宋体" w:hint="default"/>
                <w:sz w:val="18"/>
                <w:szCs w:val="18"/>
              </w:rPr>
            </w:pPr>
            <w:r>
              <w:rPr>
                <w:rFonts w:ascii="宋体"/>
                <w:sz w:val="18"/>
              </w:rPr>
              <w:t>21.52</w:t>
            </w:r>
          </w:p>
        </w:tc>
      </w:tr>
      <w:tr>
        <w:trPr>
          <w:trHeight w:val="634"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00" w:lineRule="auto" w:before="10"/>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 人持股</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36,000,000</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7.96</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+25,200,000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+25,200,000</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61,200,000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5" w:right="0"/>
              <w:jc w:val="center"/>
              <w:rPr>
                <w:rFonts w:ascii="宋体" w:hAnsi="宋体" w:cs="宋体" w:eastAsia="宋体" w:hint="default"/>
                <w:sz w:val="18"/>
                <w:szCs w:val="18"/>
              </w:rPr>
            </w:pPr>
            <w:r>
              <w:rPr>
                <w:rFonts w:ascii="宋体"/>
                <w:sz w:val="18"/>
              </w:rPr>
              <w:t>7.96</w:t>
            </w:r>
          </w:p>
        </w:tc>
      </w:tr>
      <w:tr>
        <w:trPr>
          <w:trHeight w:val="634"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00" w:lineRule="auto" w:before="10"/>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 资持股</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54,969,348</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12.16</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+27,058,899</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-17,604,077</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+9,454,822</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64,424,170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5" w:right="0"/>
              <w:jc w:val="center"/>
              <w:rPr>
                <w:rFonts w:ascii="宋体" w:hAnsi="宋体" w:cs="宋体" w:eastAsia="宋体" w:hint="default"/>
                <w:sz w:val="18"/>
                <w:szCs w:val="18"/>
              </w:rPr>
            </w:pPr>
            <w:r>
              <w:rPr>
                <w:rFonts w:ascii="宋体"/>
                <w:sz w:val="18"/>
              </w:rPr>
              <w:t>8.38</w:t>
            </w:r>
          </w:p>
        </w:tc>
      </w:tr>
    </w:tbl>
    <w:p>
      <w:pPr>
        <w:spacing w:after="0" w:line="240" w:lineRule="auto"/>
        <w:jc w:val="center"/>
        <w:rPr>
          <w:rFonts w:ascii="宋体" w:hAnsi="宋体" w:cs="宋体" w:eastAsia="宋体" w:hint="default"/>
          <w:sz w:val="18"/>
          <w:szCs w:val="18"/>
        </w:rPr>
        <w:sectPr>
          <w:pgSz w:w="11910" w:h="16840"/>
          <w:pgMar w:header="0" w:footer="1095" w:top="1000" w:bottom="1280" w:left="1600" w:right="1100"/>
        </w:sectPr>
      </w:pPr>
    </w:p>
    <w:p>
      <w:pPr>
        <w:spacing w:line="240" w:lineRule="auto" w:before="6"/>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946"/>
        <w:gridCol w:w="1102"/>
        <w:gridCol w:w="550"/>
        <w:gridCol w:w="550"/>
        <w:gridCol w:w="370"/>
        <w:gridCol w:w="1282"/>
        <w:gridCol w:w="1099"/>
        <w:gridCol w:w="1282"/>
        <w:gridCol w:w="1246"/>
        <w:gridCol w:w="547"/>
      </w:tblGrid>
      <w:tr>
        <w:trPr>
          <w:trHeight w:val="946"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16" w:lineRule="auto" w:before="13"/>
              <w:ind w:left="24" w:right="98" w:firstLine="91"/>
              <w:jc w:val="left"/>
              <w:rPr>
                <w:rFonts w:ascii="宋体" w:hAnsi="宋体" w:cs="宋体" w:eastAsia="宋体" w:hint="default"/>
                <w:sz w:val="18"/>
                <w:szCs w:val="18"/>
              </w:rPr>
            </w:pPr>
            <w:r>
              <w:rPr>
                <w:rFonts w:ascii="宋体" w:hAnsi="宋体" w:cs="宋体" w:eastAsia="宋体" w:hint="default"/>
                <w:sz w:val="18"/>
                <w:szCs w:val="18"/>
              </w:rPr>
              <w:t>其中：境 内非国有 法人持股</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28,400,000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6.28</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+19,880,000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+19,880,000</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48,280,000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6.28</w:t>
            </w:r>
          </w:p>
        </w:tc>
      </w:tr>
      <w:tr>
        <w:trPr>
          <w:trHeight w:val="636"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16" w:lineRule="auto" w:before="13"/>
              <w:ind w:left="24" w:right="191"/>
              <w:jc w:val="left"/>
              <w:rPr>
                <w:rFonts w:ascii="宋体" w:hAnsi="宋体" w:cs="宋体" w:eastAsia="宋体" w:hint="default"/>
                <w:sz w:val="18"/>
                <w:szCs w:val="18"/>
              </w:rPr>
            </w:pPr>
            <w:r>
              <w:rPr>
                <w:rFonts w:ascii="宋体" w:hAnsi="宋体" w:cs="宋体" w:eastAsia="宋体" w:hint="default"/>
                <w:sz w:val="18"/>
                <w:szCs w:val="18"/>
              </w:rPr>
              <w:t>境内自然 人持股</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26,569,348</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5.88</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+7,178,899</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-17,604,077</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-10,425,178</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16,144,170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2.10</w:t>
            </w:r>
          </w:p>
        </w:tc>
      </w:tr>
      <w:tr>
        <w:trPr>
          <w:trHeight w:val="634"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00" w:lineRule="auto" w:before="10"/>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 股</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r>
      <w:tr>
        <w:trPr>
          <w:trHeight w:val="634"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6"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二、无限售</w:t>
            </w:r>
            <w:r>
              <w:rPr>
                <w:rFonts w:ascii="Microsoft JhengHei" w:hAnsi="Microsoft JhengHei" w:cs="Microsoft JhengHei" w:eastAsia="Microsoft JhengHei" w:hint="default"/>
                <w:spacing w:val="-3"/>
                <w:sz w:val="18"/>
                <w:szCs w:val="18"/>
              </w:rPr>
            </w:r>
          </w:p>
          <w:p>
            <w:pPr>
              <w:pStyle w:val="TableParagraph"/>
              <w:spacing w:line="313"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条件股份</w:t>
            </w:r>
            <w:r>
              <w:rPr>
                <w:rFonts w:ascii="Microsoft JhengHei" w:hAnsi="Microsoft JhengHei" w:cs="Microsoft JhengHei" w:eastAsia="Microsoft JhengHei" w:hint="default"/>
                <w:sz w:val="18"/>
                <w:szCs w:val="18"/>
              </w:rPr>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263,824,670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58.36</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+196,096,913</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+17,604,077</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+213,700,990</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477,525,660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62.14</w:t>
            </w:r>
          </w:p>
        </w:tc>
      </w:tr>
      <w:tr>
        <w:trPr>
          <w:trHeight w:val="634"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00" w:lineRule="auto" w:before="10"/>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 普通股</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263,824,670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58.36</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+196,096,913</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+17,604,077</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+213,700,990</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477,525,660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62.14</w:t>
            </w:r>
          </w:p>
        </w:tc>
      </w:tr>
      <w:tr>
        <w:trPr>
          <w:trHeight w:val="946"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09" w:lineRule="auto" w:before="1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 市的外资 股</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r>
      <w:tr>
        <w:trPr>
          <w:trHeight w:val="946"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09" w:lineRule="auto" w:before="1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 市的外资 股</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r>
      <w:tr>
        <w:trPr>
          <w:trHeight w:val="324"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8"/>
              <w:jc w:val="right"/>
              <w:rPr>
                <w:rFonts w:ascii="宋体" w:hAnsi="宋体" w:cs="宋体" w:eastAsia="宋体" w:hint="default"/>
                <w:sz w:val="18"/>
                <w:szCs w:val="18"/>
              </w:rPr>
            </w:pPr>
            <w:r>
              <w:rPr>
                <w:rFonts w:ascii="宋体"/>
                <w:sz w:val="18"/>
              </w:rPr>
              <w:t>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8"/>
              <w:jc w:val="right"/>
              <w:rPr>
                <w:rFonts w:ascii="宋体" w:hAnsi="宋体" w:cs="宋体" w:eastAsia="宋体" w:hint="default"/>
                <w:sz w:val="18"/>
                <w:szCs w:val="18"/>
              </w:rPr>
            </w:pPr>
            <w:r>
              <w:rPr>
                <w:rFonts w:ascii="宋体"/>
                <w:sz w:val="18"/>
              </w:rPr>
              <w:t>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0</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8"/>
              <w:jc w:val="right"/>
              <w:rPr>
                <w:rFonts w:ascii="宋体" w:hAnsi="宋体" w:cs="宋体" w:eastAsia="宋体" w:hint="default"/>
                <w:sz w:val="18"/>
                <w:szCs w:val="18"/>
              </w:rPr>
            </w:pPr>
            <w:r>
              <w:rPr>
                <w:rFonts w:ascii="宋体"/>
                <w:sz w:val="18"/>
              </w:rPr>
              <w:t>0</w:t>
            </w:r>
          </w:p>
        </w:tc>
      </w:tr>
      <w:tr>
        <w:trPr>
          <w:trHeight w:val="634" w:hRule="exact"/>
        </w:trPr>
        <w:tc>
          <w:tcPr>
            <w:tcW w:w="946"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6"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三、股份总</w:t>
            </w:r>
            <w:r>
              <w:rPr>
                <w:rFonts w:ascii="Microsoft JhengHei" w:hAnsi="Microsoft JhengHei" w:cs="Microsoft JhengHei" w:eastAsia="Microsoft JhengHei" w:hint="default"/>
                <w:spacing w:val="-3"/>
                <w:sz w:val="18"/>
                <w:szCs w:val="18"/>
              </w:rPr>
            </w:r>
          </w:p>
          <w:p>
            <w:pPr>
              <w:pStyle w:val="TableParagraph"/>
              <w:spacing w:line="313"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w:t>
            </w:r>
            <w:r>
              <w:rPr>
                <w:rFonts w:ascii="Microsoft JhengHei" w:hAnsi="Microsoft JhengHei" w:cs="Microsoft JhengHei" w:eastAsia="Microsoft JhengHei" w:hint="default"/>
                <w:sz w:val="18"/>
                <w:szCs w:val="18"/>
              </w:rPr>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452,063,442</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w:t>
            </w:r>
          </w:p>
        </w:tc>
        <w:tc>
          <w:tcPr>
            <w:tcW w:w="5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+316,444,409</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+316,444,409</w:t>
            </w:r>
          </w:p>
        </w:tc>
        <w:tc>
          <w:tcPr>
            <w:tcW w:w="12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768,507,851</w:t>
            </w:r>
          </w:p>
        </w:tc>
        <w:tc>
          <w:tcPr>
            <w:tcW w:w="5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w:t>
            </w:r>
          </w:p>
        </w:tc>
      </w:tr>
    </w:tbl>
    <w:p>
      <w:pPr>
        <w:spacing w:line="210" w:lineRule="exact" w:before="0"/>
        <w:ind w:left="380" w:right="0" w:firstLine="0"/>
        <w:jc w:val="both"/>
        <w:rPr>
          <w:rFonts w:ascii="宋体" w:hAnsi="宋体" w:cs="宋体" w:eastAsia="宋体" w:hint="default"/>
          <w:sz w:val="18"/>
          <w:szCs w:val="18"/>
        </w:rPr>
      </w:pPr>
      <w:r>
        <w:rPr>
          <w:rFonts w:ascii="宋体" w:hAnsi="宋体" w:cs="宋体" w:eastAsia="宋体" w:hint="default"/>
          <w:sz w:val="18"/>
          <w:szCs w:val="18"/>
        </w:rPr>
        <w:t>注：1.报告期内，公司2008年度股东大会审议通过《公司2008年度利润分配预案》，涉及2008年度资本公积</w:t>
      </w:r>
    </w:p>
    <w:p>
      <w:pPr>
        <w:spacing w:line="357" w:lineRule="auto" w:before="115"/>
        <w:ind w:left="380" w:right="385" w:firstLine="0"/>
        <w:jc w:val="both"/>
        <w:rPr>
          <w:rFonts w:ascii="宋体" w:hAnsi="宋体" w:cs="宋体" w:eastAsia="宋体" w:hint="default"/>
          <w:sz w:val="18"/>
          <w:szCs w:val="18"/>
        </w:rPr>
      </w:pPr>
      <w:r>
        <w:rPr>
          <w:rFonts w:ascii="宋体" w:hAnsi="宋体" w:cs="宋体" w:eastAsia="宋体" w:hint="default"/>
          <w:sz w:val="18"/>
          <w:szCs w:val="18"/>
        </w:rPr>
        <w:t>金转增股本方案为：以公司2008年末总股本452,063,442股为基数，向全体股东以每10股转增7股的比例转增 </w:t>
      </w:r>
      <w:r>
        <w:rPr>
          <w:rFonts w:ascii="宋体" w:hAnsi="宋体" w:cs="宋体" w:eastAsia="宋体" w:hint="default"/>
          <w:spacing w:val="-1"/>
          <w:sz w:val="18"/>
          <w:szCs w:val="18"/>
        </w:rPr>
        <w:t>股本，合计转增股本316,444,409股。资本公积金转增股本方案实施后，公司总股本由452,063,442股增加为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768,507,851股；（详见2009年5月16日及5月26日刊登在《证券时报》、《中国证券报》、《上海证券报》及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巨潮资讯网上的公司公告）</w:t>
      </w:r>
    </w:p>
    <w:p>
      <w:pPr>
        <w:spacing w:line="357" w:lineRule="auto" w:before="26"/>
        <w:ind w:left="380" w:right="379" w:firstLine="360"/>
        <w:jc w:val="both"/>
        <w:rPr>
          <w:rFonts w:ascii="宋体" w:hAnsi="宋体" w:cs="宋体" w:eastAsia="宋体" w:hint="default"/>
          <w:sz w:val="18"/>
          <w:szCs w:val="18"/>
        </w:rPr>
      </w:pPr>
      <w:r>
        <w:rPr>
          <w:rFonts w:ascii="宋体" w:hAnsi="宋体" w:cs="宋体" w:eastAsia="宋体" w:hint="default"/>
          <w:spacing w:val="-2"/>
          <w:sz w:val="18"/>
          <w:szCs w:val="18"/>
        </w:rPr>
        <w:t>2.报告期内，公司其他管理人员及业务骨干所持股权激励限制性股票13,148,253股于2009年2月16日解除</w:t>
      </w:r>
      <w:r>
        <w:rPr>
          <w:rFonts w:ascii="宋体" w:hAnsi="宋体" w:cs="宋体" w:eastAsia="宋体" w:hint="default"/>
          <w:sz w:val="18"/>
          <w:szCs w:val="18"/>
        </w:rPr>
        <w:t> </w:t>
      </w:r>
      <w:r>
        <w:rPr>
          <w:rFonts w:ascii="宋体" w:hAnsi="宋体" w:cs="宋体" w:eastAsia="宋体" w:hint="default"/>
          <w:spacing w:val="-3"/>
          <w:w w:val="99"/>
          <w:sz w:val="18"/>
          <w:szCs w:val="18"/>
        </w:rPr>
        <w:t>限售；公司董事、监事、高级管理人员所持股权激励限制性股票13,056,000股于2009年4月7日解除限售。（详</w:t>
      </w:r>
      <w:r>
        <w:rPr>
          <w:rFonts w:ascii="宋体" w:hAnsi="宋体" w:cs="宋体" w:eastAsia="宋体" w:hint="default"/>
          <w:spacing w:val="-50"/>
          <w:w w:val="99"/>
          <w:sz w:val="18"/>
          <w:szCs w:val="18"/>
        </w:rPr>
        <w:t> </w:t>
      </w:r>
      <w:r>
        <w:rPr>
          <w:rFonts w:ascii="宋体" w:hAnsi="宋体" w:cs="宋体" w:eastAsia="宋体" w:hint="default"/>
          <w:spacing w:val="-50"/>
          <w:w w:val="99"/>
          <w:sz w:val="18"/>
          <w:szCs w:val="18"/>
        </w:rPr>
      </w:r>
      <w:r>
        <w:rPr>
          <w:rFonts w:ascii="宋体" w:hAnsi="宋体" w:cs="宋体" w:eastAsia="宋体" w:hint="default"/>
          <w:sz w:val="18"/>
          <w:szCs w:val="18"/>
        </w:rPr>
        <w:t>见2009年2月14日、3月17日及4月3日刊登在《证券时报》、《中国证券报》、《上海证券报》及巨潮资讯网</w:t>
      </w:r>
      <w:r>
        <w:rPr>
          <w:rFonts w:ascii="宋体" w:hAnsi="宋体" w:cs="宋体" w:eastAsia="宋体" w:hint="default"/>
          <w:sz w:val="18"/>
          <w:szCs w:val="18"/>
        </w:rPr>
        <w:t> </w:t>
      </w:r>
      <w:r>
        <w:rPr>
          <w:rFonts w:ascii="宋体" w:hAnsi="宋体" w:cs="宋体" w:eastAsia="宋体" w:hint="default"/>
          <w:spacing w:val="-2"/>
          <w:w w:val="95"/>
          <w:sz w:val="18"/>
          <w:szCs w:val="18"/>
        </w:rPr>
        <w:t>上的公司公告）根据《公司法》、《上市公司董事、监事、高级管理人员所持本公司股份及其变动管理规则》</w:t>
      </w:r>
      <w:r>
        <w:rPr>
          <w:rFonts w:ascii="宋体" w:hAnsi="宋体" w:cs="宋体" w:eastAsia="宋体" w:hint="default"/>
          <w:spacing w:val="4"/>
          <w:w w:val="95"/>
          <w:sz w:val="18"/>
          <w:szCs w:val="18"/>
        </w:rPr>
        <w:t> </w:t>
      </w:r>
      <w:r>
        <w:rPr>
          <w:rFonts w:ascii="宋体" w:hAnsi="宋体" w:cs="宋体" w:eastAsia="宋体" w:hint="default"/>
          <w:spacing w:val="4"/>
          <w:w w:val="95"/>
          <w:sz w:val="18"/>
          <w:szCs w:val="18"/>
        </w:rPr>
      </w:r>
      <w:r>
        <w:rPr>
          <w:rFonts w:ascii="宋体" w:hAnsi="宋体" w:cs="宋体" w:eastAsia="宋体" w:hint="default"/>
          <w:sz w:val="18"/>
          <w:szCs w:val="18"/>
        </w:rPr>
        <w:t>的相关规定，公司董事、监事、高级管理人员在任职期间每年转让的股票不得超过其所持本公司股票总数的</w:t>
      </w:r>
      <w:r>
        <w:rPr>
          <w:rFonts w:ascii="宋体" w:hAnsi="宋体" w:cs="宋体" w:eastAsia="宋体" w:hint="default"/>
          <w:sz w:val="18"/>
          <w:szCs w:val="18"/>
        </w:rPr>
        <w:t> </w:t>
      </w:r>
      <w:r>
        <w:rPr>
          <w:rFonts w:ascii="宋体" w:hAnsi="宋体" w:cs="宋体" w:eastAsia="宋体" w:hint="default"/>
          <w:spacing w:val="-2"/>
          <w:sz w:val="18"/>
          <w:szCs w:val="18"/>
        </w:rPr>
        <w:t>25%，离职后半年内不得转让其所持有的本公司股票，中国证劵登记结算有限责任公司根据董事、监事、高级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管理人员实际任职或离职情况对其所持公司股份进行锁定；上述变动不涉及公司总股本变动，为股本结构变 动。</w:t>
      </w:r>
    </w:p>
    <w:p>
      <w:pPr>
        <w:spacing w:line="240" w:lineRule="auto" w:before="2"/>
        <w:rPr>
          <w:rFonts w:ascii="宋体" w:hAnsi="宋体" w:cs="宋体" w:eastAsia="宋体" w:hint="default"/>
          <w:sz w:val="25"/>
          <w:szCs w:val="25"/>
        </w:rPr>
      </w:pPr>
    </w:p>
    <w:p>
      <w:pPr>
        <w:pStyle w:val="Heading5"/>
        <w:spacing w:line="240" w:lineRule="auto"/>
        <w:ind w:left="860" w:right="3701"/>
        <w:jc w:val="left"/>
        <w:rPr>
          <w:rFonts w:ascii="宋体" w:hAnsi="宋体" w:cs="宋体" w:eastAsia="宋体" w:hint="default"/>
          <w:b w:val="0"/>
          <w:bCs w:val="0"/>
        </w:rPr>
      </w:pPr>
      <w:r>
        <w:rPr/>
        <w:t>二、限售股份情况变动如下表 </w:t>
      </w:r>
      <w:r>
        <w:rPr>
          <w:spacing w:val="8"/>
        </w:rPr>
        <w:t> </w:t>
      </w:r>
      <w:r>
        <w:rPr>
          <w:rFonts w:ascii="宋体" w:hAnsi="宋体" w:cs="宋体" w:eastAsia="宋体" w:hint="default"/>
          <w:b w:val="0"/>
          <w:bCs w:val="0"/>
        </w:rPr>
        <w:t>：</w:t>
      </w:r>
    </w:p>
    <w:p>
      <w:pPr>
        <w:spacing w:before="177"/>
        <w:ind w:left="0" w:right="385" w:firstLine="0"/>
        <w:jc w:val="right"/>
        <w:rPr>
          <w:rFonts w:ascii="宋体" w:hAnsi="宋体" w:cs="宋体" w:eastAsia="宋体" w:hint="default"/>
          <w:sz w:val="18"/>
          <w:szCs w:val="18"/>
        </w:rPr>
      </w:pPr>
      <w:r>
        <w:rPr>
          <w:rFonts w:ascii="宋体" w:hAnsi="宋体" w:cs="宋体" w:eastAsia="宋体" w:hint="default"/>
          <w:spacing w:val="-1"/>
          <w:sz w:val="18"/>
          <w:szCs w:val="18"/>
        </w:rPr>
        <w:t>单位:股</w:t>
      </w: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60"/>
        <w:gridCol w:w="1440"/>
        <w:gridCol w:w="1260"/>
        <w:gridCol w:w="1260"/>
        <w:gridCol w:w="1440"/>
        <w:gridCol w:w="720"/>
        <w:gridCol w:w="1325"/>
      </w:tblGrid>
      <w:tr>
        <w:trPr>
          <w:trHeight w:val="634" w:hRule="exact"/>
        </w:trPr>
        <w:tc>
          <w:tcPr>
            <w:tcW w:w="156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89"/>
              <w:ind w:left="3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股东名称</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89"/>
              <w:ind w:right="10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年初限售股数</w:t>
            </w:r>
            <w:r>
              <w:rPr>
                <w:rFonts w:ascii="Microsoft JhengHei" w:hAnsi="Microsoft JhengHei" w:cs="Microsoft JhengHei" w:eastAsia="Microsoft JhengHei" w:hint="default"/>
                <w:sz w:val="20"/>
                <w:szCs w:val="20"/>
              </w:rPr>
            </w:r>
          </w:p>
        </w:tc>
        <w:tc>
          <w:tcPr>
            <w:tcW w:w="126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本年解除限</w:t>
            </w:r>
            <w:r>
              <w:rPr>
                <w:rFonts w:ascii="Microsoft JhengHei" w:hAnsi="Microsoft JhengHei" w:cs="Microsoft JhengHei" w:eastAsia="Microsoft JhengHei" w:hint="default"/>
                <w:sz w:val="20"/>
                <w:szCs w:val="20"/>
              </w:rPr>
            </w:r>
          </w:p>
          <w:p>
            <w:pPr>
              <w:pStyle w:val="TableParagraph"/>
              <w:spacing w:line="330"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售股数</w:t>
            </w:r>
            <w:r>
              <w:rPr>
                <w:rFonts w:ascii="Microsoft JhengHei" w:hAnsi="Microsoft JhengHei" w:cs="Microsoft JhengHei" w:eastAsia="Microsoft JhengHei" w:hint="default"/>
                <w:sz w:val="20"/>
                <w:szCs w:val="20"/>
              </w:rPr>
            </w:r>
          </w:p>
        </w:tc>
        <w:tc>
          <w:tcPr>
            <w:tcW w:w="126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3" w:lineRule="exact"/>
              <w:ind w:left="22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本年增加</w:t>
            </w:r>
            <w:r>
              <w:rPr>
                <w:rFonts w:ascii="Microsoft JhengHei" w:hAnsi="Microsoft JhengHei" w:cs="Microsoft JhengHei" w:eastAsia="Microsoft JhengHei" w:hint="default"/>
                <w:sz w:val="20"/>
                <w:szCs w:val="20"/>
              </w:rPr>
            </w:r>
          </w:p>
          <w:p>
            <w:pPr>
              <w:pStyle w:val="TableParagraph"/>
              <w:spacing w:line="330" w:lineRule="exact"/>
              <w:ind w:left="22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限售股数</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89"/>
              <w:ind w:right="10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年末限售股数</w:t>
            </w:r>
            <w:r>
              <w:rPr>
                <w:rFonts w:ascii="Microsoft JhengHei" w:hAnsi="Microsoft JhengHei" w:cs="Microsoft JhengHei" w:eastAsia="Microsoft JhengHei" w:hint="default"/>
                <w:sz w:val="20"/>
                <w:szCs w:val="20"/>
              </w:rPr>
            </w:r>
          </w:p>
        </w:tc>
        <w:tc>
          <w:tcPr>
            <w:tcW w:w="72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3" w:lineRule="exact"/>
              <w:ind w:left="1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限售</w:t>
            </w:r>
            <w:r>
              <w:rPr>
                <w:rFonts w:ascii="Microsoft JhengHei" w:hAnsi="Microsoft JhengHei" w:cs="Microsoft JhengHei" w:eastAsia="Microsoft JhengHei" w:hint="default"/>
                <w:sz w:val="20"/>
                <w:szCs w:val="20"/>
              </w:rPr>
            </w:r>
          </w:p>
          <w:p>
            <w:pPr>
              <w:pStyle w:val="TableParagraph"/>
              <w:spacing w:line="330" w:lineRule="exact"/>
              <w:ind w:left="1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原因</w:t>
            </w:r>
            <w:r>
              <w:rPr>
                <w:rFonts w:ascii="Microsoft JhengHei" w:hAnsi="Microsoft JhengHei" w:cs="Microsoft JhengHei" w:eastAsia="Microsoft JhengHei" w:hint="default"/>
                <w:sz w:val="20"/>
                <w:szCs w:val="20"/>
              </w:rPr>
            </w:r>
          </w:p>
        </w:tc>
        <w:tc>
          <w:tcPr>
            <w:tcW w:w="1325"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3"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解除限售</w:t>
            </w:r>
            <w:r>
              <w:rPr>
                <w:rFonts w:ascii="Microsoft JhengHei" w:hAnsi="Microsoft JhengHei" w:cs="Microsoft JhengHei" w:eastAsia="Microsoft JhengHei" w:hint="default"/>
                <w:sz w:val="20"/>
                <w:szCs w:val="20"/>
              </w:rPr>
            </w:r>
          </w:p>
          <w:p>
            <w:pPr>
              <w:pStyle w:val="TableParagraph"/>
              <w:spacing w:line="330"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日期</w:t>
            </w:r>
            <w:r>
              <w:rPr>
                <w:rFonts w:ascii="Microsoft JhengHei" w:hAnsi="Microsoft JhengHei" w:cs="Microsoft JhengHei" w:eastAsia="Microsoft JhengHei" w:hint="default"/>
                <w:sz w:val="20"/>
                <w:szCs w:val="20"/>
              </w:rPr>
            </w:r>
          </w:p>
        </w:tc>
      </w:tr>
      <w:tr>
        <w:trPr>
          <w:trHeight w:val="319" w:hRule="exact"/>
        </w:trPr>
        <w:tc>
          <w:tcPr>
            <w:tcW w:w="1560" w:type="dxa"/>
            <w:tcBorders>
              <w:top w:val="single" w:sz="4" w:space="0" w:color="000008"/>
              <w:left w:val="single" w:sz="4" w:space="0" w:color="000008"/>
              <w:bottom w:val="nil" w:sz="6" w:space="0" w:color="auto"/>
              <w:right w:val="single" w:sz="4" w:space="0" w:color="000008"/>
            </w:tcBorders>
          </w:tcPr>
          <w:p>
            <w:pPr/>
          </w:p>
        </w:tc>
        <w:tc>
          <w:tcPr>
            <w:tcW w:w="1440" w:type="dxa"/>
            <w:tcBorders>
              <w:top w:val="single" w:sz="4" w:space="0" w:color="000008"/>
              <w:left w:val="single" w:sz="4" w:space="0" w:color="000008"/>
              <w:bottom w:val="nil" w:sz="6" w:space="0" w:color="auto"/>
              <w:right w:val="single" w:sz="4" w:space="0" w:color="000008"/>
            </w:tcBorders>
          </w:tcPr>
          <w:p>
            <w:pPr/>
          </w:p>
        </w:tc>
        <w:tc>
          <w:tcPr>
            <w:tcW w:w="1260" w:type="dxa"/>
            <w:tcBorders>
              <w:top w:val="single" w:sz="4" w:space="0" w:color="000008"/>
              <w:left w:val="single" w:sz="4" w:space="0" w:color="000008"/>
              <w:bottom w:val="nil" w:sz="6" w:space="0" w:color="auto"/>
              <w:right w:val="single" w:sz="4" w:space="0" w:color="000008"/>
            </w:tcBorders>
          </w:tcPr>
          <w:p>
            <w:pPr/>
          </w:p>
        </w:tc>
        <w:tc>
          <w:tcPr>
            <w:tcW w:w="1260" w:type="dxa"/>
            <w:tcBorders>
              <w:top w:val="single" w:sz="4" w:space="0" w:color="000008"/>
              <w:left w:val="single" w:sz="4" w:space="0" w:color="000008"/>
              <w:bottom w:val="nil" w:sz="6" w:space="0" w:color="auto"/>
              <w:right w:val="single" w:sz="4" w:space="0" w:color="000008"/>
            </w:tcBorders>
          </w:tcPr>
          <w:p>
            <w:pPr/>
          </w:p>
        </w:tc>
        <w:tc>
          <w:tcPr>
            <w:tcW w:w="144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132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9</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12</w:t>
            </w:r>
          </w:p>
        </w:tc>
      </w:tr>
      <w:tr>
        <w:trPr>
          <w:trHeight w:val="936" w:hRule="exact"/>
        </w:trPr>
        <w:tc>
          <w:tcPr>
            <w:tcW w:w="1560" w:type="dxa"/>
            <w:tcBorders>
              <w:top w:val="nil" w:sz="6" w:space="0" w:color="auto"/>
              <w:left w:val="single" w:sz="4" w:space="0" w:color="000008"/>
              <w:bottom w:val="nil" w:sz="6" w:space="0" w:color="auto"/>
              <w:right w:val="single" w:sz="4" w:space="0" w:color="000008"/>
            </w:tcBorders>
          </w:tcPr>
          <w:p>
            <w:pPr>
              <w:pStyle w:val="TableParagraph"/>
              <w:spacing w:line="285" w:lineRule="auto" w:before="150"/>
              <w:ind w:left="105" w:right="108"/>
              <w:jc w:val="left"/>
              <w:rPr>
                <w:rFonts w:ascii="宋体" w:hAnsi="宋体" w:cs="宋体" w:eastAsia="宋体" w:hint="default"/>
                <w:sz w:val="20"/>
                <w:szCs w:val="20"/>
              </w:rPr>
            </w:pPr>
            <w:r>
              <w:rPr>
                <w:rFonts w:ascii="宋体" w:hAnsi="宋体" w:cs="宋体" w:eastAsia="宋体" w:hint="default"/>
                <w:spacing w:val="12"/>
                <w:sz w:val="20"/>
                <w:szCs w:val="20"/>
              </w:rPr>
              <w:t>深圳</w:t>
            </w:r>
            <w:r>
              <w:rPr>
                <w:rFonts w:ascii="宋体" w:hAnsi="宋体" w:cs="宋体" w:eastAsia="宋体" w:hint="default"/>
                <w:spacing w:val="-74"/>
                <w:sz w:val="20"/>
                <w:szCs w:val="20"/>
              </w:rPr>
              <w:t> </w:t>
            </w:r>
            <w:r>
              <w:rPr>
                <w:rFonts w:ascii="宋体" w:hAnsi="宋体" w:cs="宋体" w:eastAsia="宋体" w:hint="default"/>
                <w:sz w:val="20"/>
                <w:szCs w:val="20"/>
              </w:rPr>
              <w:t>市</w:t>
            </w:r>
            <w:r>
              <w:rPr>
                <w:rFonts w:ascii="宋体" w:hAnsi="宋体" w:cs="宋体" w:eastAsia="宋体" w:hint="default"/>
                <w:spacing w:val="-74"/>
                <w:sz w:val="20"/>
                <w:szCs w:val="20"/>
              </w:rPr>
              <w:t> </w:t>
            </w:r>
            <w:r>
              <w:rPr>
                <w:rFonts w:ascii="宋体" w:hAnsi="宋体" w:cs="宋体" w:eastAsia="宋体" w:hint="default"/>
                <w:sz w:val="20"/>
                <w:szCs w:val="20"/>
              </w:rPr>
              <w:t>国</w:t>
            </w:r>
            <w:r>
              <w:rPr>
                <w:rFonts w:ascii="宋体" w:hAnsi="宋体" w:cs="宋体" w:eastAsia="宋体" w:hint="default"/>
                <w:spacing w:val="-74"/>
                <w:sz w:val="20"/>
                <w:szCs w:val="20"/>
              </w:rPr>
              <w:t> </w:t>
            </w:r>
            <w:r>
              <w:rPr>
                <w:rFonts w:ascii="宋体" w:hAnsi="宋体" w:cs="宋体" w:eastAsia="宋体" w:hint="default"/>
                <w:sz w:val="20"/>
                <w:szCs w:val="20"/>
              </w:rPr>
              <w:t>有</w:t>
            </w:r>
            <w:r>
              <w:rPr>
                <w:rFonts w:ascii="宋体" w:hAnsi="宋体" w:cs="宋体" w:eastAsia="宋体" w:hint="default"/>
                <w:spacing w:val="-74"/>
                <w:sz w:val="20"/>
                <w:szCs w:val="20"/>
              </w:rPr>
              <w:t> </w:t>
            </w:r>
            <w:r>
              <w:rPr>
                <w:rFonts w:ascii="宋体" w:hAnsi="宋体" w:cs="宋体" w:eastAsia="宋体" w:hint="default"/>
                <w:sz w:val="20"/>
                <w:szCs w:val="20"/>
              </w:rPr>
              <w:t>资</w:t>
            </w:r>
            <w:r>
              <w:rPr>
                <w:rFonts w:ascii="宋体" w:hAnsi="宋体" w:cs="宋体" w:eastAsia="宋体" w:hint="default"/>
                <w:w w:val="99"/>
                <w:sz w:val="20"/>
                <w:szCs w:val="20"/>
              </w:rPr>
              <w:t> </w:t>
            </w:r>
            <w:r>
              <w:rPr>
                <w:rFonts w:ascii="宋体" w:hAnsi="宋体" w:cs="宋体" w:eastAsia="宋体" w:hint="default"/>
                <w:sz w:val="20"/>
                <w:szCs w:val="20"/>
              </w:rPr>
              <w:t>产监督管理局</w:t>
            </w:r>
          </w:p>
        </w:tc>
        <w:tc>
          <w:tcPr>
            <w:tcW w:w="1440" w:type="dxa"/>
            <w:tcBorders>
              <w:top w:val="nil" w:sz="6" w:space="0" w:color="auto"/>
              <w:left w:val="single" w:sz="4" w:space="0" w:color="000008"/>
              <w:bottom w:val="nil" w:sz="6" w:space="0" w:color="auto"/>
              <w:right w:val="single" w:sz="4"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5"/>
              <w:jc w:val="right"/>
              <w:rPr>
                <w:rFonts w:ascii="宋体" w:hAnsi="宋体" w:cs="宋体" w:eastAsia="宋体" w:hint="default"/>
                <w:sz w:val="20"/>
                <w:szCs w:val="20"/>
              </w:rPr>
            </w:pPr>
            <w:r>
              <w:rPr>
                <w:rFonts w:ascii="宋体"/>
                <w:sz w:val="20"/>
              </w:rPr>
              <w:t>97,269,424</w:t>
            </w: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w w:val="99"/>
                <w:sz w:val="20"/>
              </w:rPr>
              <w:t>0</w:t>
            </w:r>
            <w:r>
              <w:rPr>
                <w:rFonts w:ascii="宋体"/>
                <w:sz w:val="20"/>
              </w:rPr>
            </w: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7" w:right="0"/>
              <w:jc w:val="left"/>
              <w:rPr>
                <w:rFonts w:ascii="宋体" w:hAnsi="宋体" w:cs="宋体" w:eastAsia="宋体" w:hint="default"/>
                <w:sz w:val="18"/>
                <w:szCs w:val="18"/>
              </w:rPr>
            </w:pPr>
            <w:r>
              <w:rPr>
                <w:rFonts w:ascii="宋体"/>
                <w:sz w:val="18"/>
              </w:rPr>
              <w:t>68,088,597</w:t>
            </w:r>
          </w:p>
        </w:tc>
        <w:tc>
          <w:tcPr>
            <w:tcW w:w="1440" w:type="dxa"/>
            <w:tcBorders>
              <w:top w:val="nil" w:sz="6" w:space="0" w:color="auto"/>
              <w:left w:val="single" w:sz="4" w:space="0" w:color="000008"/>
              <w:bottom w:val="nil" w:sz="6" w:space="0" w:color="auto"/>
              <w:right w:val="single" w:sz="4" w:space="0" w:color="000008"/>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165,358,021</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80"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1</w:t>
            </w: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316" w:lineRule="auto" w:before="10"/>
              <w:ind w:left="117" w:right="115"/>
              <w:jc w:val="both"/>
              <w:rPr>
                <w:rFonts w:ascii="宋体" w:hAnsi="宋体" w:cs="宋体" w:eastAsia="宋体" w:hint="default"/>
                <w:sz w:val="18"/>
                <w:szCs w:val="18"/>
              </w:rPr>
            </w:pPr>
            <w:r>
              <w:rPr>
                <w:rFonts w:ascii="宋体" w:hAnsi="宋体" w:cs="宋体" w:eastAsia="宋体" w:hint="default"/>
                <w:sz w:val="18"/>
                <w:szCs w:val="18"/>
              </w:rPr>
              <w:t>日可全部解除 限售，但尚未 解除限售，现</w:t>
            </w:r>
          </w:p>
        </w:tc>
      </w:tr>
      <w:tr>
        <w:trPr>
          <w:trHeight w:val="317" w:hRule="exact"/>
        </w:trPr>
        <w:tc>
          <w:tcPr>
            <w:tcW w:w="1560" w:type="dxa"/>
            <w:tcBorders>
              <w:top w:val="nil" w:sz="6" w:space="0" w:color="auto"/>
              <w:left w:val="single" w:sz="4" w:space="0" w:color="000008"/>
              <w:bottom w:val="single" w:sz="4" w:space="0" w:color="000008"/>
              <w:right w:val="single" w:sz="4" w:space="0" w:color="000008"/>
            </w:tcBorders>
          </w:tcPr>
          <w:p>
            <w:pPr/>
          </w:p>
        </w:tc>
        <w:tc>
          <w:tcPr>
            <w:tcW w:w="1440" w:type="dxa"/>
            <w:tcBorders>
              <w:top w:val="nil" w:sz="6" w:space="0" w:color="auto"/>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44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1325"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正办理之中</w:t>
            </w:r>
          </w:p>
        </w:tc>
      </w:tr>
    </w:tbl>
    <w:p>
      <w:pPr>
        <w:spacing w:after="0" w:line="240" w:lineRule="auto"/>
        <w:jc w:val="center"/>
        <w:rPr>
          <w:rFonts w:ascii="宋体" w:hAnsi="宋体" w:cs="宋体" w:eastAsia="宋体" w:hint="default"/>
          <w:sz w:val="18"/>
          <w:szCs w:val="18"/>
        </w:rPr>
        <w:sectPr>
          <w:pgSz w:w="11910" w:h="16840"/>
          <w:pgMar w:header="0" w:footer="1095" w:top="1000" w:bottom="1280" w:left="1600" w:right="1080"/>
        </w:sectPr>
      </w:pPr>
    </w:p>
    <w:p>
      <w:pPr>
        <w:spacing w:line="240" w:lineRule="auto" w:before="6"/>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560"/>
        <w:gridCol w:w="1440"/>
        <w:gridCol w:w="1260"/>
        <w:gridCol w:w="1260"/>
        <w:gridCol w:w="1440"/>
        <w:gridCol w:w="720"/>
        <w:gridCol w:w="1325"/>
      </w:tblGrid>
      <w:tr>
        <w:trPr>
          <w:trHeight w:val="946" w:hRule="exact"/>
        </w:trPr>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pacing w:val="10"/>
                <w:sz w:val="18"/>
                <w:szCs w:val="18"/>
              </w:rPr>
              <w:t>深圳市远致投资</w:t>
            </w:r>
            <w:r>
              <w:rPr>
                <w:rFonts w:ascii="宋体" w:hAnsi="宋体" w:cs="宋体" w:eastAsia="宋体" w:hint="default"/>
                <w:sz w:val="18"/>
                <w:szCs w:val="18"/>
              </w:rPr>
              <w:t> 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w w:val="99"/>
                <w:sz w:val="20"/>
              </w:rPr>
              <w:t>0</w:t>
            </w:r>
            <w:r>
              <w:rPr>
                <w:rFonts w:ascii="宋体"/>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16,100,000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39,100,000</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132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5"/>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7</w:t>
            </w:r>
            <w:r>
              <w:rPr>
                <w:rFonts w:ascii="宋体" w:hAnsi="宋体" w:cs="宋体" w:eastAsia="宋体" w:hint="default"/>
                <w:spacing w:val="-52"/>
                <w:sz w:val="20"/>
                <w:szCs w:val="20"/>
              </w:rPr>
              <w:t> </w:t>
            </w:r>
            <w:r>
              <w:rPr>
                <w:rFonts w:ascii="宋体" w:hAnsi="宋体" w:cs="宋体" w:eastAsia="宋体" w:hint="default"/>
                <w:sz w:val="20"/>
                <w:szCs w:val="20"/>
              </w:rPr>
              <w:t>月</w:t>
            </w:r>
          </w:p>
          <w:p>
            <w:pPr>
              <w:pStyle w:val="TableParagraph"/>
              <w:spacing w:line="285" w:lineRule="auto" w:before="50"/>
              <w:ind w:left="256" w:right="132" w:hanging="125"/>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2"/>
                <w:sz w:val="20"/>
                <w:szCs w:val="20"/>
              </w:rPr>
              <w:t> </w:t>
            </w:r>
            <w:r>
              <w:rPr>
                <w:rFonts w:ascii="宋体" w:hAnsi="宋体" w:cs="宋体" w:eastAsia="宋体" w:hint="default"/>
                <w:sz w:val="20"/>
                <w:szCs w:val="20"/>
              </w:rPr>
              <w:t>日可全部</w:t>
            </w:r>
            <w:r>
              <w:rPr>
                <w:rFonts w:ascii="宋体" w:hAnsi="宋体" w:cs="宋体" w:eastAsia="宋体" w:hint="default"/>
                <w:w w:val="99"/>
                <w:sz w:val="20"/>
                <w:szCs w:val="20"/>
              </w:rPr>
              <w:t> </w:t>
            </w:r>
            <w:r>
              <w:rPr>
                <w:rFonts w:ascii="宋体" w:hAnsi="宋体" w:cs="宋体" w:eastAsia="宋体" w:hint="default"/>
                <w:sz w:val="20"/>
                <w:szCs w:val="20"/>
              </w:rPr>
              <w:t>解除限售</w:t>
            </w:r>
          </w:p>
        </w:tc>
      </w:tr>
      <w:tr>
        <w:trPr>
          <w:trHeight w:val="948" w:hRule="exact"/>
        </w:trPr>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pacing w:val="10"/>
                <w:sz w:val="18"/>
                <w:szCs w:val="18"/>
              </w:rPr>
              <w:t>世纪阳光控股集</w:t>
            </w:r>
            <w:r>
              <w:rPr>
                <w:rFonts w:ascii="宋体" w:hAnsi="宋体" w:cs="宋体" w:eastAsia="宋体" w:hint="default"/>
                <w:sz w:val="18"/>
                <w:szCs w:val="18"/>
              </w:rPr>
              <w:t> 团有限公司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w w:val="99"/>
                <w:sz w:val="20"/>
              </w:rPr>
              <w:t>0</w:t>
            </w:r>
            <w:r>
              <w:rPr>
                <w:rFonts w:ascii="宋体"/>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10,500,000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25,500,000</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132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5"/>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7</w:t>
            </w:r>
            <w:r>
              <w:rPr>
                <w:rFonts w:ascii="宋体" w:hAnsi="宋体" w:cs="宋体" w:eastAsia="宋体" w:hint="default"/>
                <w:spacing w:val="-52"/>
                <w:sz w:val="20"/>
                <w:szCs w:val="20"/>
              </w:rPr>
              <w:t> </w:t>
            </w:r>
            <w:r>
              <w:rPr>
                <w:rFonts w:ascii="宋体" w:hAnsi="宋体" w:cs="宋体" w:eastAsia="宋体" w:hint="default"/>
                <w:sz w:val="20"/>
                <w:szCs w:val="20"/>
              </w:rPr>
              <w:t>月</w:t>
            </w:r>
          </w:p>
          <w:p>
            <w:pPr>
              <w:pStyle w:val="TableParagraph"/>
              <w:spacing w:line="285" w:lineRule="auto" w:before="50"/>
              <w:ind w:left="256" w:right="132" w:hanging="125"/>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2"/>
                <w:sz w:val="20"/>
                <w:szCs w:val="20"/>
              </w:rPr>
              <w:t> </w:t>
            </w:r>
            <w:r>
              <w:rPr>
                <w:rFonts w:ascii="宋体" w:hAnsi="宋体" w:cs="宋体" w:eastAsia="宋体" w:hint="default"/>
                <w:sz w:val="20"/>
                <w:szCs w:val="20"/>
              </w:rPr>
              <w:t>日可全部</w:t>
            </w:r>
            <w:r>
              <w:rPr>
                <w:rFonts w:ascii="宋体" w:hAnsi="宋体" w:cs="宋体" w:eastAsia="宋体" w:hint="default"/>
                <w:w w:val="99"/>
                <w:sz w:val="20"/>
                <w:szCs w:val="20"/>
              </w:rPr>
              <w:t> </w:t>
            </w:r>
            <w:r>
              <w:rPr>
                <w:rFonts w:ascii="宋体" w:hAnsi="宋体" w:cs="宋体" w:eastAsia="宋体" w:hint="default"/>
                <w:sz w:val="20"/>
                <w:szCs w:val="20"/>
              </w:rPr>
              <w:t>解除限售</w:t>
            </w:r>
          </w:p>
        </w:tc>
      </w:tr>
      <w:tr>
        <w:trPr>
          <w:trHeight w:val="946" w:hRule="exact"/>
        </w:trPr>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pacing w:val="10"/>
                <w:sz w:val="18"/>
                <w:szCs w:val="18"/>
              </w:rPr>
              <w:t>深圳华强鼎信投</w:t>
            </w:r>
            <w:r>
              <w:rPr>
                <w:rFonts w:ascii="宋体" w:hAnsi="宋体" w:cs="宋体" w:eastAsia="宋体" w:hint="default"/>
                <w:sz w:val="18"/>
                <w:szCs w:val="18"/>
              </w:rPr>
              <w:t> 资有限公司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12,400,000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w w:val="99"/>
                <w:sz w:val="20"/>
              </w:rPr>
              <w:t>0</w:t>
            </w:r>
            <w:r>
              <w:rPr>
                <w:rFonts w:ascii="宋体"/>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8,680,000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21,080,000</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132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7</w:t>
            </w:r>
            <w:r>
              <w:rPr>
                <w:rFonts w:ascii="宋体" w:hAnsi="宋体" w:cs="宋体" w:eastAsia="宋体" w:hint="default"/>
                <w:spacing w:val="-47"/>
                <w:sz w:val="20"/>
                <w:szCs w:val="20"/>
              </w:rPr>
              <w:t> </w:t>
            </w:r>
            <w:r>
              <w:rPr>
                <w:rFonts w:ascii="宋体" w:hAnsi="宋体" w:cs="宋体" w:eastAsia="宋体" w:hint="default"/>
                <w:sz w:val="20"/>
                <w:szCs w:val="20"/>
              </w:rPr>
              <w:t>月</w:t>
            </w:r>
          </w:p>
          <w:p>
            <w:pPr>
              <w:pStyle w:val="TableParagraph"/>
              <w:spacing w:line="285" w:lineRule="auto" w:before="50"/>
              <w:ind w:left="103" w:right="108"/>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40"/>
                <w:sz w:val="20"/>
                <w:szCs w:val="20"/>
              </w:rPr>
              <w:t> </w:t>
            </w:r>
            <w:r>
              <w:rPr>
                <w:rFonts w:ascii="宋体" w:hAnsi="宋体" w:cs="宋体" w:eastAsia="宋体" w:hint="default"/>
                <w:spacing w:val="10"/>
                <w:sz w:val="20"/>
                <w:szCs w:val="20"/>
              </w:rPr>
              <w:t>日可全部</w:t>
            </w:r>
            <w:r>
              <w:rPr>
                <w:rFonts w:ascii="宋体" w:hAnsi="宋体" w:cs="宋体" w:eastAsia="宋体" w:hint="default"/>
                <w:w w:val="99"/>
                <w:sz w:val="20"/>
                <w:szCs w:val="20"/>
              </w:rPr>
              <w:t> </w:t>
            </w:r>
            <w:r>
              <w:rPr>
                <w:rFonts w:ascii="宋体" w:hAnsi="宋体" w:cs="宋体" w:eastAsia="宋体" w:hint="default"/>
                <w:sz w:val="20"/>
                <w:szCs w:val="20"/>
              </w:rPr>
              <w:t>解除限售</w:t>
            </w:r>
          </w:p>
        </w:tc>
      </w:tr>
      <w:tr>
        <w:trPr>
          <w:trHeight w:val="317" w:hRule="exact"/>
        </w:trPr>
        <w:tc>
          <w:tcPr>
            <w:tcW w:w="15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10"/>
                <w:sz w:val="18"/>
                <w:szCs w:val="18"/>
              </w:rPr>
              <w:t>无锡市国联发展</w:t>
            </w:r>
          </w:p>
        </w:tc>
        <w:tc>
          <w:tcPr>
            <w:tcW w:w="1440" w:type="dxa"/>
            <w:tcBorders>
              <w:top w:val="single" w:sz="4" w:space="0" w:color="000008"/>
              <w:left w:val="single" w:sz="4" w:space="0" w:color="000008"/>
              <w:bottom w:val="nil" w:sz="6" w:space="0" w:color="auto"/>
              <w:right w:val="single" w:sz="4" w:space="0" w:color="000008"/>
            </w:tcBorders>
          </w:tcPr>
          <w:p>
            <w:pPr/>
          </w:p>
        </w:tc>
        <w:tc>
          <w:tcPr>
            <w:tcW w:w="1260" w:type="dxa"/>
            <w:tcBorders>
              <w:top w:val="single" w:sz="4" w:space="0" w:color="000008"/>
              <w:left w:val="single" w:sz="4" w:space="0" w:color="000008"/>
              <w:bottom w:val="nil" w:sz="6" w:space="0" w:color="auto"/>
              <w:right w:val="single" w:sz="4" w:space="0" w:color="000008"/>
            </w:tcBorders>
          </w:tcPr>
          <w:p>
            <w:pPr/>
          </w:p>
        </w:tc>
        <w:tc>
          <w:tcPr>
            <w:tcW w:w="1260" w:type="dxa"/>
            <w:tcBorders>
              <w:top w:val="single" w:sz="4" w:space="0" w:color="000008"/>
              <w:left w:val="single" w:sz="4" w:space="0" w:color="000008"/>
              <w:bottom w:val="nil" w:sz="6" w:space="0" w:color="auto"/>
              <w:right w:val="single" w:sz="4" w:space="0" w:color="000008"/>
            </w:tcBorders>
          </w:tcPr>
          <w:p>
            <w:pPr/>
          </w:p>
        </w:tc>
        <w:tc>
          <w:tcPr>
            <w:tcW w:w="144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1325" w:type="dxa"/>
            <w:tcBorders>
              <w:top w:val="single" w:sz="4" w:space="0" w:color="000008"/>
              <w:left w:val="single" w:sz="4" w:space="0" w:color="000008"/>
              <w:bottom w:val="nil" w:sz="6" w:space="0" w:color="auto"/>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7</w:t>
            </w:r>
            <w:r>
              <w:rPr>
                <w:rFonts w:ascii="宋体" w:hAnsi="宋体" w:cs="宋体" w:eastAsia="宋体" w:hint="default"/>
                <w:spacing w:val="-47"/>
                <w:sz w:val="20"/>
                <w:szCs w:val="20"/>
              </w:rPr>
              <w:t> </w:t>
            </w:r>
            <w:r>
              <w:rPr>
                <w:rFonts w:ascii="宋体" w:hAnsi="宋体" w:cs="宋体" w:eastAsia="宋体" w:hint="default"/>
                <w:sz w:val="20"/>
                <w:szCs w:val="20"/>
              </w:rPr>
              <w:t>月</w:t>
            </w:r>
          </w:p>
        </w:tc>
      </w:tr>
      <w:tr>
        <w:trPr>
          <w:trHeight w:val="312" w:hRule="exact"/>
        </w:trPr>
        <w:tc>
          <w:tcPr>
            <w:tcW w:w="1560"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10"/>
                <w:sz w:val="18"/>
                <w:szCs w:val="18"/>
              </w:rPr>
              <w:t>（集团）有限公</w:t>
            </w:r>
          </w:p>
        </w:tc>
        <w:tc>
          <w:tcPr>
            <w:tcW w:w="1440"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10,000,000</w:t>
            </w: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56"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7,000,000</w:t>
            </w:r>
          </w:p>
        </w:tc>
        <w:tc>
          <w:tcPr>
            <w:tcW w:w="1440"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17,000,000</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41"/>
                <w:sz w:val="20"/>
                <w:szCs w:val="20"/>
              </w:rPr>
              <w:t> </w:t>
            </w:r>
            <w:r>
              <w:rPr>
                <w:rFonts w:ascii="宋体" w:hAnsi="宋体" w:cs="宋体" w:eastAsia="宋体" w:hint="default"/>
                <w:spacing w:val="10"/>
                <w:sz w:val="20"/>
                <w:szCs w:val="20"/>
              </w:rPr>
              <w:t>日可全部</w:t>
            </w:r>
          </w:p>
        </w:tc>
      </w:tr>
      <w:tr>
        <w:trPr>
          <w:trHeight w:val="316" w:hRule="exact"/>
        </w:trPr>
        <w:tc>
          <w:tcPr>
            <w:tcW w:w="15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40" w:type="dxa"/>
            <w:tcBorders>
              <w:top w:val="nil" w:sz="6" w:space="0" w:color="auto"/>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44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1325" w:type="dxa"/>
            <w:tcBorders>
              <w:top w:val="nil" w:sz="6" w:space="0" w:color="auto"/>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解除限售</w:t>
            </w:r>
          </w:p>
        </w:tc>
      </w:tr>
      <w:tr>
        <w:trPr>
          <w:trHeight w:val="946" w:hRule="exact"/>
        </w:trPr>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pacing w:val="10"/>
                <w:sz w:val="18"/>
                <w:szCs w:val="18"/>
              </w:rPr>
              <w:t>深圳市福田投资</w:t>
            </w:r>
            <w:r>
              <w:rPr>
                <w:rFonts w:ascii="宋体" w:hAnsi="宋体" w:cs="宋体" w:eastAsia="宋体" w:hint="default"/>
                <w:sz w:val="18"/>
                <w:szCs w:val="18"/>
              </w:rPr>
              <w:t> 发展公司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2,100,000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5,100,000</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132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7</w:t>
            </w:r>
            <w:r>
              <w:rPr>
                <w:rFonts w:ascii="宋体" w:hAnsi="宋体" w:cs="宋体" w:eastAsia="宋体" w:hint="default"/>
                <w:spacing w:val="-47"/>
                <w:sz w:val="20"/>
                <w:szCs w:val="20"/>
              </w:rPr>
              <w:t> </w:t>
            </w:r>
            <w:r>
              <w:rPr>
                <w:rFonts w:ascii="宋体" w:hAnsi="宋体" w:cs="宋体" w:eastAsia="宋体" w:hint="default"/>
                <w:sz w:val="20"/>
                <w:szCs w:val="20"/>
              </w:rPr>
              <w:t>月</w:t>
            </w:r>
          </w:p>
          <w:p>
            <w:pPr>
              <w:pStyle w:val="TableParagraph"/>
              <w:spacing w:line="285" w:lineRule="auto" w:before="50"/>
              <w:ind w:left="103" w:right="108"/>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40"/>
                <w:sz w:val="20"/>
                <w:szCs w:val="20"/>
              </w:rPr>
              <w:t> </w:t>
            </w:r>
            <w:r>
              <w:rPr>
                <w:rFonts w:ascii="宋体" w:hAnsi="宋体" w:cs="宋体" w:eastAsia="宋体" w:hint="default"/>
                <w:spacing w:val="10"/>
                <w:sz w:val="20"/>
                <w:szCs w:val="20"/>
              </w:rPr>
              <w:t>日可全部</w:t>
            </w:r>
            <w:r>
              <w:rPr>
                <w:rFonts w:ascii="宋体" w:hAnsi="宋体" w:cs="宋体" w:eastAsia="宋体" w:hint="default"/>
                <w:w w:val="99"/>
                <w:sz w:val="20"/>
                <w:szCs w:val="20"/>
              </w:rPr>
              <w:t> </w:t>
            </w:r>
            <w:r>
              <w:rPr>
                <w:rFonts w:ascii="宋体" w:hAnsi="宋体" w:cs="宋体" w:eastAsia="宋体" w:hint="default"/>
                <w:sz w:val="20"/>
                <w:szCs w:val="20"/>
              </w:rPr>
              <w:t>解除限售</w:t>
            </w:r>
          </w:p>
        </w:tc>
      </w:tr>
      <w:tr>
        <w:trPr>
          <w:trHeight w:val="946" w:hRule="exact"/>
        </w:trPr>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pacing w:val="10"/>
                <w:sz w:val="18"/>
                <w:szCs w:val="18"/>
              </w:rPr>
              <w:t>深圳市江南丰投</w:t>
            </w:r>
            <w:r>
              <w:rPr>
                <w:rFonts w:ascii="宋体" w:hAnsi="宋体" w:cs="宋体" w:eastAsia="宋体" w:hint="default"/>
                <w:sz w:val="18"/>
                <w:szCs w:val="18"/>
              </w:rPr>
              <w:t> 资有限公司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1,700,000</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132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7</w:t>
            </w:r>
            <w:r>
              <w:rPr>
                <w:rFonts w:ascii="宋体" w:hAnsi="宋体" w:cs="宋体" w:eastAsia="宋体" w:hint="default"/>
                <w:spacing w:val="-47"/>
                <w:sz w:val="20"/>
                <w:szCs w:val="20"/>
              </w:rPr>
              <w:t> </w:t>
            </w:r>
            <w:r>
              <w:rPr>
                <w:rFonts w:ascii="宋体" w:hAnsi="宋体" w:cs="宋体" w:eastAsia="宋体" w:hint="default"/>
                <w:sz w:val="20"/>
                <w:szCs w:val="20"/>
              </w:rPr>
              <w:t>月</w:t>
            </w:r>
          </w:p>
          <w:p>
            <w:pPr>
              <w:pStyle w:val="TableParagraph"/>
              <w:spacing w:line="285" w:lineRule="auto" w:before="50"/>
              <w:ind w:left="103" w:right="108"/>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40"/>
                <w:sz w:val="20"/>
                <w:szCs w:val="20"/>
              </w:rPr>
              <w:t> </w:t>
            </w:r>
            <w:r>
              <w:rPr>
                <w:rFonts w:ascii="宋体" w:hAnsi="宋体" w:cs="宋体" w:eastAsia="宋体" w:hint="default"/>
                <w:spacing w:val="10"/>
                <w:sz w:val="20"/>
                <w:szCs w:val="20"/>
              </w:rPr>
              <w:t>日可全部</w:t>
            </w:r>
            <w:r>
              <w:rPr>
                <w:rFonts w:ascii="宋体" w:hAnsi="宋体" w:cs="宋体" w:eastAsia="宋体" w:hint="default"/>
                <w:w w:val="99"/>
                <w:sz w:val="20"/>
                <w:szCs w:val="20"/>
              </w:rPr>
              <w:t> </w:t>
            </w:r>
            <w:r>
              <w:rPr>
                <w:rFonts w:ascii="宋体" w:hAnsi="宋体" w:cs="宋体" w:eastAsia="宋体" w:hint="default"/>
                <w:sz w:val="20"/>
                <w:szCs w:val="20"/>
              </w:rPr>
              <w:t>解除限售</w:t>
            </w:r>
          </w:p>
        </w:tc>
      </w:tr>
      <w:tr>
        <w:trPr>
          <w:trHeight w:val="946" w:hRule="exact"/>
        </w:trPr>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3"/>
              <w:ind w:left="105" w:right="110"/>
              <w:jc w:val="left"/>
              <w:rPr>
                <w:rFonts w:ascii="宋体" w:hAnsi="宋体" w:cs="宋体" w:eastAsia="宋体" w:hint="default"/>
                <w:sz w:val="20"/>
                <w:szCs w:val="20"/>
              </w:rPr>
            </w:pPr>
            <w:r>
              <w:rPr>
                <w:rFonts w:ascii="宋体" w:hAnsi="宋体" w:cs="宋体" w:eastAsia="宋体" w:hint="default"/>
                <w:sz w:val="18"/>
                <w:szCs w:val="18"/>
              </w:rPr>
              <w:t>公司其他</w:t>
            </w:r>
            <w:r>
              <w:rPr>
                <w:rFonts w:ascii="宋体" w:hAnsi="宋体" w:cs="宋体" w:eastAsia="宋体" w:hint="default"/>
                <w:sz w:val="20"/>
                <w:szCs w:val="20"/>
              </w:rPr>
              <w:t>管理人</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员及业务骨干</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13,148,253</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13,148,253</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3</w:t>
            </w:r>
          </w:p>
        </w:tc>
        <w:tc>
          <w:tcPr>
            <w:tcW w:w="132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2</w:t>
            </w:r>
            <w:r>
              <w:rPr>
                <w:rFonts w:ascii="宋体" w:hAnsi="宋体" w:cs="宋体" w:eastAsia="宋体" w:hint="default"/>
                <w:spacing w:val="-47"/>
                <w:sz w:val="20"/>
                <w:szCs w:val="20"/>
              </w:rPr>
              <w:t> </w:t>
            </w:r>
            <w:r>
              <w:rPr>
                <w:rFonts w:ascii="宋体" w:hAnsi="宋体" w:cs="宋体" w:eastAsia="宋体" w:hint="default"/>
                <w:sz w:val="20"/>
                <w:szCs w:val="20"/>
              </w:rPr>
              <w:t>月</w:t>
            </w:r>
          </w:p>
          <w:p>
            <w:pPr>
              <w:pStyle w:val="TableParagraph"/>
              <w:spacing w:line="285" w:lineRule="auto" w:before="50"/>
              <w:ind w:left="103" w:right="108"/>
              <w:jc w:val="left"/>
              <w:rPr>
                <w:rFonts w:ascii="宋体" w:hAnsi="宋体" w:cs="宋体" w:eastAsia="宋体" w:hint="default"/>
                <w:sz w:val="20"/>
                <w:szCs w:val="20"/>
              </w:rPr>
            </w:pPr>
            <w:r>
              <w:rPr>
                <w:rFonts w:ascii="宋体" w:hAnsi="宋体" w:cs="宋体" w:eastAsia="宋体" w:hint="default"/>
                <w:sz w:val="20"/>
                <w:szCs w:val="20"/>
              </w:rPr>
              <w:t>16</w:t>
            </w:r>
            <w:r>
              <w:rPr>
                <w:rFonts w:ascii="宋体" w:hAnsi="宋体" w:cs="宋体" w:eastAsia="宋体" w:hint="default"/>
                <w:spacing w:val="-40"/>
                <w:sz w:val="20"/>
                <w:szCs w:val="20"/>
              </w:rPr>
              <w:t> </w:t>
            </w:r>
            <w:r>
              <w:rPr>
                <w:rFonts w:ascii="宋体" w:hAnsi="宋体" w:cs="宋体" w:eastAsia="宋体" w:hint="default"/>
                <w:spacing w:val="10"/>
                <w:sz w:val="20"/>
                <w:szCs w:val="20"/>
              </w:rPr>
              <w:t>日已解除</w:t>
            </w:r>
            <w:r>
              <w:rPr>
                <w:rFonts w:ascii="宋体" w:hAnsi="宋体" w:cs="宋体" w:eastAsia="宋体" w:hint="default"/>
                <w:w w:val="99"/>
                <w:sz w:val="20"/>
                <w:szCs w:val="20"/>
              </w:rPr>
              <w:t> </w:t>
            </w:r>
            <w:r>
              <w:rPr>
                <w:rFonts w:ascii="宋体" w:hAnsi="宋体" w:cs="宋体" w:eastAsia="宋体" w:hint="default"/>
                <w:sz w:val="20"/>
                <w:szCs w:val="20"/>
              </w:rPr>
              <w:t>限售</w:t>
            </w:r>
          </w:p>
        </w:tc>
      </w:tr>
      <w:tr>
        <w:trPr>
          <w:trHeight w:val="319" w:hRule="exact"/>
        </w:trPr>
        <w:tc>
          <w:tcPr>
            <w:tcW w:w="1560" w:type="dxa"/>
            <w:tcBorders>
              <w:top w:val="single" w:sz="4" w:space="0" w:color="000008"/>
              <w:left w:val="single" w:sz="4" w:space="0" w:color="000008"/>
              <w:bottom w:val="nil" w:sz="6" w:space="0" w:color="auto"/>
              <w:right w:val="single" w:sz="4" w:space="0" w:color="000008"/>
            </w:tcBorders>
          </w:tcPr>
          <w:p>
            <w:pPr/>
          </w:p>
        </w:tc>
        <w:tc>
          <w:tcPr>
            <w:tcW w:w="1440" w:type="dxa"/>
            <w:tcBorders>
              <w:top w:val="single" w:sz="4" w:space="0" w:color="000008"/>
              <w:left w:val="single" w:sz="4" w:space="0" w:color="000008"/>
              <w:bottom w:val="nil" w:sz="6" w:space="0" w:color="auto"/>
              <w:right w:val="single" w:sz="4" w:space="0" w:color="000008"/>
            </w:tcBorders>
          </w:tcPr>
          <w:p>
            <w:pPr/>
          </w:p>
        </w:tc>
        <w:tc>
          <w:tcPr>
            <w:tcW w:w="1260" w:type="dxa"/>
            <w:tcBorders>
              <w:top w:val="single" w:sz="4" w:space="0" w:color="000008"/>
              <w:left w:val="single" w:sz="4" w:space="0" w:color="000008"/>
              <w:bottom w:val="nil" w:sz="6" w:space="0" w:color="auto"/>
              <w:right w:val="single" w:sz="4" w:space="0" w:color="000008"/>
            </w:tcBorders>
          </w:tcPr>
          <w:p>
            <w:pPr/>
          </w:p>
        </w:tc>
        <w:tc>
          <w:tcPr>
            <w:tcW w:w="1260" w:type="dxa"/>
            <w:tcBorders>
              <w:top w:val="single" w:sz="4" w:space="0" w:color="000008"/>
              <w:left w:val="single" w:sz="4" w:space="0" w:color="000008"/>
              <w:bottom w:val="nil" w:sz="6" w:space="0" w:color="auto"/>
              <w:right w:val="single" w:sz="4" w:space="0" w:color="000008"/>
            </w:tcBorders>
          </w:tcPr>
          <w:p>
            <w:pPr/>
          </w:p>
        </w:tc>
        <w:tc>
          <w:tcPr>
            <w:tcW w:w="144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c>
          <w:tcPr>
            <w:tcW w:w="132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2"/>
                <w:sz w:val="18"/>
                <w:szCs w:val="18"/>
              </w:rPr>
              <w:t> </w:t>
            </w: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4</w:t>
            </w:r>
            <w:r>
              <w:rPr>
                <w:rFonts w:ascii="宋体" w:hAnsi="宋体" w:cs="宋体" w:eastAsia="宋体" w:hint="default"/>
                <w:spacing w:val="-60"/>
                <w:sz w:val="18"/>
                <w:szCs w:val="18"/>
              </w:rPr>
              <w:t> </w:t>
            </w:r>
            <w:r>
              <w:rPr>
                <w:rFonts w:ascii="宋体" w:hAnsi="宋体" w:cs="宋体" w:eastAsia="宋体" w:hint="default"/>
                <w:sz w:val="18"/>
                <w:szCs w:val="18"/>
              </w:rPr>
              <w:t>月</w:t>
            </w:r>
          </w:p>
        </w:tc>
      </w:tr>
      <w:tr>
        <w:trPr>
          <w:trHeight w:val="312" w:hRule="exact"/>
        </w:trPr>
        <w:tc>
          <w:tcPr>
            <w:tcW w:w="15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日解除限售</w:t>
            </w:r>
          </w:p>
        </w:tc>
      </w:tr>
      <w:tr>
        <w:trPr>
          <w:trHeight w:val="312" w:hRule="exact"/>
        </w:trPr>
        <w:tc>
          <w:tcPr>
            <w:tcW w:w="15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之后董事、监</w:t>
            </w:r>
          </w:p>
        </w:tc>
      </w:tr>
      <w:tr>
        <w:trPr>
          <w:trHeight w:val="312" w:hRule="exact"/>
        </w:trPr>
        <w:tc>
          <w:tcPr>
            <w:tcW w:w="15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事及高级管理</w:t>
            </w:r>
          </w:p>
        </w:tc>
      </w:tr>
      <w:tr>
        <w:trPr>
          <w:trHeight w:val="307" w:hRule="exact"/>
        </w:trPr>
        <w:tc>
          <w:tcPr>
            <w:tcW w:w="15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人员持股按</w:t>
            </w:r>
          </w:p>
        </w:tc>
      </w:tr>
      <w:tr>
        <w:trPr>
          <w:trHeight w:val="634" w:hRule="exact"/>
        </w:trPr>
        <w:tc>
          <w:tcPr>
            <w:tcW w:w="1560" w:type="dxa"/>
            <w:tcBorders>
              <w:top w:val="nil" w:sz="6" w:space="0" w:color="auto"/>
              <w:left w:val="single" w:sz="4" w:space="0" w:color="000008"/>
              <w:bottom w:val="nil" w:sz="6" w:space="0" w:color="auto"/>
              <w:right w:val="single" w:sz="4" w:space="0" w:color="000008"/>
            </w:tcBorders>
          </w:tcPr>
          <w:p>
            <w:pPr>
              <w:pStyle w:val="TableParagraph"/>
              <w:spacing w:line="316" w:lineRule="auto" w:before="15"/>
              <w:ind w:left="105" w:right="110"/>
              <w:jc w:val="left"/>
              <w:rPr>
                <w:rFonts w:ascii="宋体" w:hAnsi="宋体" w:cs="宋体" w:eastAsia="宋体" w:hint="default"/>
                <w:sz w:val="18"/>
                <w:szCs w:val="18"/>
              </w:rPr>
            </w:pPr>
            <w:r>
              <w:rPr>
                <w:rFonts w:ascii="宋体" w:hAnsi="宋体" w:cs="宋体" w:eastAsia="宋体" w:hint="default"/>
                <w:spacing w:val="10"/>
                <w:sz w:val="18"/>
                <w:szCs w:val="18"/>
              </w:rPr>
              <w:t>董事、监事及高</w:t>
            </w:r>
            <w:r>
              <w:rPr>
                <w:rFonts w:ascii="宋体" w:hAnsi="宋体" w:cs="宋体" w:eastAsia="宋体" w:hint="default"/>
                <w:sz w:val="18"/>
                <w:szCs w:val="18"/>
              </w:rPr>
              <w:t> 级管理人员</w:t>
            </w:r>
          </w:p>
        </w:tc>
        <w:tc>
          <w:tcPr>
            <w:tcW w:w="1440" w:type="dxa"/>
            <w:tcBorders>
              <w:top w:val="nil" w:sz="6" w:space="0" w:color="auto"/>
              <w:left w:val="single" w:sz="4" w:space="0" w:color="000008"/>
              <w:bottom w:val="nil" w:sz="6" w:space="0" w:color="auto"/>
              <w:right w:val="single" w:sz="4" w:space="0" w:color="000008"/>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13,421,095</w:t>
            </w: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4,455,824</w:t>
            </w:r>
          </w:p>
        </w:tc>
        <w:tc>
          <w:tcPr>
            <w:tcW w:w="1260" w:type="dxa"/>
            <w:tcBorders>
              <w:top w:val="nil" w:sz="6" w:space="0" w:color="auto"/>
              <w:left w:val="single" w:sz="4" w:space="0" w:color="000008"/>
              <w:bottom w:val="nil" w:sz="6" w:space="0" w:color="auto"/>
              <w:right w:val="single" w:sz="4" w:space="0" w:color="000008"/>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7,178,899</w:t>
            </w:r>
          </w:p>
        </w:tc>
        <w:tc>
          <w:tcPr>
            <w:tcW w:w="1440" w:type="dxa"/>
            <w:tcBorders>
              <w:top w:val="nil" w:sz="6" w:space="0" w:color="auto"/>
              <w:left w:val="single" w:sz="4" w:space="0" w:color="000008"/>
              <w:bottom w:val="nil" w:sz="6" w:space="0" w:color="auto"/>
              <w:right w:val="single" w:sz="4" w:space="0" w:color="000008"/>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16,144,170</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261" w:lineRule="exact"/>
              <w:ind w:left="180"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3</w:t>
            </w:r>
          </w:p>
          <w:p>
            <w:pPr>
              <w:pStyle w:val="TableParagraph"/>
              <w:spacing w:line="240" w:lineRule="auto" w:before="50"/>
              <w:ind w:left="180"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4</w:t>
            </w: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316" w:lineRule="auto" w:before="15"/>
              <w:ind w:left="117" w:right="115"/>
              <w:jc w:val="left"/>
              <w:rPr>
                <w:rFonts w:ascii="宋体" w:hAnsi="宋体" w:cs="宋体" w:eastAsia="宋体" w:hint="default"/>
                <w:sz w:val="18"/>
                <w:szCs w:val="18"/>
              </w:rPr>
            </w:pPr>
            <w:r>
              <w:rPr>
                <w:rFonts w:ascii="宋体" w:hAnsi="宋体" w:cs="宋体" w:eastAsia="宋体" w:hint="default"/>
                <w:sz w:val="18"/>
                <w:szCs w:val="18"/>
              </w:rPr>
              <w:t>《上市公司董 事、监事、高</w:t>
            </w:r>
          </w:p>
        </w:tc>
      </w:tr>
      <w:tr>
        <w:trPr>
          <w:trHeight w:val="307" w:hRule="exact"/>
        </w:trPr>
        <w:tc>
          <w:tcPr>
            <w:tcW w:w="15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240" w:lineRule="auto" w:before="5"/>
              <w:ind w:left="117" w:right="0"/>
              <w:jc w:val="left"/>
              <w:rPr>
                <w:rFonts w:ascii="宋体" w:hAnsi="宋体" w:cs="宋体" w:eastAsia="宋体" w:hint="default"/>
                <w:sz w:val="18"/>
                <w:szCs w:val="18"/>
              </w:rPr>
            </w:pPr>
            <w:r>
              <w:rPr>
                <w:rFonts w:ascii="宋体" w:hAnsi="宋体" w:cs="宋体" w:eastAsia="宋体" w:hint="default"/>
                <w:sz w:val="18"/>
                <w:szCs w:val="18"/>
              </w:rPr>
              <w:t>级管理人员所</w:t>
            </w:r>
          </w:p>
        </w:tc>
      </w:tr>
      <w:tr>
        <w:trPr>
          <w:trHeight w:val="312" w:hRule="exact"/>
        </w:trPr>
        <w:tc>
          <w:tcPr>
            <w:tcW w:w="15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持本公司股份</w:t>
            </w:r>
          </w:p>
        </w:tc>
      </w:tr>
      <w:tr>
        <w:trPr>
          <w:trHeight w:val="312" w:hRule="exact"/>
        </w:trPr>
        <w:tc>
          <w:tcPr>
            <w:tcW w:w="15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及其变动管理</w:t>
            </w:r>
          </w:p>
        </w:tc>
      </w:tr>
      <w:tr>
        <w:trPr>
          <w:trHeight w:val="312" w:hRule="exact"/>
        </w:trPr>
        <w:tc>
          <w:tcPr>
            <w:tcW w:w="15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260" w:type="dxa"/>
            <w:tcBorders>
              <w:top w:val="nil" w:sz="6" w:space="0" w:color="auto"/>
              <w:left w:val="single" w:sz="4" w:space="0" w:color="000008"/>
              <w:bottom w:val="nil" w:sz="6" w:space="0" w:color="auto"/>
              <w:right w:val="single" w:sz="4" w:space="0" w:color="000008"/>
            </w:tcBorders>
          </w:tcPr>
          <w:p>
            <w:pPr/>
          </w:p>
        </w:tc>
        <w:tc>
          <w:tcPr>
            <w:tcW w:w="1440" w:type="dxa"/>
            <w:tcBorders>
              <w:top w:val="nil" w:sz="6" w:space="0" w:color="auto"/>
              <w:left w:val="single" w:sz="4" w:space="0" w:color="000008"/>
              <w:bottom w:val="nil" w:sz="6" w:space="0" w:color="auto"/>
              <w:right w:val="single" w:sz="4" w:space="0" w:color="000008"/>
            </w:tcBorders>
          </w:tcPr>
          <w:p>
            <w:pPr/>
          </w:p>
        </w:tc>
        <w:tc>
          <w:tcPr>
            <w:tcW w:w="720" w:type="dxa"/>
            <w:tcBorders>
              <w:top w:val="nil" w:sz="6" w:space="0" w:color="auto"/>
              <w:left w:val="single" w:sz="4" w:space="0" w:color="000008"/>
              <w:bottom w:val="nil" w:sz="6" w:space="0" w:color="auto"/>
              <w:right w:val="single" w:sz="4" w:space="0" w:color="000008"/>
            </w:tcBorders>
          </w:tcPr>
          <w:p>
            <w:pPr/>
          </w:p>
        </w:tc>
        <w:tc>
          <w:tcPr>
            <w:tcW w:w="1325"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规则》的相关</w:t>
            </w:r>
          </w:p>
        </w:tc>
      </w:tr>
      <w:tr>
        <w:trPr>
          <w:trHeight w:val="317" w:hRule="exact"/>
        </w:trPr>
        <w:tc>
          <w:tcPr>
            <w:tcW w:w="1560" w:type="dxa"/>
            <w:tcBorders>
              <w:top w:val="nil" w:sz="6" w:space="0" w:color="auto"/>
              <w:left w:val="single" w:sz="4" w:space="0" w:color="000008"/>
              <w:bottom w:val="single" w:sz="4" w:space="0" w:color="000008"/>
              <w:right w:val="single" w:sz="4" w:space="0" w:color="000008"/>
            </w:tcBorders>
          </w:tcPr>
          <w:p>
            <w:pPr/>
          </w:p>
        </w:tc>
        <w:tc>
          <w:tcPr>
            <w:tcW w:w="1440" w:type="dxa"/>
            <w:tcBorders>
              <w:top w:val="nil" w:sz="6" w:space="0" w:color="auto"/>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260" w:type="dxa"/>
            <w:tcBorders>
              <w:top w:val="nil" w:sz="6" w:space="0" w:color="auto"/>
              <w:left w:val="single" w:sz="4" w:space="0" w:color="000008"/>
              <w:bottom w:val="single" w:sz="4" w:space="0" w:color="000008"/>
              <w:right w:val="single" w:sz="4" w:space="0" w:color="000008"/>
            </w:tcBorders>
          </w:tcPr>
          <w:p>
            <w:pPr/>
          </w:p>
        </w:tc>
        <w:tc>
          <w:tcPr>
            <w:tcW w:w="1440" w:type="dxa"/>
            <w:tcBorders>
              <w:top w:val="nil" w:sz="6" w:space="0" w:color="auto"/>
              <w:left w:val="single" w:sz="4" w:space="0" w:color="000008"/>
              <w:bottom w:val="single" w:sz="4" w:space="0" w:color="000008"/>
              <w:right w:val="single" w:sz="4" w:space="0" w:color="000008"/>
            </w:tcBorders>
          </w:tcPr>
          <w:p>
            <w:pPr/>
          </w:p>
        </w:tc>
        <w:tc>
          <w:tcPr>
            <w:tcW w:w="720" w:type="dxa"/>
            <w:tcBorders>
              <w:top w:val="nil" w:sz="6" w:space="0" w:color="auto"/>
              <w:left w:val="single" w:sz="4" w:space="0" w:color="000008"/>
              <w:bottom w:val="single" w:sz="4" w:space="0" w:color="000008"/>
              <w:right w:val="single" w:sz="4" w:space="0" w:color="000008"/>
            </w:tcBorders>
          </w:tcPr>
          <w:p>
            <w:pPr/>
          </w:p>
        </w:tc>
        <w:tc>
          <w:tcPr>
            <w:tcW w:w="1325"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规定执行。</w:t>
            </w:r>
          </w:p>
        </w:tc>
      </w:tr>
      <w:tr>
        <w:trPr>
          <w:trHeight w:val="322" w:hRule="exact"/>
        </w:trPr>
        <w:tc>
          <w:tcPr>
            <w:tcW w:w="156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tabs>
                <w:tab w:pos="875" w:val="left" w:leader="none"/>
              </w:tabs>
              <w:spacing w:line="256" w:lineRule="exact"/>
              <w:ind w:left="47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188,238,772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17,604,077</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120,347,496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290,982,191</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32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bl>
    <w:p>
      <w:pPr>
        <w:spacing w:line="268" w:lineRule="exact" w:before="0"/>
        <w:ind w:left="831" w:right="3701"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注1：</w:t>
      </w:r>
      <w:r>
        <w:rPr>
          <w:rFonts w:ascii="宋体" w:hAnsi="宋体" w:cs="宋体" w:eastAsia="宋体" w:hint="default"/>
          <w:sz w:val="18"/>
          <w:szCs w:val="18"/>
        </w:rPr>
        <w:t>股改限售股份；</w:t>
      </w:r>
    </w:p>
    <w:p>
      <w:pPr>
        <w:spacing w:before="0"/>
        <w:ind w:left="828" w:right="3701" w:firstLine="2"/>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注2：</w:t>
      </w:r>
      <w:r>
        <w:rPr>
          <w:rFonts w:ascii="宋体" w:hAnsi="宋体" w:cs="宋体" w:eastAsia="宋体" w:hint="default"/>
          <w:sz w:val="18"/>
          <w:szCs w:val="18"/>
        </w:rPr>
        <w:t>非公开发行股份限售股份； </w:t>
      </w:r>
      <w:r>
        <w:rPr>
          <w:rFonts w:ascii="Microsoft JhengHei" w:hAnsi="Microsoft JhengHei" w:cs="Microsoft JhengHei" w:eastAsia="Microsoft JhengHei" w:hint="default"/>
          <w:b/>
          <w:bCs/>
          <w:sz w:val="18"/>
          <w:szCs w:val="18"/>
        </w:rPr>
        <w:t>注3：</w:t>
      </w:r>
      <w:r>
        <w:rPr>
          <w:rFonts w:ascii="宋体" w:hAnsi="宋体" w:cs="宋体" w:eastAsia="宋体" w:hint="default"/>
          <w:sz w:val="18"/>
          <w:szCs w:val="18"/>
        </w:rPr>
        <w:t>股权激励限售股份； </w:t>
      </w:r>
      <w:r>
        <w:rPr>
          <w:rFonts w:ascii="Microsoft JhengHei" w:hAnsi="Microsoft JhengHei" w:cs="Microsoft JhengHei" w:eastAsia="Microsoft JhengHei" w:hint="default"/>
          <w:b/>
          <w:bCs/>
          <w:w w:val="95"/>
          <w:sz w:val="18"/>
          <w:szCs w:val="18"/>
        </w:rPr>
        <w:t>注4：</w:t>
      </w:r>
      <w:r>
        <w:rPr>
          <w:rFonts w:ascii="宋体" w:hAnsi="宋体" w:cs="宋体" w:eastAsia="宋体" w:hint="default"/>
          <w:w w:val="95"/>
          <w:sz w:val="18"/>
          <w:szCs w:val="18"/>
        </w:rPr>
        <w:t>董事、监事及高级管理人员持股限售股份。</w:t>
      </w:r>
    </w:p>
    <w:p>
      <w:pPr>
        <w:spacing w:line="240" w:lineRule="auto" w:before="6"/>
        <w:rPr>
          <w:rFonts w:ascii="宋体" w:hAnsi="宋体" w:cs="宋体" w:eastAsia="宋体" w:hint="default"/>
          <w:sz w:val="24"/>
          <w:szCs w:val="24"/>
        </w:rPr>
      </w:pPr>
    </w:p>
    <w:p>
      <w:pPr>
        <w:spacing w:line="312" w:lineRule="auto" w:before="0"/>
        <w:ind w:left="860" w:right="570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三、证券发行与上市情况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1、前三年证券发行情况</w:t>
      </w:r>
    </w:p>
    <w:p>
      <w:pPr>
        <w:pStyle w:val="BodyText"/>
        <w:spacing w:line="357" w:lineRule="auto" w:before="82"/>
        <w:ind w:left="380" w:right="368" w:firstLine="480"/>
        <w:jc w:val="left"/>
      </w:pPr>
      <w:r>
        <w:rPr/>
        <w:t>经证监会批准（证监许可[2008]512号），公司于2008年4月11日以非公开发 行股票的方式向六家特定投资者发行了6,440万股人民币普通股（A</w:t>
      </w:r>
      <w:r>
        <w:rPr>
          <w:spacing w:val="-20"/>
        </w:rPr>
        <w:t> </w:t>
      </w:r>
      <w:r>
        <w:rPr>
          <w:spacing w:val="-7"/>
        </w:rPr>
        <w:t>股），共募集</w:t>
      </w:r>
    </w:p>
    <w:p>
      <w:pPr>
        <w:spacing w:after="0" w:line="357" w:lineRule="auto"/>
        <w:jc w:val="left"/>
        <w:sectPr>
          <w:pgSz w:w="11910" w:h="16840"/>
          <w:pgMar w:header="0" w:footer="1095" w:top="1000" w:bottom="1280" w:left="1600" w:right="1080"/>
        </w:sectPr>
      </w:pPr>
    </w:p>
    <w:p>
      <w:pPr>
        <w:spacing w:line="240" w:lineRule="auto" w:before="10"/>
        <w:rPr>
          <w:rFonts w:ascii="宋体" w:hAnsi="宋体" w:cs="宋体" w:eastAsia="宋体" w:hint="default"/>
          <w:sz w:val="9"/>
          <w:szCs w:val="9"/>
        </w:rPr>
      </w:pPr>
    </w:p>
    <w:p>
      <w:pPr>
        <w:pStyle w:val="BodyText"/>
        <w:spacing w:line="357" w:lineRule="auto" w:before="26"/>
        <w:ind w:right="165"/>
        <w:jc w:val="both"/>
      </w:pPr>
      <w:r>
        <w:rPr/>
        <w:t>开发行的股票在深圳证券交易所上市。根据《上市公司证券发行管理办法》等相 </w:t>
      </w:r>
      <w:r>
        <w:rPr>
          <w:spacing w:val="-2"/>
        </w:rPr>
        <w:t>关规定，非公开发行的A股股票在限售期内将予以锁定，本次发行的股票锁定期自</w:t>
      </w:r>
      <w:r>
        <w:rPr>
          <w:spacing w:val="-111"/>
        </w:rPr>
        <w:t> </w:t>
      </w:r>
      <w:r>
        <w:rPr>
          <w:spacing w:val="-111"/>
        </w:rPr>
      </w:r>
      <w:r>
        <w:rPr/>
        <w:t>2008年7月10日至2011年7月10日止。</w:t>
      </w:r>
    </w:p>
    <w:p>
      <w:pPr>
        <w:pStyle w:val="BodyText"/>
        <w:spacing w:line="357" w:lineRule="auto"/>
        <w:ind w:right="165" w:firstLine="480"/>
        <w:jc w:val="both"/>
      </w:pPr>
      <w:r>
        <w:rPr/>
        <w:t>2、报告期内，2009年5月15日，公司2008年度股东大会审议通过的公司2008 </w:t>
      </w:r>
      <w:r>
        <w:rPr>
          <w:spacing w:val="-2"/>
        </w:rPr>
        <w:t>年度权益分派方案包括：以公司2008年末总股本452,063,442股为基数，以资本公</w:t>
      </w:r>
      <w:r>
        <w:rPr>
          <w:spacing w:val="-97"/>
        </w:rPr>
        <w:t> </w:t>
      </w:r>
      <w:r>
        <w:rPr>
          <w:spacing w:val="-97"/>
        </w:rPr>
      </w:r>
      <w:r>
        <w:rPr/>
        <w:t>积金向全体股东每10</w:t>
      </w:r>
      <w:r>
        <w:rPr>
          <w:spacing w:val="-60"/>
        </w:rPr>
        <w:t> </w:t>
      </w:r>
      <w:r>
        <w:rPr/>
        <w:t>股转增7股。转增前本公司总股本为452,063,442股，转增后</w:t>
      </w:r>
      <w:r>
        <w:rPr/>
        <w:t> </w:t>
      </w:r>
      <w:r>
        <w:rPr>
          <w:spacing w:val="-2"/>
        </w:rPr>
        <w:t>总股本增至768,507,851股。此次权益分派的股权登记日为：2009年6月2日，除权</w:t>
      </w:r>
      <w:r>
        <w:rPr>
          <w:spacing w:val="-94"/>
        </w:rPr>
        <w:t> </w:t>
      </w:r>
      <w:r>
        <w:rPr>
          <w:spacing w:val="-94"/>
        </w:rPr>
      </w:r>
      <w:r>
        <w:rPr/>
        <w:t>除息日为2009年6月3日，此次转增的无限售条件流通股股份于2009年6月3日直接 计入股东证券账户，起始交易日为2009年6月3日。（详见2009年5月16日及5月26 日刊登在《证券时报》、《中国证券报》、《上海证券报》及巨潮资讯网上的公 司公告）</w:t>
      </w:r>
    </w:p>
    <w:p>
      <w:pPr>
        <w:pStyle w:val="BodyText"/>
        <w:spacing w:line="240" w:lineRule="auto"/>
        <w:ind w:left="780" w:right="92"/>
        <w:jc w:val="left"/>
      </w:pPr>
      <w:r>
        <w:rPr/>
        <w:t>3、报告期内，公司其他管理人员及业务骨干所持股权激励限制性股票</w:t>
      </w:r>
    </w:p>
    <w:p>
      <w:pPr>
        <w:pStyle w:val="BodyText"/>
        <w:spacing w:line="357" w:lineRule="auto" w:before="154"/>
        <w:ind w:right="92"/>
        <w:jc w:val="left"/>
      </w:pPr>
      <w:r>
        <w:rPr>
          <w:spacing w:val="-2"/>
        </w:rPr>
        <w:t>13,148,253股于2009年2月16日解除限售；公司董事、监事、高级管理人员所持股</w:t>
      </w:r>
      <w:r>
        <w:rPr>
          <w:spacing w:val="-95"/>
        </w:rPr>
        <w:t> </w:t>
      </w:r>
      <w:r>
        <w:rPr>
          <w:spacing w:val="-95"/>
        </w:rPr>
      </w:r>
      <w:r>
        <w:rPr>
          <w:spacing w:val="2"/>
          <w:w w:val="98"/>
        </w:rPr>
        <w:t>权激励限制性股票13,056,000股于2009年4月7日解除限售</w:t>
      </w:r>
      <w:r>
        <w:rPr>
          <w:spacing w:val="-101"/>
          <w:w w:val="98"/>
        </w:rPr>
        <w:t> </w:t>
      </w:r>
      <w:r>
        <w:rPr>
          <w:spacing w:val="-86"/>
          <w:w w:val="91"/>
        </w:rPr>
        <w:t>。（</w:t>
      </w:r>
      <w:r>
        <w:rPr>
          <w:spacing w:val="-94"/>
          <w:w w:val="91"/>
        </w:rPr>
        <w:t> </w:t>
      </w:r>
      <w:r>
        <w:rPr>
          <w:spacing w:val="3"/>
          <w:w w:val="96"/>
        </w:rPr>
        <w:t>详见2009年2月14日</w:t>
      </w:r>
      <w:r>
        <w:rPr>
          <w:spacing w:val="-67"/>
          <w:w w:val="96"/>
        </w:rPr>
        <w:t> </w:t>
      </w:r>
      <w:r>
        <w:rPr>
          <w:w w:val="75"/>
        </w:rPr>
        <w:t>、</w:t>
      </w:r>
      <w:r>
        <w:rPr>
          <w:w w:val="75"/>
        </w:rPr>
        <w:t> </w:t>
      </w:r>
      <w:r>
        <w:rPr>
          <w:spacing w:val="-2"/>
        </w:rPr>
        <w:t>3月17日及4月3日刊登在《证券时报》、《中国证券报》、《上海证券报》及巨潮</w:t>
      </w:r>
      <w:r>
        <w:rPr>
          <w:spacing w:val="-109"/>
        </w:rPr>
        <w:t> </w:t>
      </w:r>
      <w:r>
        <w:rPr>
          <w:spacing w:val="-109"/>
        </w:rPr>
      </w:r>
      <w:r>
        <w:rPr/>
        <w:t>资讯网上的公司公告）根据《公司法》、《上市公司董事、监事、高级管理人员 所持本公司股份及其变动管理规则》的相关规定，公司董事、监事、高级管理人 </w:t>
      </w:r>
      <w:r>
        <w:rPr>
          <w:w w:val="95"/>
        </w:rPr>
        <w:t>员在任职期间每年转让的股票不得超过其所持本公司股票总数的25%，离职后半年</w:t>
      </w:r>
      <w:r>
        <w:rPr>
          <w:spacing w:val="22"/>
          <w:w w:val="95"/>
        </w:rPr>
        <w:t> </w:t>
      </w:r>
      <w:r>
        <w:rPr>
          <w:spacing w:val="22"/>
          <w:w w:val="95"/>
        </w:rPr>
      </w:r>
      <w:r>
        <w:rPr/>
        <w:t>内不得转让其所持有的本公司股票，中国证劵登记结算有限责任公司根据董事、 监事、高级管理人员实际任职或离职情况对其所持公司股份进行锁定；上述变动 不涉及公司总股本变动，为股本结构变动。</w:t>
      </w:r>
    </w:p>
    <w:p>
      <w:pPr>
        <w:pStyle w:val="BodyText"/>
        <w:spacing w:line="357" w:lineRule="auto"/>
        <w:ind w:right="165" w:firstLine="480"/>
        <w:jc w:val="both"/>
      </w:pPr>
      <w:r>
        <w:rPr>
          <w:spacing w:val="-2"/>
        </w:rPr>
        <w:t>4、报告期内公司没有发生其他因送股、配股、吸收合并、可转换公司债券转</w:t>
      </w:r>
      <w:r>
        <w:rPr/>
        <w:t> 股、减资、内部职工股上市或其他原因引起公司股份总数及结构变动的情况。</w:t>
      </w:r>
    </w:p>
    <w:p>
      <w:pPr>
        <w:pStyle w:val="BodyText"/>
        <w:spacing w:line="274" w:lineRule="exact" w:before="0"/>
        <w:ind w:left="780" w:right="92"/>
        <w:jc w:val="left"/>
      </w:pPr>
      <w:r>
        <w:rPr/>
        <w:t>5、截至本报告期末，公司无内部职工股。</w:t>
      </w:r>
    </w:p>
    <w:p>
      <w:pPr>
        <w:spacing w:line="240" w:lineRule="auto" w:before="9"/>
        <w:rPr>
          <w:rFonts w:ascii="宋体" w:hAnsi="宋体" w:cs="宋体" w:eastAsia="宋体" w:hint="default"/>
          <w:sz w:val="23"/>
          <w:szCs w:val="23"/>
        </w:rPr>
      </w:pPr>
    </w:p>
    <w:p>
      <w:pPr>
        <w:pStyle w:val="Heading5"/>
        <w:spacing w:line="268" w:lineRule="auto"/>
        <w:ind w:right="4046"/>
        <w:jc w:val="left"/>
        <w:rPr>
          <w:b w:val="0"/>
          <w:bCs w:val="0"/>
        </w:rPr>
      </w:pPr>
      <w:bookmarkStart w:name="第二节股东持股情况介绍" w:id="6"/>
      <w:bookmarkEnd w:id="6"/>
      <w:r>
        <w:rPr>
          <w:b w:val="0"/>
          <w:bCs w:val="0"/>
        </w:rPr>
      </w:r>
      <w:r>
        <w:rPr/>
        <w:t>第二节</w:t>
      </w:r>
      <w:r>
        <w:rPr>
          <w:spacing w:val="7"/>
        </w:rPr>
        <w:t> </w:t>
      </w:r>
      <w:r>
        <w:rPr/>
        <w:t>股东持股情况介绍</w:t>
      </w:r>
      <w:r>
        <w:rPr/>
        <w:t> 一、股东情况表</w:t>
      </w:r>
      <w:r>
        <w:rPr>
          <w:b w:val="0"/>
          <w:bCs w:val="0"/>
        </w:rPr>
      </w:r>
    </w:p>
    <w:p>
      <w:pPr>
        <w:pStyle w:val="BodyText"/>
        <w:spacing w:line="357" w:lineRule="auto" w:before="88"/>
        <w:ind w:right="225" w:firstLine="480"/>
        <w:jc w:val="both"/>
      </w:pPr>
      <w:r>
        <w:rPr/>
        <w:t>截至2009年12月31日，公司股东总数为75,169户，公司前十名股东、前十名 流通股东持股情况如下表：</w:t>
      </w:r>
    </w:p>
    <w:p>
      <w:pPr>
        <w:spacing w:after="0" w:line="357" w:lineRule="auto"/>
        <w:jc w:val="both"/>
        <w:sectPr>
          <w:headerReference w:type="default" r:id="rId11"/>
          <w:footerReference w:type="default" r:id="rId12"/>
          <w:pgSz w:w="11910" w:h="16840"/>
          <w:pgMar w:header="1205" w:footer="1095" w:top="1440" w:bottom="1280" w:left="1680" w:right="1300"/>
          <w:pgNumType w:start="10"/>
        </w:sectPr>
      </w:pPr>
    </w:p>
    <w:p>
      <w:pPr>
        <w:spacing w:line="240" w:lineRule="auto" w:before="9"/>
        <w:rPr>
          <w:rFonts w:ascii="Times New Roman" w:hAnsi="Times New Roman" w:cs="Times New Roman" w:eastAsia="Times New Roman" w:hint="default"/>
          <w:sz w:val="9"/>
          <w:szCs w:val="9"/>
        </w:rPr>
      </w:pPr>
    </w:p>
    <w:tbl>
      <w:tblPr>
        <w:tblW w:w="0" w:type="auto"/>
        <w:jc w:val="left"/>
        <w:tblInd w:w="266" w:type="dxa"/>
        <w:tblLayout w:type="fixed"/>
        <w:tblCellMar>
          <w:top w:w="0" w:type="dxa"/>
          <w:left w:w="0" w:type="dxa"/>
          <w:bottom w:w="0" w:type="dxa"/>
          <w:right w:w="0" w:type="dxa"/>
        </w:tblCellMar>
        <w:tblLook w:val="01E0"/>
      </w:tblPr>
      <w:tblGrid>
        <w:gridCol w:w="2014"/>
        <w:gridCol w:w="1114"/>
        <w:gridCol w:w="1111"/>
        <w:gridCol w:w="1210"/>
        <w:gridCol w:w="1548"/>
        <w:gridCol w:w="1519"/>
      </w:tblGrid>
      <w:tr>
        <w:trPr>
          <w:trHeight w:val="323" w:hRule="exact"/>
        </w:trPr>
        <w:tc>
          <w:tcPr>
            <w:tcW w:w="2014"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9" w:lineRule="exact"/>
              <w:ind w:left="6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股东总数</w:t>
            </w:r>
            <w:r>
              <w:rPr>
                <w:rFonts w:ascii="Microsoft JhengHei" w:hAnsi="Microsoft JhengHei" w:cs="Microsoft JhengHei" w:eastAsia="Microsoft JhengHei" w:hint="default"/>
                <w:sz w:val="18"/>
                <w:szCs w:val="18"/>
              </w:rPr>
            </w:r>
          </w:p>
        </w:tc>
        <w:tc>
          <w:tcPr>
            <w:tcW w:w="6502" w:type="dxa"/>
            <w:gridSpan w:val="5"/>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9" w:lineRule="exact"/>
              <w:ind w:right="15"/>
              <w:jc w:val="right"/>
              <w:rPr>
                <w:rFonts w:ascii="Microsoft JhengHei" w:hAnsi="Microsoft JhengHei" w:cs="Microsoft JhengHei" w:eastAsia="Microsoft JhengHei" w:hint="default"/>
                <w:sz w:val="18"/>
                <w:szCs w:val="18"/>
              </w:rPr>
            </w:pPr>
            <w:r>
              <w:rPr>
                <w:rFonts w:ascii="Microsoft JhengHei"/>
                <w:b/>
                <w:spacing w:val="3"/>
                <w:w w:val="83"/>
                <w:sz w:val="18"/>
              </w:rPr>
              <w:t>7</w:t>
            </w:r>
            <w:r>
              <w:rPr>
                <w:rFonts w:ascii="Microsoft JhengHei"/>
                <w:b/>
                <w:spacing w:val="1"/>
                <w:w w:val="83"/>
                <w:sz w:val="18"/>
              </w:rPr>
              <w:t>5</w:t>
            </w:r>
            <w:r>
              <w:rPr>
                <w:rFonts w:ascii="Microsoft JhengHei"/>
                <w:b/>
                <w:spacing w:val="1"/>
                <w:w w:val="196"/>
                <w:sz w:val="18"/>
              </w:rPr>
              <w:t>,</w:t>
            </w:r>
            <w:r>
              <w:rPr>
                <w:rFonts w:ascii="Microsoft JhengHei"/>
                <w:b/>
                <w:spacing w:val="1"/>
                <w:w w:val="83"/>
                <w:sz w:val="18"/>
              </w:rPr>
              <w:t>16</w:t>
            </w:r>
            <w:r>
              <w:rPr>
                <w:rFonts w:ascii="Microsoft JhengHei"/>
                <w:b/>
                <w:w w:val="83"/>
                <w:sz w:val="18"/>
              </w:rPr>
              <w:t>9</w:t>
            </w:r>
            <w:r>
              <w:rPr>
                <w:rFonts w:ascii="Microsoft JhengHei"/>
                <w:sz w:val="18"/>
              </w:rPr>
            </w:r>
          </w:p>
        </w:tc>
      </w:tr>
      <w:tr>
        <w:trPr>
          <w:trHeight w:val="323" w:hRule="exact"/>
        </w:trPr>
        <w:tc>
          <w:tcPr>
            <w:tcW w:w="8515" w:type="dxa"/>
            <w:gridSpan w:val="6"/>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8" w:lineRule="exact"/>
              <w:ind w:left="2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前 10</w:t>
            </w:r>
            <w:r>
              <w:rPr>
                <w:rFonts w:ascii="Microsoft JhengHei" w:hAnsi="Microsoft JhengHei" w:cs="Microsoft JhengHei" w:eastAsia="Microsoft JhengHei" w:hint="default"/>
                <w:b/>
                <w:bCs/>
                <w:spacing w:val="-29"/>
                <w:sz w:val="18"/>
                <w:szCs w:val="18"/>
              </w:rPr>
              <w:t> </w:t>
            </w:r>
            <w:r>
              <w:rPr>
                <w:rFonts w:ascii="Microsoft JhengHei" w:hAnsi="Microsoft JhengHei" w:cs="Microsoft JhengHei" w:eastAsia="Microsoft JhengHei" w:hint="default"/>
                <w:b/>
                <w:bCs/>
                <w:sz w:val="18"/>
                <w:szCs w:val="18"/>
              </w:rPr>
              <w:t>名股东持股情况</w:t>
            </w:r>
            <w:r>
              <w:rPr>
                <w:rFonts w:ascii="Microsoft JhengHei" w:hAnsi="Microsoft JhengHei" w:cs="Microsoft JhengHei" w:eastAsia="Microsoft JhengHei" w:hint="default"/>
                <w:sz w:val="18"/>
                <w:szCs w:val="18"/>
              </w:rPr>
            </w:r>
          </w:p>
        </w:tc>
      </w:tr>
      <w:tr>
        <w:trPr>
          <w:trHeight w:val="634" w:hRule="exact"/>
        </w:trPr>
        <w:tc>
          <w:tcPr>
            <w:tcW w:w="2014"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14"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111"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280" w:right="0"/>
              <w:jc w:val="left"/>
              <w:rPr>
                <w:rFonts w:ascii="宋体" w:hAnsi="宋体" w:cs="宋体" w:eastAsia="宋体" w:hint="default"/>
                <w:sz w:val="18"/>
                <w:szCs w:val="18"/>
              </w:rPr>
            </w:pPr>
            <w:r>
              <w:rPr>
                <w:rFonts w:ascii="宋体" w:hAnsi="宋体" w:cs="宋体" w:eastAsia="宋体" w:hint="default"/>
                <w:sz w:val="18"/>
                <w:szCs w:val="18"/>
              </w:rPr>
              <w:t>（％）</w:t>
            </w:r>
          </w:p>
        </w:tc>
        <w:tc>
          <w:tcPr>
            <w:tcW w:w="121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548"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16" w:lineRule="auto" w:before="10"/>
              <w:ind w:left="501" w:right="47" w:hanging="452"/>
              <w:jc w:val="left"/>
              <w:rPr>
                <w:rFonts w:ascii="宋体" w:hAnsi="宋体" w:cs="宋体" w:eastAsia="宋体" w:hint="default"/>
                <w:sz w:val="18"/>
                <w:szCs w:val="18"/>
              </w:rPr>
            </w:pPr>
            <w:r>
              <w:rPr>
                <w:rFonts w:ascii="宋体" w:hAnsi="宋体" w:cs="宋体" w:eastAsia="宋体" w:hint="default"/>
                <w:sz w:val="18"/>
                <w:szCs w:val="18"/>
              </w:rPr>
              <w:t>持有有限售条件股 份数量</w:t>
            </w:r>
          </w:p>
        </w:tc>
        <w:tc>
          <w:tcPr>
            <w:tcW w:w="1519"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316" w:lineRule="auto" w:before="10"/>
              <w:ind w:left="576" w:right="31" w:hanging="540"/>
              <w:jc w:val="left"/>
              <w:rPr>
                <w:rFonts w:ascii="宋体" w:hAnsi="宋体" w:cs="宋体" w:eastAsia="宋体" w:hint="default"/>
                <w:sz w:val="18"/>
                <w:szCs w:val="18"/>
              </w:rPr>
            </w:pPr>
            <w:r>
              <w:rPr>
                <w:rFonts w:ascii="宋体" w:hAnsi="宋体" w:cs="宋体" w:eastAsia="宋体" w:hint="default"/>
                <w:sz w:val="18"/>
                <w:szCs w:val="18"/>
              </w:rPr>
              <w:t>质押或冻结的股份 数量</w:t>
            </w:r>
          </w:p>
        </w:tc>
      </w:tr>
      <w:tr>
        <w:trPr>
          <w:trHeight w:val="634"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1"/>
              <w:jc w:val="left"/>
              <w:rPr>
                <w:rFonts w:ascii="宋体" w:hAnsi="宋体" w:cs="宋体" w:eastAsia="宋体" w:hint="default"/>
                <w:sz w:val="18"/>
                <w:szCs w:val="18"/>
              </w:rPr>
            </w:pPr>
            <w:r>
              <w:rPr>
                <w:rFonts w:ascii="宋体" w:hAnsi="宋体" w:cs="宋体" w:eastAsia="宋体" w:hint="default"/>
                <w:spacing w:val="14"/>
                <w:sz w:val="18"/>
                <w:szCs w:val="18"/>
              </w:rPr>
              <w:t>深圳市国有资产监督管</w:t>
            </w:r>
            <w:r>
              <w:rPr>
                <w:rFonts w:ascii="宋体" w:hAnsi="宋体" w:cs="宋体" w:eastAsia="宋体" w:hint="default"/>
                <w:sz w:val="18"/>
                <w:szCs w:val="18"/>
              </w:rPr>
              <w:t> 理局</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国家</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宋体" w:hAnsi="宋体" w:cs="宋体" w:eastAsia="宋体" w:hint="default"/>
                <w:sz w:val="18"/>
                <w:szCs w:val="18"/>
              </w:rPr>
            </w:pPr>
            <w:r>
              <w:rPr>
                <w:rFonts w:ascii="宋体"/>
                <w:spacing w:val="-1"/>
                <w:sz w:val="18"/>
              </w:rPr>
              <w:t>21.52</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sz w:val="18"/>
              </w:rPr>
              <w:t>165,358,021</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8" w:right="0"/>
              <w:jc w:val="left"/>
              <w:rPr>
                <w:rFonts w:ascii="宋体" w:hAnsi="宋体" w:cs="宋体" w:eastAsia="宋体" w:hint="default"/>
                <w:sz w:val="18"/>
                <w:szCs w:val="18"/>
              </w:rPr>
            </w:pPr>
            <w:r>
              <w:rPr>
                <w:rFonts w:ascii="宋体"/>
                <w:sz w:val="18"/>
              </w:rPr>
              <w:t>165,358,021</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r>
      <w:tr>
        <w:trPr>
          <w:trHeight w:val="634"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1"/>
              <w:jc w:val="left"/>
              <w:rPr>
                <w:rFonts w:ascii="宋体" w:hAnsi="宋体" w:cs="宋体" w:eastAsia="宋体" w:hint="default"/>
                <w:sz w:val="18"/>
                <w:szCs w:val="18"/>
              </w:rPr>
            </w:pPr>
            <w:r>
              <w:rPr>
                <w:rFonts w:ascii="宋体" w:hAnsi="宋体" w:cs="宋体" w:eastAsia="宋体" w:hint="default"/>
                <w:spacing w:val="14"/>
                <w:sz w:val="18"/>
                <w:szCs w:val="18"/>
              </w:rPr>
              <w:t>深圳市远致投资有限公</w:t>
            </w:r>
            <w:r>
              <w:rPr>
                <w:rFonts w:ascii="宋体" w:hAnsi="宋体" w:cs="宋体" w:eastAsia="宋体" w:hint="default"/>
                <w:sz w:val="18"/>
                <w:szCs w:val="18"/>
              </w:rPr>
              <w:t> 司</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66"/>
              <w:jc w:val="right"/>
              <w:rPr>
                <w:rFonts w:ascii="宋体" w:hAnsi="宋体" w:cs="宋体" w:eastAsia="宋体" w:hint="default"/>
                <w:sz w:val="18"/>
                <w:szCs w:val="18"/>
              </w:rPr>
            </w:pPr>
            <w:r>
              <w:rPr>
                <w:rFonts w:ascii="宋体"/>
                <w:sz w:val="18"/>
              </w:rPr>
              <w:t>5.22</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40,128,474</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sz w:val="18"/>
              </w:rPr>
              <w:t>39,100,000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r>
      <w:tr>
        <w:trPr>
          <w:trHeight w:val="634"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31"/>
              <w:jc w:val="left"/>
              <w:rPr>
                <w:rFonts w:ascii="宋体" w:hAnsi="宋体" w:cs="宋体" w:eastAsia="宋体" w:hint="default"/>
                <w:sz w:val="18"/>
                <w:szCs w:val="18"/>
              </w:rPr>
            </w:pPr>
            <w:r>
              <w:rPr>
                <w:rFonts w:ascii="宋体" w:hAnsi="宋体" w:cs="宋体" w:eastAsia="宋体" w:hint="default"/>
                <w:spacing w:val="14"/>
                <w:sz w:val="18"/>
                <w:szCs w:val="18"/>
              </w:rPr>
              <w:t>世纪阳光控股集团有限</w:t>
            </w:r>
            <w:r>
              <w:rPr>
                <w:rFonts w:ascii="宋体" w:hAnsi="宋体" w:cs="宋体" w:eastAsia="宋体" w:hint="default"/>
                <w:sz w:val="18"/>
                <w:szCs w:val="18"/>
              </w:rPr>
              <w:t> 公司</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372" w:right="98" w:hanging="26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66"/>
              <w:jc w:val="right"/>
              <w:rPr>
                <w:rFonts w:ascii="宋体" w:hAnsi="宋体" w:cs="宋体" w:eastAsia="宋体" w:hint="default"/>
                <w:sz w:val="18"/>
                <w:szCs w:val="18"/>
              </w:rPr>
            </w:pPr>
            <w:r>
              <w:rPr>
                <w:rFonts w:ascii="宋体"/>
                <w:sz w:val="18"/>
              </w:rPr>
              <w:t>3.32</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25,500,000</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sz w:val="18"/>
              </w:rPr>
              <w:t>25,500,000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r>
      <w:tr>
        <w:trPr>
          <w:trHeight w:val="946"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31"/>
              <w:jc w:val="both"/>
              <w:rPr>
                <w:rFonts w:ascii="宋体" w:hAnsi="宋体" w:cs="宋体" w:eastAsia="宋体" w:hint="default"/>
                <w:sz w:val="18"/>
                <w:szCs w:val="18"/>
              </w:rPr>
            </w:pPr>
            <w:r>
              <w:rPr>
                <w:rFonts w:ascii="宋体" w:hAnsi="宋体" w:cs="宋体" w:eastAsia="宋体" w:hint="default"/>
                <w:spacing w:val="13"/>
                <w:sz w:val="18"/>
                <w:szCs w:val="18"/>
              </w:rPr>
              <w:t>中国银行—</w:t>
            </w:r>
            <w:r>
              <w:rPr>
                <w:rFonts w:ascii="宋体" w:hAnsi="宋体" w:cs="宋体" w:eastAsia="宋体" w:hint="default"/>
                <w:spacing w:val="-74"/>
                <w:sz w:val="18"/>
                <w:szCs w:val="18"/>
              </w:rPr>
              <w:t> </w:t>
            </w:r>
            <w:r>
              <w:rPr>
                <w:rFonts w:ascii="宋体" w:hAnsi="宋体" w:cs="宋体" w:eastAsia="宋体" w:hint="default"/>
                <w:spacing w:val="12"/>
                <w:sz w:val="18"/>
                <w:szCs w:val="18"/>
              </w:rPr>
              <w:t>工银瑞信核</w:t>
            </w:r>
            <w:r>
              <w:rPr>
                <w:rFonts w:ascii="宋体" w:hAnsi="宋体" w:cs="宋体" w:eastAsia="宋体" w:hint="default"/>
                <w:sz w:val="18"/>
                <w:szCs w:val="18"/>
              </w:rPr>
              <w:t> </w:t>
            </w:r>
            <w:r>
              <w:rPr>
                <w:rFonts w:ascii="宋体" w:hAnsi="宋体" w:cs="宋体" w:eastAsia="宋体" w:hint="default"/>
                <w:spacing w:val="14"/>
                <w:sz w:val="18"/>
                <w:szCs w:val="18"/>
              </w:rPr>
              <w:t>心价值股票型证券投资</w:t>
            </w:r>
            <w:r>
              <w:rPr>
                <w:rFonts w:ascii="宋体" w:hAnsi="宋体" w:cs="宋体" w:eastAsia="宋体" w:hint="default"/>
                <w:sz w:val="18"/>
                <w:szCs w:val="18"/>
              </w:rPr>
              <w:t> 基金</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372" w:right="98" w:hanging="26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366"/>
              <w:jc w:val="right"/>
              <w:rPr>
                <w:rFonts w:ascii="宋体" w:hAnsi="宋体" w:cs="宋体" w:eastAsia="宋体" w:hint="default"/>
                <w:sz w:val="18"/>
                <w:szCs w:val="18"/>
              </w:rPr>
            </w:pPr>
            <w:r>
              <w:rPr>
                <w:rFonts w:ascii="宋体"/>
                <w:sz w:val="18"/>
              </w:rPr>
              <w:t>2.78</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48" w:right="0"/>
              <w:jc w:val="left"/>
              <w:rPr>
                <w:rFonts w:ascii="宋体" w:hAnsi="宋体" w:cs="宋体" w:eastAsia="宋体" w:hint="default"/>
                <w:sz w:val="18"/>
                <w:szCs w:val="18"/>
              </w:rPr>
            </w:pPr>
            <w:r>
              <w:rPr>
                <w:rFonts w:ascii="宋体"/>
                <w:sz w:val="18"/>
              </w:rPr>
              <w:t>21,340,000</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6" w:right="0"/>
              <w:jc w:val="center"/>
              <w:rPr>
                <w:rFonts w:ascii="宋体" w:hAnsi="宋体" w:cs="宋体" w:eastAsia="宋体" w:hint="default"/>
                <w:sz w:val="18"/>
                <w:szCs w:val="18"/>
              </w:rPr>
            </w:pPr>
            <w:r>
              <w:rPr>
                <w:rFonts w:ascii="宋体"/>
                <w:sz w:val="18"/>
              </w:rPr>
              <w:t>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 w:right="0"/>
              <w:jc w:val="center"/>
              <w:rPr>
                <w:rFonts w:ascii="宋体" w:hAnsi="宋体" w:cs="宋体" w:eastAsia="宋体" w:hint="default"/>
                <w:sz w:val="18"/>
                <w:szCs w:val="18"/>
              </w:rPr>
            </w:pPr>
            <w:r>
              <w:rPr>
                <w:rFonts w:ascii="宋体"/>
                <w:sz w:val="18"/>
              </w:rPr>
              <w:t>0</w:t>
            </w:r>
          </w:p>
        </w:tc>
      </w:tr>
      <w:tr>
        <w:trPr>
          <w:trHeight w:val="636"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31"/>
              <w:jc w:val="left"/>
              <w:rPr>
                <w:rFonts w:ascii="宋体" w:hAnsi="宋体" w:cs="宋体" w:eastAsia="宋体" w:hint="default"/>
                <w:sz w:val="18"/>
                <w:szCs w:val="18"/>
              </w:rPr>
            </w:pPr>
            <w:r>
              <w:rPr>
                <w:rFonts w:ascii="宋体" w:hAnsi="宋体" w:cs="宋体" w:eastAsia="宋体" w:hint="default"/>
                <w:spacing w:val="14"/>
                <w:sz w:val="18"/>
                <w:szCs w:val="18"/>
              </w:rPr>
              <w:t>深圳华强鼎信投资有限</w:t>
            </w:r>
            <w:r>
              <w:rPr>
                <w:rFonts w:ascii="宋体" w:hAnsi="宋体" w:cs="宋体" w:eastAsia="宋体" w:hint="default"/>
                <w:sz w:val="18"/>
                <w:szCs w:val="18"/>
              </w:rPr>
              <w:t> 公司</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372" w:right="98" w:hanging="26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66"/>
              <w:jc w:val="right"/>
              <w:rPr>
                <w:rFonts w:ascii="宋体" w:hAnsi="宋体" w:cs="宋体" w:eastAsia="宋体" w:hint="default"/>
                <w:sz w:val="18"/>
                <w:szCs w:val="18"/>
              </w:rPr>
            </w:pPr>
            <w:r>
              <w:rPr>
                <w:rFonts w:ascii="宋体"/>
                <w:sz w:val="18"/>
              </w:rPr>
              <w:t>2.74</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21,080,000</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sz w:val="18"/>
              </w:rPr>
              <w:t>21,080,000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r>
      <w:tr>
        <w:trPr>
          <w:trHeight w:val="634"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132"/>
              <w:jc w:val="left"/>
              <w:rPr>
                <w:rFonts w:ascii="宋体" w:hAnsi="宋体" w:cs="宋体" w:eastAsia="宋体" w:hint="default"/>
                <w:sz w:val="18"/>
                <w:szCs w:val="18"/>
              </w:rPr>
            </w:pPr>
            <w:r>
              <w:rPr>
                <w:rFonts w:ascii="宋体" w:hAnsi="宋体" w:cs="宋体" w:eastAsia="宋体" w:hint="default"/>
                <w:spacing w:val="4"/>
                <w:sz w:val="18"/>
                <w:szCs w:val="18"/>
              </w:rPr>
              <w:t>无锡市国联发展（集团</w:t>
            </w:r>
            <w:r>
              <w:rPr>
                <w:rFonts w:ascii="宋体" w:hAnsi="宋体" w:cs="宋体" w:eastAsia="宋体" w:hint="default"/>
                <w:sz w:val="18"/>
                <w:szCs w:val="18"/>
              </w:rPr>
              <w:t> 有限公司</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196" w:lineRule="exact" w:before="10"/>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9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66"/>
              <w:jc w:val="right"/>
              <w:rPr>
                <w:rFonts w:ascii="宋体" w:hAnsi="宋体" w:cs="宋体" w:eastAsia="宋体" w:hint="default"/>
                <w:sz w:val="18"/>
                <w:szCs w:val="18"/>
              </w:rPr>
            </w:pPr>
            <w:r>
              <w:rPr>
                <w:rFonts w:ascii="宋体"/>
                <w:sz w:val="18"/>
              </w:rPr>
              <w:t>2.21</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17,000,000</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sz w:val="18"/>
              </w:rPr>
              <w:t>17,000,000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r>
      <w:tr>
        <w:trPr>
          <w:trHeight w:val="634"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tabs>
                <w:tab w:pos="1531" w:val="left" w:leader="none"/>
              </w:tabs>
              <w:spacing w:line="316" w:lineRule="auto" w:before="10"/>
              <w:ind w:left="24" w:right="20"/>
              <w:jc w:val="left"/>
              <w:rPr>
                <w:rFonts w:ascii="宋体" w:hAnsi="宋体" w:cs="宋体" w:eastAsia="宋体" w:hint="default"/>
                <w:sz w:val="18"/>
                <w:szCs w:val="18"/>
              </w:rPr>
            </w:pPr>
            <w:r>
              <w:rPr>
                <w:rFonts w:ascii="宋体"/>
                <w:spacing w:val="-1"/>
                <w:sz w:val="18"/>
              </w:rPr>
              <w:t>BILL&amp;MELINDA</w:t>
              <w:tab/>
              <w:t>GATES</w:t>
            </w:r>
            <w:r>
              <w:rPr>
                <w:rFonts w:ascii="宋体"/>
                <w:spacing w:val="-87"/>
                <w:sz w:val="18"/>
              </w:rPr>
              <w:t> </w:t>
            </w:r>
            <w:r>
              <w:rPr>
                <w:rFonts w:ascii="宋体"/>
                <w:spacing w:val="-87"/>
                <w:sz w:val="18"/>
              </w:rPr>
            </w:r>
            <w:r>
              <w:rPr>
                <w:rFonts w:ascii="宋体"/>
                <w:sz w:val="18"/>
              </w:rPr>
              <w:t>FOUNDATION</w:t>
            </w:r>
            <w:r>
              <w:rPr>
                <w:rFonts w:ascii="宋体"/>
                <w:spacing w:val="-5"/>
                <w:sz w:val="18"/>
              </w:rPr>
              <w:t> </w:t>
            </w:r>
            <w:r>
              <w:rPr>
                <w:rFonts w:ascii="宋体"/>
                <w:sz w:val="18"/>
              </w:rPr>
              <w:t>TRUST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66"/>
              <w:jc w:val="right"/>
              <w:rPr>
                <w:rFonts w:ascii="宋体" w:hAnsi="宋体" w:cs="宋体" w:eastAsia="宋体" w:hint="default"/>
                <w:sz w:val="18"/>
                <w:szCs w:val="18"/>
              </w:rPr>
            </w:pPr>
            <w:r>
              <w:rPr>
                <w:rFonts w:ascii="宋体"/>
                <w:sz w:val="18"/>
              </w:rPr>
              <w:t>1.95</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15,000,196</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 w:right="0"/>
              <w:jc w:val="center"/>
              <w:rPr>
                <w:rFonts w:ascii="宋体" w:hAnsi="宋体" w:cs="宋体" w:eastAsia="宋体" w:hint="default"/>
                <w:sz w:val="18"/>
                <w:szCs w:val="18"/>
              </w:rPr>
            </w:pPr>
            <w:r>
              <w:rPr>
                <w:rFonts w:ascii="宋体"/>
                <w:sz w:val="18"/>
              </w:rPr>
              <w:t>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r>
      <w:tr>
        <w:trPr>
          <w:trHeight w:val="946"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29"/>
              <w:jc w:val="both"/>
              <w:rPr>
                <w:rFonts w:ascii="宋体" w:hAnsi="宋体" w:cs="宋体" w:eastAsia="宋体" w:hint="default"/>
                <w:sz w:val="18"/>
                <w:szCs w:val="18"/>
              </w:rPr>
            </w:pPr>
            <w:r>
              <w:rPr>
                <w:rFonts w:ascii="宋体" w:hAnsi="宋体" w:cs="宋体" w:eastAsia="宋体" w:hint="default"/>
                <w:spacing w:val="12"/>
                <w:sz w:val="18"/>
                <w:szCs w:val="18"/>
              </w:rPr>
              <w:t>中国农业银行</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pacing w:val="9"/>
                <w:sz w:val="18"/>
                <w:szCs w:val="18"/>
              </w:rPr>
              <w:t>交银施</w:t>
            </w:r>
            <w:r>
              <w:rPr>
                <w:rFonts w:ascii="宋体" w:hAnsi="宋体" w:cs="宋体" w:eastAsia="宋体" w:hint="default"/>
                <w:sz w:val="18"/>
                <w:szCs w:val="18"/>
              </w:rPr>
              <w:t> </w:t>
            </w:r>
            <w:r>
              <w:rPr>
                <w:rFonts w:ascii="宋体" w:hAnsi="宋体" w:cs="宋体" w:eastAsia="宋体" w:hint="default"/>
                <w:spacing w:val="14"/>
                <w:sz w:val="18"/>
                <w:szCs w:val="18"/>
              </w:rPr>
              <w:t>罗德精选股票证券投资</w:t>
            </w:r>
            <w:r>
              <w:rPr>
                <w:rFonts w:ascii="宋体" w:hAnsi="宋体" w:cs="宋体" w:eastAsia="宋体" w:hint="default"/>
                <w:sz w:val="18"/>
                <w:szCs w:val="18"/>
              </w:rPr>
              <w:t> 基金</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72" w:right="98" w:hanging="26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66"/>
              <w:jc w:val="right"/>
              <w:rPr>
                <w:rFonts w:ascii="宋体" w:hAnsi="宋体" w:cs="宋体" w:eastAsia="宋体" w:hint="default"/>
                <w:sz w:val="18"/>
                <w:szCs w:val="18"/>
              </w:rPr>
            </w:pPr>
            <w:r>
              <w:rPr>
                <w:rFonts w:ascii="宋体"/>
                <w:sz w:val="18"/>
              </w:rPr>
              <w:t>1.65</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48" w:right="0"/>
              <w:jc w:val="left"/>
              <w:rPr>
                <w:rFonts w:ascii="宋体" w:hAnsi="宋体" w:cs="宋体" w:eastAsia="宋体" w:hint="default"/>
                <w:sz w:val="18"/>
                <w:szCs w:val="18"/>
              </w:rPr>
            </w:pPr>
            <w:r>
              <w:rPr>
                <w:rFonts w:ascii="宋体"/>
                <w:sz w:val="18"/>
              </w:rPr>
              <w:t>12,683,449</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6" w:right="0"/>
              <w:jc w:val="center"/>
              <w:rPr>
                <w:rFonts w:ascii="宋体" w:hAnsi="宋体" w:cs="宋体" w:eastAsia="宋体" w:hint="default"/>
                <w:sz w:val="18"/>
                <w:szCs w:val="18"/>
              </w:rPr>
            </w:pPr>
            <w:r>
              <w:rPr>
                <w:rFonts w:ascii="宋体"/>
                <w:sz w:val="18"/>
              </w:rPr>
              <w:t>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center"/>
              <w:rPr>
                <w:rFonts w:ascii="宋体" w:hAnsi="宋体" w:cs="宋体" w:eastAsia="宋体" w:hint="default"/>
                <w:sz w:val="18"/>
                <w:szCs w:val="18"/>
              </w:rPr>
            </w:pPr>
            <w:r>
              <w:rPr>
                <w:rFonts w:ascii="宋体"/>
                <w:sz w:val="18"/>
              </w:rPr>
              <w:t>0</w:t>
            </w:r>
          </w:p>
        </w:tc>
      </w:tr>
      <w:tr>
        <w:trPr>
          <w:trHeight w:val="634"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31"/>
              <w:jc w:val="left"/>
              <w:rPr>
                <w:rFonts w:ascii="宋体" w:hAnsi="宋体" w:cs="宋体" w:eastAsia="宋体" w:hint="default"/>
                <w:sz w:val="18"/>
                <w:szCs w:val="18"/>
              </w:rPr>
            </w:pPr>
            <w:r>
              <w:rPr>
                <w:rFonts w:ascii="宋体" w:hAnsi="宋体" w:cs="宋体" w:eastAsia="宋体" w:hint="default"/>
                <w:spacing w:val="14"/>
                <w:sz w:val="18"/>
                <w:szCs w:val="18"/>
              </w:rPr>
              <w:t>广深铁路集团广深铁路</w:t>
            </w:r>
            <w:r>
              <w:rPr>
                <w:rFonts w:ascii="宋体" w:hAnsi="宋体" w:cs="宋体" w:eastAsia="宋体" w:hint="default"/>
                <w:sz w:val="18"/>
                <w:szCs w:val="18"/>
              </w:rPr>
              <w:t> 实业发展总公司</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66"/>
              <w:jc w:val="right"/>
              <w:rPr>
                <w:rFonts w:ascii="宋体" w:hAnsi="宋体" w:cs="宋体" w:eastAsia="宋体" w:hint="default"/>
                <w:sz w:val="18"/>
                <w:szCs w:val="18"/>
              </w:rPr>
            </w:pPr>
            <w:r>
              <w:rPr>
                <w:rFonts w:ascii="宋体"/>
                <w:sz w:val="18"/>
              </w:rPr>
              <w:t>1.46</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11,212,948</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 w:right="0"/>
              <w:jc w:val="center"/>
              <w:rPr>
                <w:rFonts w:ascii="宋体" w:hAnsi="宋体" w:cs="宋体" w:eastAsia="宋体" w:hint="default"/>
                <w:sz w:val="18"/>
                <w:szCs w:val="18"/>
              </w:rPr>
            </w:pPr>
            <w:r>
              <w:rPr>
                <w:rFonts w:ascii="宋体"/>
                <w:sz w:val="18"/>
              </w:rPr>
              <w:t>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r>
      <w:tr>
        <w:trPr>
          <w:trHeight w:val="635" w:hRule="exact"/>
        </w:trPr>
        <w:tc>
          <w:tcPr>
            <w:tcW w:w="201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31"/>
              <w:jc w:val="left"/>
              <w:rPr>
                <w:rFonts w:ascii="宋体" w:hAnsi="宋体" w:cs="宋体" w:eastAsia="宋体" w:hint="default"/>
                <w:sz w:val="18"/>
                <w:szCs w:val="18"/>
              </w:rPr>
            </w:pPr>
            <w:r>
              <w:rPr>
                <w:rFonts w:ascii="宋体" w:hAnsi="宋体" w:cs="宋体" w:eastAsia="宋体" w:hint="default"/>
                <w:spacing w:val="14"/>
                <w:sz w:val="18"/>
                <w:szCs w:val="18"/>
              </w:rPr>
              <w:t>深圳市劳动和社会保障</w:t>
            </w:r>
            <w:r>
              <w:rPr>
                <w:rFonts w:ascii="宋体" w:hAnsi="宋体" w:cs="宋体" w:eastAsia="宋体" w:hint="default"/>
                <w:sz w:val="18"/>
                <w:szCs w:val="18"/>
              </w:rPr>
              <w:t> 局</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66"/>
              <w:jc w:val="right"/>
              <w:rPr>
                <w:rFonts w:ascii="宋体" w:hAnsi="宋体" w:cs="宋体" w:eastAsia="宋体" w:hint="default"/>
                <w:sz w:val="18"/>
                <w:szCs w:val="18"/>
              </w:rPr>
            </w:pPr>
            <w:r>
              <w:rPr>
                <w:rFonts w:ascii="宋体"/>
                <w:sz w:val="18"/>
              </w:rPr>
              <w:t>1.46</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11,212,948</w:t>
            </w:r>
          </w:p>
        </w:tc>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 w:right="0"/>
              <w:jc w:val="center"/>
              <w:rPr>
                <w:rFonts w:ascii="宋体" w:hAnsi="宋体" w:cs="宋体" w:eastAsia="宋体" w:hint="default"/>
                <w:sz w:val="18"/>
                <w:szCs w:val="18"/>
              </w:rPr>
            </w:pPr>
            <w:r>
              <w:rPr>
                <w:rFonts w:ascii="宋体"/>
                <w:sz w:val="18"/>
              </w:rPr>
              <w:t>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r>
      <w:tr>
        <w:trPr>
          <w:trHeight w:val="323" w:hRule="exact"/>
        </w:trPr>
        <w:tc>
          <w:tcPr>
            <w:tcW w:w="8515" w:type="dxa"/>
            <w:gridSpan w:val="6"/>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8"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前 10</w:t>
            </w:r>
            <w:r>
              <w:rPr>
                <w:rFonts w:ascii="Microsoft JhengHei" w:hAnsi="Microsoft JhengHei" w:cs="Microsoft JhengHei" w:eastAsia="Microsoft JhengHei" w:hint="default"/>
                <w:b/>
                <w:bCs/>
                <w:spacing w:val="-27"/>
                <w:sz w:val="18"/>
                <w:szCs w:val="18"/>
              </w:rPr>
              <w:t> </w:t>
            </w:r>
            <w:r>
              <w:rPr>
                <w:rFonts w:ascii="Microsoft JhengHei" w:hAnsi="Microsoft JhengHei" w:cs="Microsoft JhengHei" w:eastAsia="Microsoft JhengHei" w:hint="default"/>
                <w:b/>
                <w:bCs/>
                <w:sz w:val="18"/>
                <w:szCs w:val="18"/>
              </w:rPr>
              <w:t>名无限售条件股东持股情况</w:t>
            </w:r>
            <w:r>
              <w:rPr>
                <w:rFonts w:ascii="Microsoft JhengHei" w:hAnsi="Microsoft JhengHei" w:cs="Microsoft JhengHei" w:eastAsia="Microsoft JhengHei" w:hint="default"/>
                <w:sz w:val="18"/>
                <w:szCs w:val="18"/>
              </w:rPr>
            </w:r>
          </w:p>
        </w:tc>
      </w:tr>
      <w:tr>
        <w:trPr>
          <w:trHeight w:val="322" w:hRule="exact"/>
        </w:trPr>
        <w:tc>
          <w:tcPr>
            <w:tcW w:w="3127" w:type="dxa"/>
            <w:gridSpan w:val="2"/>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21" w:type="dxa"/>
            <w:gridSpan w:val="2"/>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7" w:type="dxa"/>
            <w:gridSpan w:val="2"/>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634"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1"/>
              <w:jc w:val="left"/>
              <w:rPr>
                <w:rFonts w:ascii="宋体" w:hAnsi="宋体" w:cs="宋体" w:eastAsia="宋体" w:hint="default"/>
                <w:sz w:val="18"/>
                <w:szCs w:val="18"/>
              </w:rPr>
            </w:pPr>
            <w:r>
              <w:rPr>
                <w:rFonts w:ascii="宋体" w:hAnsi="宋体" w:cs="宋体" w:eastAsia="宋体" w:hint="default"/>
                <w:sz w:val="18"/>
                <w:szCs w:val="18"/>
              </w:rPr>
              <w:t>中国银行—工银瑞信核心价值股票型证 券投资基金</w:t>
            </w:r>
          </w:p>
        </w:tc>
        <w:tc>
          <w:tcPr>
            <w:tcW w:w="232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sz w:val="18"/>
              </w:rPr>
              <w:t>21,340,000</w:t>
            </w:r>
          </w:p>
        </w:tc>
        <w:tc>
          <w:tcPr>
            <w:tcW w:w="306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tabs>
                <w:tab w:pos="1425" w:val="left" w:leader="none"/>
                <w:tab w:pos="2195" w:val="left" w:leader="none"/>
              </w:tabs>
              <w:spacing w:line="316" w:lineRule="auto" w:before="10"/>
              <w:ind w:left="24" w:right="18"/>
              <w:jc w:val="left"/>
              <w:rPr>
                <w:rFonts w:ascii="宋体" w:hAnsi="宋体" w:cs="宋体" w:eastAsia="宋体" w:hint="default"/>
                <w:sz w:val="18"/>
                <w:szCs w:val="18"/>
              </w:rPr>
            </w:pPr>
            <w:r>
              <w:rPr>
                <w:rFonts w:ascii="宋体"/>
                <w:spacing w:val="-1"/>
                <w:sz w:val="18"/>
              </w:rPr>
              <w:t>BILL&amp;MELINDA</w:t>
              <w:tab/>
              <w:t>GATES</w:t>
              <w:tab/>
              <w:t>FOUNDATION</w:t>
            </w:r>
            <w:r>
              <w:rPr>
                <w:rFonts w:ascii="宋体"/>
                <w:spacing w:val="-83"/>
                <w:sz w:val="18"/>
              </w:rPr>
              <w:t> </w:t>
            </w:r>
            <w:r>
              <w:rPr>
                <w:rFonts w:ascii="宋体"/>
                <w:spacing w:val="-83"/>
                <w:sz w:val="18"/>
              </w:rPr>
            </w:r>
            <w:r>
              <w:rPr>
                <w:rFonts w:ascii="宋体"/>
                <w:sz w:val="18"/>
              </w:rPr>
              <w:t>TRUST</w:t>
            </w:r>
          </w:p>
        </w:tc>
        <w:tc>
          <w:tcPr>
            <w:tcW w:w="232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sz w:val="18"/>
              </w:rPr>
              <w:t>15,000,196</w:t>
            </w:r>
          </w:p>
        </w:tc>
        <w:tc>
          <w:tcPr>
            <w:tcW w:w="306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31"/>
              <w:jc w:val="left"/>
              <w:rPr>
                <w:rFonts w:ascii="宋体" w:hAnsi="宋体" w:cs="宋体" w:eastAsia="宋体" w:hint="default"/>
                <w:sz w:val="18"/>
                <w:szCs w:val="18"/>
              </w:rPr>
            </w:pPr>
            <w:r>
              <w:rPr>
                <w:rFonts w:ascii="宋体" w:hAnsi="宋体" w:cs="宋体" w:eastAsia="宋体" w:hint="default"/>
                <w:sz w:val="18"/>
                <w:szCs w:val="18"/>
              </w:rPr>
              <w:t>中国农业银行—交银施罗德精选股票证 券投资基金</w:t>
            </w:r>
          </w:p>
        </w:tc>
        <w:tc>
          <w:tcPr>
            <w:tcW w:w="232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sz w:val="18"/>
              </w:rPr>
              <w:t>12,683,449</w:t>
            </w:r>
          </w:p>
        </w:tc>
        <w:tc>
          <w:tcPr>
            <w:tcW w:w="306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广深铁路集团广深铁路实业发展总公司</w:t>
            </w:r>
          </w:p>
        </w:tc>
        <w:tc>
          <w:tcPr>
            <w:tcW w:w="232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705" w:right="0"/>
              <w:jc w:val="left"/>
              <w:rPr>
                <w:rFonts w:ascii="宋体" w:hAnsi="宋体" w:cs="宋体" w:eastAsia="宋体" w:hint="default"/>
                <w:sz w:val="18"/>
                <w:szCs w:val="18"/>
              </w:rPr>
            </w:pPr>
            <w:r>
              <w:rPr>
                <w:rFonts w:ascii="宋体"/>
                <w:sz w:val="18"/>
              </w:rPr>
              <w:t>11,212,948</w:t>
            </w:r>
          </w:p>
        </w:tc>
        <w:tc>
          <w:tcPr>
            <w:tcW w:w="306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深圳市劳动和社会保障局</w:t>
            </w:r>
          </w:p>
        </w:tc>
        <w:tc>
          <w:tcPr>
            <w:tcW w:w="232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705" w:right="0"/>
              <w:jc w:val="left"/>
              <w:rPr>
                <w:rFonts w:ascii="宋体" w:hAnsi="宋体" w:cs="宋体" w:eastAsia="宋体" w:hint="default"/>
                <w:sz w:val="18"/>
                <w:szCs w:val="18"/>
              </w:rPr>
            </w:pPr>
            <w:r>
              <w:rPr>
                <w:rFonts w:ascii="宋体"/>
                <w:sz w:val="18"/>
              </w:rPr>
              <w:t>11,212,948</w:t>
            </w:r>
          </w:p>
        </w:tc>
        <w:tc>
          <w:tcPr>
            <w:tcW w:w="306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1"/>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 型证券投资基金</w:t>
            </w:r>
          </w:p>
        </w:tc>
        <w:tc>
          <w:tcPr>
            <w:tcW w:w="232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sz w:val="18"/>
              </w:rPr>
              <w:t>10,000,000</w:t>
            </w:r>
          </w:p>
        </w:tc>
        <w:tc>
          <w:tcPr>
            <w:tcW w:w="306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1"/>
              <w:jc w:val="left"/>
              <w:rPr>
                <w:rFonts w:ascii="宋体" w:hAnsi="宋体" w:cs="宋体" w:eastAsia="宋体" w:hint="default"/>
                <w:sz w:val="18"/>
                <w:szCs w:val="18"/>
              </w:rPr>
            </w:pPr>
            <w:r>
              <w:rPr>
                <w:rFonts w:ascii="宋体" w:hAnsi="宋体" w:cs="宋体" w:eastAsia="宋体" w:hint="default"/>
                <w:sz w:val="18"/>
                <w:szCs w:val="18"/>
              </w:rPr>
              <w:t>中国太平洋人寿保险股份有限公司－分 红－个人分红</w:t>
            </w:r>
          </w:p>
        </w:tc>
        <w:tc>
          <w:tcPr>
            <w:tcW w:w="232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48" w:right="0"/>
              <w:jc w:val="left"/>
              <w:rPr>
                <w:rFonts w:ascii="宋体" w:hAnsi="宋体" w:cs="宋体" w:eastAsia="宋体" w:hint="default"/>
                <w:sz w:val="18"/>
                <w:szCs w:val="18"/>
              </w:rPr>
            </w:pPr>
            <w:r>
              <w:rPr>
                <w:rFonts w:ascii="宋体"/>
                <w:sz w:val="18"/>
              </w:rPr>
              <w:t>9,920,000</w:t>
            </w:r>
          </w:p>
        </w:tc>
        <w:tc>
          <w:tcPr>
            <w:tcW w:w="306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1"/>
              <w:jc w:val="left"/>
              <w:rPr>
                <w:rFonts w:ascii="宋体" w:hAnsi="宋体" w:cs="宋体" w:eastAsia="宋体" w:hint="default"/>
                <w:sz w:val="18"/>
                <w:szCs w:val="18"/>
              </w:rPr>
            </w:pPr>
            <w:r>
              <w:rPr>
                <w:rFonts w:ascii="宋体" w:hAnsi="宋体" w:cs="宋体" w:eastAsia="宋体" w:hint="default"/>
                <w:sz w:val="18"/>
                <w:szCs w:val="18"/>
              </w:rPr>
              <w:t>中国建设银行—交银施罗德稳健配置混 合型证券投资基金</w:t>
            </w:r>
          </w:p>
        </w:tc>
        <w:tc>
          <w:tcPr>
            <w:tcW w:w="232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48" w:right="0"/>
              <w:jc w:val="left"/>
              <w:rPr>
                <w:rFonts w:ascii="宋体" w:hAnsi="宋体" w:cs="宋体" w:eastAsia="宋体" w:hint="default"/>
                <w:sz w:val="18"/>
                <w:szCs w:val="18"/>
              </w:rPr>
            </w:pPr>
            <w:r>
              <w:rPr>
                <w:rFonts w:ascii="宋体"/>
                <w:sz w:val="18"/>
              </w:rPr>
              <w:t>9,500,000</w:t>
            </w:r>
          </w:p>
        </w:tc>
        <w:tc>
          <w:tcPr>
            <w:tcW w:w="306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申银万国—农行—BNP</w:t>
            </w:r>
            <w:r>
              <w:rPr>
                <w:rFonts w:ascii="宋体" w:hAnsi="宋体" w:cs="宋体" w:eastAsia="宋体" w:hint="default"/>
                <w:spacing w:val="-4"/>
                <w:sz w:val="18"/>
                <w:szCs w:val="18"/>
              </w:rPr>
              <w:t> </w:t>
            </w:r>
            <w:r>
              <w:rPr>
                <w:rFonts w:ascii="宋体" w:hAnsi="宋体" w:cs="宋体" w:eastAsia="宋体" w:hint="default"/>
                <w:sz w:val="18"/>
                <w:szCs w:val="18"/>
              </w:rPr>
              <w:t>PARIBAS</w:t>
            </w:r>
          </w:p>
        </w:tc>
        <w:tc>
          <w:tcPr>
            <w:tcW w:w="232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748" w:right="0"/>
              <w:jc w:val="left"/>
              <w:rPr>
                <w:rFonts w:ascii="宋体" w:hAnsi="宋体" w:cs="宋体" w:eastAsia="宋体" w:hint="default"/>
                <w:sz w:val="18"/>
                <w:szCs w:val="18"/>
              </w:rPr>
            </w:pPr>
            <w:r>
              <w:rPr>
                <w:rFonts w:ascii="宋体"/>
                <w:sz w:val="18"/>
              </w:rPr>
              <w:t>7,999,765</w:t>
            </w:r>
          </w:p>
        </w:tc>
        <w:tc>
          <w:tcPr>
            <w:tcW w:w="306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headerReference w:type="default" r:id="rId13"/>
          <w:pgSz w:w="11910" w:h="16840"/>
          <w:pgMar w:header="1205" w:footer="1095" w:top="1440" w:bottom="1280" w:left="1680" w:right="1320"/>
        </w:sectPr>
      </w:pPr>
    </w:p>
    <w:p>
      <w:pPr>
        <w:spacing w:line="240" w:lineRule="auto" w:before="3"/>
        <w:rPr>
          <w:rFonts w:ascii="Times New Roman" w:hAnsi="Times New Roman" w:cs="Times New Roman" w:eastAsia="Times New Roman" w:hint="default"/>
          <w:sz w:val="6"/>
          <w:szCs w:val="6"/>
        </w:rPr>
      </w:pPr>
    </w:p>
    <w:tbl>
      <w:tblPr>
        <w:tblW w:w="0" w:type="auto"/>
        <w:jc w:val="left"/>
        <w:tblInd w:w="406" w:type="dxa"/>
        <w:tblLayout w:type="fixed"/>
        <w:tblCellMar>
          <w:top w:w="0" w:type="dxa"/>
          <w:left w:w="0" w:type="dxa"/>
          <w:bottom w:w="0" w:type="dxa"/>
          <w:right w:w="0" w:type="dxa"/>
        </w:tblCellMar>
        <w:tblLook w:val="01E0"/>
      </w:tblPr>
      <w:tblGrid>
        <w:gridCol w:w="2014"/>
        <w:gridCol w:w="1114"/>
        <w:gridCol w:w="2321"/>
        <w:gridCol w:w="3067"/>
      </w:tblGrid>
      <w:tr>
        <w:trPr>
          <w:trHeight w:val="634" w:hRule="exact"/>
        </w:trPr>
        <w:tc>
          <w:tcPr>
            <w:tcW w:w="3127"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20"/>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46"/>
                <w:sz w:val="18"/>
                <w:szCs w:val="18"/>
              </w:rPr>
              <w:t> </w:t>
            </w:r>
            <w:r>
              <w:rPr>
                <w:rFonts w:ascii="宋体" w:hAnsi="宋体" w:cs="宋体" w:eastAsia="宋体" w:hint="default"/>
                <w:sz w:val="18"/>
                <w:szCs w:val="18"/>
              </w:rPr>
              <w:t>际</w:t>
            </w:r>
            <w:r>
              <w:rPr>
                <w:rFonts w:ascii="宋体" w:hAnsi="宋体" w:cs="宋体" w:eastAsia="宋体" w:hint="default"/>
                <w:spacing w:val="-39"/>
                <w:sz w:val="18"/>
                <w:szCs w:val="18"/>
              </w:rPr>
              <w:t> </w:t>
            </w:r>
            <w:r>
              <w:rPr>
                <w:rFonts w:ascii="宋体" w:hAnsi="宋体" w:cs="宋体" w:eastAsia="宋体" w:hint="default"/>
                <w:sz w:val="18"/>
                <w:szCs w:val="18"/>
              </w:rPr>
              <w:t>金</w:t>
            </w:r>
            <w:r>
              <w:rPr>
                <w:rFonts w:ascii="宋体" w:hAnsi="宋体" w:cs="宋体" w:eastAsia="宋体" w:hint="default"/>
                <w:spacing w:val="-41"/>
                <w:sz w:val="18"/>
                <w:szCs w:val="18"/>
              </w:rPr>
              <w:t> </w:t>
            </w:r>
            <w:r>
              <w:rPr>
                <w:rFonts w:ascii="宋体" w:hAnsi="宋体" w:cs="宋体" w:eastAsia="宋体" w:hint="default"/>
                <w:sz w:val="18"/>
                <w:szCs w:val="18"/>
              </w:rPr>
              <w:t>融</w:t>
            </w:r>
            <w:r>
              <w:rPr>
                <w:rFonts w:ascii="宋体" w:hAnsi="宋体" w:cs="宋体" w:eastAsia="宋体" w:hint="default"/>
                <w:spacing w:val="-36"/>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花</w:t>
            </w:r>
            <w:r>
              <w:rPr>
                <w:rFonts w:ascii="宋体" w:hAnsi="宋体" w:cs="宋体" w:eastAsia="宋体" w:hint="default"/>
                <w:spacing w:val="-46"/>
                <w:sz w:val="18"/>
                <w:szCs w:val="18"/>
              </w:rPr>
              <w:t> </w:t>
            </w:r>
            <w:r>
              <w:rPr>
                <w:rFonts w:ascii="宋体" w:hAnsi="宋体" w:cs="宋体" w:eastAsia="宋体" w:hint="default"/>
                <w:sz w:val="18"/>
                <w:szCs w:val="18"/>
              </w:rPr>
              <w:t>旗</w:t>
            </w:r>
            <w:r>
              <w:rPr>
                <w:rFonts w:ascii="宋体" w:hAnsi="宋体" w:cs="宋体" w:eastAsia="宋体" w:hint="default"/>
                <w:spacing w:val="-34"/>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MARTIN</w:t>
            </w:r>
            <w:r>
              <w:rPr>
                <w:rFonts w:ascii="宋体" w:hAnsi="宋体" w:cs="宋体" w:eastAsia="宋体" w:hint="default"/>
                <w:spacing w:val="49"/>
                <w:sz w:val="18"/>
                <w:szCs w:val="18"/>
              </w:rPr>
              <w:t> </w:t>
            </w:r>
            <w:r>
              <w:rPr>
                <w:rFonts w:ascii="宋体" w:hAnsi="宋体" w:cs="宋体" w:eastAsia="宋体" w:hint="default"/>
                <w:sz w:val="18"/>
                <w:szCs w:val="18"/>
              </w:rPr>
              <w:t>CURRIE</w:t>
            </w:r>
            <w:r>
              <w:rPr>
                <w:rFonts w:ascii="宋体" w:hAnsi="宋体" w:cs="宋体" w:eastAsia="宋体" w:hint="default"/>
                <w:sz w:val="18"/>
                <w:szCs w:val="18"/>
              </w:rPr>
              <w:t> INVESTMENT MANAGEMENT</w:t>
            </w:r>
            <w:r>
              <w:rPr>
                <w:rFonts w:ascii="宋体" w:hAnsi="宋体" w:cs="宋体" w:eastAsia="宋体" w:hint="default"/>
                <w:spacing w:val="-12"/>
                <w:sz w:val="18"/>
                <w:szCs w:val="18"/>
              </w:rPr>
              <w:t> </w:t>
            </w:r>
            <w:r>
              <w:rPr>
                <w:rFonts w:ascii="宋体" w:hAnsi="宋体" w:cs="宋体" w:eastAsia="宋体" w:hint="default"/>
                <w:sz w:val="18"/>
                <w:szCs w:val="18"/>
              </w:rPr>
              <w:t>LIMITED</w:t>
            </w:r>
          </w:p>
        </w:tc>
        <w:tc>
          <w:tcPr>
            <w:tcW w:w="23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48" w:right="0"/>
              <w:jc w:val="left"/>
              <w:rPr>
                <w:rFonts w:ascii="宋体" w:hAnsi="宋体" w:cs="宋体" w:eastAsia="宋体" w:hint="default"/>
                <w:sz w:val="18"/>
                <w:szCs w:val="18"/>
              </w:rPr>
            </w:pPr>
            <w:r>
              <w:rPr>
                <w:rFonts w:ascii="宋体"/>
                <w:sz w:val="18"/>
              </w:rPr>
              <w:t>7,496,991</w:t>
            </w:r>
          </w:p>
        </w:tc>
        <w:tc>
          <w:tcPr>
            <w:tcW w:w="30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572" w:hRule="exact"/>
        </w:trPr>
        <w:tc>
          <w:tcPr>
            <w:tcW w:w="2014"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463" w:right="98" w:hanging="360"/>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6502" w:type="dxa"/>
            <w:gridSpan w:val="3"/>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19"/>
              <w:jc w:val="left"/>
              <w:rPr>
                <w:rFonts w:ascii="宋体" w:hAnsi="宋体" w:cs="宋体" w:eastAsia="宋体" w:hint="default"/>
                <w:sz w:val="18"/>
                <w:szCs w:val="18"/>
              </w:rPr>
            </w:pPr>
            <w:r>
              <w:rPr>
                <w:rFonts w:ascii="宋体" w:hAnsi="宋体" w:cs="宋体" w:eastAsia="宋体" w:hint="default"/>
                <w:spacing w:val="-3"/>
                <w:sz w:val="18"/>
                <w:szCs w:val="18"/>
              </w:rPr>
              <w:t>1、控股股东深圳市国有资产监督管理局代表国家持有股份（国家股）；前</w:t>
            </w:r>
            <w:r>
              <w:rPr>
                <w:rFonts w:ascii="宋体" w:hAnsi="宋体" w:cs="宋体" w:eastAsia="宋体" w:hint="default"/>
                <w:sz w:val="18"/>
                <w:szCs w:val="18"/>
              </w:rPr>
              <w:t> 10</w:t>
            </w:r>
            <w:r>
              <w:rPr>
                <w:rFonts w:ascii="宋体" w:hAnsi="宋体" w:cs="宋体" w:eastAsia="宋体" w:hint="default"/>
                <w:spacing w:val="-41"/>
                <w:sz w:val="18"/>
                <w:szCs w:val="18"/>
              </w:rPr>
              <w:t> </w:t>
            </w:r>
            <w:r>
              <w:rPr>
                <w:rFonts w:ascii="宋体" w:hAnsi="宋体" w:cs="宋体" w:eastAsia="宋体" w:hint="default"/>
                <w:sz w:val="18"/>
                <w:szCs w:val="18"/>
              </w:rPr>
              <w:t>名股</w:t>
            </w:r>
            <w:r>
              <w:rPr>
                <w:rFonts w:ascii="宋体" w:hAnsi="宋体" w:cs="宋体" w:eastAsia="宋体" w:hint="default"/>
                <w:sz w:val="18"/>
                <w:szCs w:val="18"/>
              </w:rPr>
              <w:t> 东中，深圳市国有资产监督管理局持有深圳市远致投资有限公司</w:t>
            </w:r>
            <w:r>
              <w:rPr>
                <w:rFonts w:ascii="宋体" w:hAnsi="宋体" w:cs="宋体" w:eastAsia="宋体" w:hint="default"/>
                <w:spacing w:val="-69"/>
                <w:sz w:val="18"/>
                <w:szCs w:val="18"/>
              </w:rPr>
              <w:t> </w:t>
            </w:r>
            <w:r>
              <w:rPr>
                <w:rFonts w:ascii="宋体" w:hAnsi="宋体" w:cs="宋体" w:eastAsia="宋体" w:hint="default"/>
                <w:spacing w:val="-5"/>
                <w:sz w:val="18"/>
                <w:szCs w:val="18"/>
              </w:rPr>
              <w:t>100%的股权，该两</w:t>
            </w:r>
            <w:r>
              <w:rPr>
                <w:rFonts w:ascii="宋体" w:hAnsi="宋体" w:cs="宋体" w:eastAsia="宋体" w:hint="default"/>
                <w:sz w:val="18"/>
                <w:szCs w:val="18"/>
              </w:rPr>
              <w:t> 股东之间存在关联关系； 2、本公司未知上列其余股东之间是否存在关联关系及是否属于《上市公司收购管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理办法》中规定的一致行动人。</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tabs>
          <w:tab w:pos="8105" w:val="left" w:leader="none"/>
        </w:tabs>
        <w:spacing w:before="36"/>
        <w:ind w:left="440" w:right="306" w:firstLine="0"/>
        <w:jc w:val="left"/>
        <w:rPr>
          <w:rFonts w:ascii="宋体" w:hAnsi="宋体" w:cs="宋体" w:eastAsia="宋体" w:hint="default"/>
          <w:sz w:val="21"/>
          <w:szCs w:val="21"/>
        </w:rPr>
      </w:pPr>
      <w:r>
        <w:rPr>
          <w:rFonts w:ascii="宋体" w:hAnsi="宋体" w:cs="宋体" w:eastAsia="宋体" w:hint="default"/>
          <w:spacing w:val="-2"/>
          <w:sz w:val="21"/>
          <w:szCs w:val="21"/>
        </w:rPr>
        <w:t>注：持有公司5％以上股份的股东股份情况变动如下表</w:t>
        <w:tab/>
      </w: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435"/>
        <w:gridCol w:w="1260"/>
        <w:gridCol w:w="1800"/>
        <w:gridCol w:w="1260"/>
        <w:gridCol w:w="2700"/>
        <w:gridCol w:w="660"/>
      </w:tblGrid>
      <w:tr>
        <w:trPr>
          <w:trHeight w:val="634" w:hRule="exact"/>
        </w:trPr>
        <w:tc>
          <w:tcPr>
            <w:tcW w:w="1435"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09"/>
              <w:ind w:left="3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tc>
        <w:tc>
          <w:tcPr>
            <w:tcW w:w="126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年初持股</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180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本年增减变动股数</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26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年末持股</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270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40" w:lineRule="auto" w:before="10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变动原因</w:t>
            </w:r>
            <w:r>
              <w:rPr>
                <w:rFonts w:ascii="Microsoft JhengHei" w:hAnsi="Microsoft JhengHei" w:cs="Microsoft JhengHei" w:eastAsia="Microsoft JhengHei" w:hint="default"/>
                <w:sz w:val="18"/>
                <w:szCs w:val="18"/>
              </w:rPr>
            </w:r>
          </w:p>
        </w:tc>
        <w:tc>
          <w:tcPr>
            <w:tcW w:w="66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66" w:lineRule="exact"/>
              <w:ind w:left="1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w:t>
            </w:r>
            <w:r>
              <w:rPr>
                <w:rFonts w:ascii="Microsoft JhengHei" w:hAnsi="Microsoft JhengHei" w:cs="Microsoft JhengHei" w:eastAsia="Microsoft JhengHei" w:hint="default"/>
                <w:sz w:val="18"/>
                <w:szCs w:val="18"/>
              </w:rPr>
            </w:r>
          </w:p>
          <w:p>
            <w:pPr>
              <w:pStyle w:val="TableParagraph"/>
              <w:spacing w:line="313" w:lineRule="exact"/>
              <w:ind w:left="1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种类</w:t>
            </w:r>
            <w:r>
              <w:rPr>
                <w:rFonts w:ascii="Microsoft JhengHei" w:hAnsi="Microsoft JhengHei" w:cs="Microsoft JhengHei" w:eastAsia="Microsoft JhengHei" w:hint="default"/>
                <w:sz w:val="18"/>
                <w:szCs w:val="18"/>
              </w:rPr>
            </w:r>
          </w:p>
        </w:tc>
      </w:tr>
      <w:tr>
        <w:trPr>
          <w:trHeight w:val="634" w:hRule="exact"/>
        </w:trPr>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10"/>
              <w:jc w:val="left"/>
              <w:rPr>
                <w:rFonts w:ascii="宋体" w:hAnsi="宋体" w:cs="宋体" w:eastAsia="宋体" w:hint="default"/>
                <w:sz w:val="18"/>
                <w:szCs w:val="18"/>
              </w:rPr>
            </w:pPr>
            <w:r>
              <w:rPr>
                <w:rFonts w:ascii="宋体" w:hAnsi="宋体" w:cs="宋体" w:eastAsia="宋体" w:hint="default"/>
                <w:spacing w:val="10"/>
                <w:sz w:val="18"/>
                <w:szCs w:val="18"/>
              </w:rPr>
              <w:t>深圳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z w:val="18"/>
                <w:szCs w:val="18"/>
              </w:rPr>
              <w:t> 产监督管理局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97,269,424</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+68,088,597</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sz w:val="18"/>
              </w:rPr>
              <w:t>165,358,021</w:t>
            </w:r>
          </w:p>
        </w:tc>
        <w:tc>
          <w:tcPr>
            <w:tcW w:w="2700" w:type="dxa"/>
            <w:vMerge w:val="restart"/>
            <w:tcBorders>
              <w:top w:val="single" w:sz="4" w:space="0" w:color="000008"/>
              <w:left w:val="single" w:sz="4" w:space="0" w:color="000008"/>
              <w:right w:val="single" w:sz="4" w:space="0" w:color="000008"/>
            </w:tcBorders>
          </w:tcPr>
          <w:p>
            <w:pPr>
              <w:pStyle w:val="TableParagraph"/>
              <w:spacing w:line="240" w:lineRule="auto" w:before="10"/>
              <w:ind w:left="103" w:right="0"/>
              <w:jc w:val="both"/>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年度利润分配方案</w:t>
            </w:r>
            <w:r>
              <w:rPr>
                <w:rFonts w:ascii="宋体" w:hAnsi="宋体" w:cs="宋体" w:eastAsia="宋体" w:hint="default"/>
                <w:spacing w:val="-80"/>
                <w:sz w:val="18"/>
                <w:szCs w:val="18"/>
              </w:rPr>
              <w:t>：</w:t>
            </w:r>
            <w:r>
              <w:rPr>
                <w:rFonts w:ascii="宋体" w:hAnsi="宋体" w:cs="宋体" w:eastAsia="宋体" w:hint="default"/>
                <w:sz w:val="18"/>
                <w:szCs w:val="18"/>
              </w:rPr>
              <w:t>以</w:t>
            </w:r>
            <w:r>
              <w:rPr>
                <w:rFonts w:ascii="宋体" w:hAnsi="宋体" w:cs="宋体" w:eastAsia="宋体" w:hint="default"/>
                <w:spacing w:val="-3"/>
                <w:sz w:val="18"/>
                <w:szCs w:val="18"/>
              </w:rPr>
              <w:t>公</w:t>
            </w:r>
            <w:r>
              <w:rPr>
                <w:rFonts w:ascii="宋体" w:hAnsi="宋体" w:cs="宋体" w:eastAsia="宋体" w:hint="default"/>
                <w:sz w:val="18"/>
                <w:szCs w:val="18"/>
              </w:rPr>
              <w:t>司</w:t>
            </w:r>
          </w:p>
          <w:p>
            <w:pPr>
              <w:pStyle w:val="TableParagraph"/>
              <w:spacing w:line="316" w:lineRule="auto" w:before="76"/>
              <w:ind w:left="103" w:right="101"/>
              <w:jc w:val="both"/>
              <w:rPr>
                <w:rFonts w:ascii="宋体" w:hAnsi="宋体" w:cs="宋体" w:eastAsia="宋体" w:hint="default"/>
                <w:sz w:val="18"/>
                <w:szCs w:val="18"/>
              </w:rPr>
            </w:pPr>
            <w:r>
              <w:rPr>
                <w:rFonts w:ascii="宋体" w:hAnsi="宋体" w:cs="宋体" w:eastAsia="宋体" w:hint="default"/>
                <w:sz w:val="18"/>
                <w:szCs w:val="18"/>
              </w:rPr>
              <w:t>现有总股本</w:t>
            </w:r>
            <w:r>
              <w:rPr>
                <w:rFonts w:ascii="宋体" w:hAnsi="宋体" w:cs="宋体" w:eastAsia="宋体" w:hint="default"/>
                <w:spacing w:val="-65"/>
                <w:sz w:val="18"/>
                <w:szCs w:val="18"/>
              </w:rPr>
              <w:t> </w:t>
            </w:r>
            <w:r>
              <w:rPr>
                <w:rFonts w:ascii="宋体" w:hAnsi="宋体" w:cs="宋体" w:eastAsia="宋体" w:hint="default"/>
                <w:sz w:val="18"/>
                <w:szCs w:val="18"/>
              </w:rPr>
              <w:t>452,063,442</w:t>
            </w:r>
            <w:r>
              <w:rPr>
                <w:rFonts w:ascii="宋体" w:hAnsi="宋体" w:cs="宋体" w:eastAsia="宋体" w:hint="default"/>
                <w:spacing w:val="-66"/>
                <w:sz w:val="18"/>
                <w:szCs w:val="18"/>
              </w:rPr>
              <w:t> </w:t>
            </w:r>
            <w:r>
              <w:rPr>
                <w:rFonts w:ascii="宋体" w:hAnsi="宋体" w:cs="宋体" w:eastAsia="宋体" w:hint="default"/>
                <w:sz w:val="18"/>
                <w:szCs w:val="18"/>
              </w:rPr>
              <w:t>股为基</w:t>
            </w:r>
            <w:r>
              <w:rPr>
                <w:rFonts w:ascii="宋体" w:hAnsi="宋体" w:cs="宋体" w:eastAsia="宋体" w:hint="default"/>
                <w:sz w:val="18"/>
                <w:szCs w:val="18"/>
              </w:rPr>
              <w:t> </w:t>
            </w:r>
            <w:r>
              <w:rPr>
                <w:rFonts w:ascii="宋体" w:hAnsi="宋体" w:cs="宋体" w:eastAsia="宋体" w:hint="default"/>
                <w:spacing w:val="-3"/>
                <w:sz w:val="18"/>
                <w:szCs w:val="18"/>
              </w:rPr>
              <w:t>数，以资本公积金向全体股东每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10</w:t>
            </w:r>
            <w:r>
              <w:rPr>
                <w:rFonts w:ascii="宋体" w:hAnsi="宋体" w:cs="宋体" w:eastAsia="宋体" w:hint="default"/>
                <w:spacing w:val="-3"/>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660" w:type="dxa"/>
            <w:vMerge w:val="restart"/>
            <w:tcBorders>
              <w:top w:val="single" w:sz="4" w:space="0" w:color="000008"/>
              <w:left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44" w:right="144"/>
              <w:jc w:val="both"/>
              <w:rPr>
                <w:rFonts w:ascii="宋体" w:hAnsi="宋体" w:cs="宋体" w:eastAsia="宋体" w:hint="default"/>
                <w:sz w:val="18"/>
                <w:szCs w:val="18"/>
              </w:rPr>
            </w:pPr>
            <w:r>
              <w:rPr>
                <w:rFonts w:ascii="宋体" w:hAnsi="宋体" w:cs="宋体" w:eastAsia="宋体" w:hint="default"/>
                <w:sz w:val="18"/>
                <w:szCs w:val="18"/>
              </w:rPr>
              <w:t>人民 币普 通股</w:t>
            </w:r>
          </w:p>
        </w:tc>
      </w:tr>
      <w:tr>
        <w:trPr>
          <w:trHeight w:val="634" w:hRule="exact"/>
        </w:trPr>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05" w:right="110"/>
              <w:jc w:val="left"/>
              <w:rPr>
                <w:rFonts w:ascii="宋体" w:hAnsi="宋体" w:cs="宋体" w:eastAsia="宋体" w:hint="default"/>
                <w:sz w:val="18"/>
                <w:szCs w:val="18"/>
              </w:rPr>
            </w:pPr>
            <w:r>
              <w:rPr>
                <w:rFonts w:ascii="宋体" w:hAnsi="宋体" w:cs="宋体" w:eastAsia="宋体" w:hint="default"/>
                <w:spacing w:val="10"/>
                <w:sz w:val="18"/>
                <w:szCs w:val="18"/>
              </w:rPr>
              <w:t>深圳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远</w:t>
            </w:r>
            <w:r>
              <w:rPr>
                <w:rFonts w:ascii="宋体" w:hAnsi="宋体" w:cs="宋体" w:eastAsia="宋体" w:hint="default"/>
                <w:spacing w:val="-64"/>
                <w:sz w:val="18"/>
                <w:szCs w:val="18"/>
              </w:rPr>
              <w:t> </w:t>
            </w:r>
            <w:r>
              <w:rPr>
                <w:rFonts w:ascii="宋体" w:hAnsi="宋体" w:cs="宋体" w:eastAsia="宋体" w:hint="default"/>
                <w:sz w:val="18"/>
                <w:szCs w:val="18"/>
              </w:rPr>
              <w:t>致</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z w:val="18"/>
                <w:szCs w:val="18"/>
              </w:rPr>
              <w:t> 资有限公司</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23,604,985</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+16,523,489</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sz w:val="18"/>
              </w:rPr>
              <w:t>40,128,474</w:t>
            </w:r>
          </w:p>
        </w:tc>
        <w:tc>
          <w:tcPr>
            <w:tcW w:w="2700" w:type="dxa"/>
            <w:vMerge/>
            <w:tcBorders>
              <w:left w:val="single" w:sz="4" w:space="0" w:color="000008"/>
              <w:bottom w:val="single" w:sz="4" w:space="0" w:color="000008"/>
              <w:right w:val="single" w:sz="4" w:space="0" w:color="000008"/>
            </w:tcBorders>
          </w:tcPr>
          <w:p>
            <w:pPr/>
          </w:p>
        </w:tc>
        <w:tc>
          <w:tcPr>
            <w:tcW w:w="660" w:type="dxa"/>
            <w:vMerge/>
            <w:tcBorders>
              <w:left w:val="single" w:sz="4" w:space="0" w:color="000008"/>
              <w:bottom w:val="single" w:sz="4" w:space="0" w:color="000008"/>
              <w:right w:val="single" w:sz="4" w:space="0" w:color="000008"/>
            </w:tcBorders>
          </w:tcPr>
          <w:p>
            <w:pPr/>
          </w:p>
        </w:tc>
      </w:tr>
    </w:tbl>
    <w:p>
      <w:pPr>
        <w:spacing w:line="240" w:lineRule="auto" w:before="0"/>
        <w:rPr>
          <w:rFonts w:ascii="宋体" w:hAnsi="宋体" w:cs="宋体" w:eastAsia="宋体" w:hint="default"/>
          <w:sz w:val="20"/>
          <w:szCs w:val="20"/>
        </w:rPr>
      </w:pPr>
    </w:p>
    <w:p>
      <w:pPr>
        <w:pStyle w:val="Heading5"/>
        <w:spacing w:line="240" w:lineRule="auto" w:before="173"/>
        <w:ind w:left="920" w:right="306"/>
        <w:jc w:val="left"/>
        <w:rPr>
          <w:b w:val="0"/>
          <w:bCs w:val="0"/>
        </w:rPr>
      </w:pPr>
      <w:r>
        <w:rPr/>
        <w:t>二、前 10</w:t>
      </w:r>
      <w:r>
        <w:rPr>
          <w:spacing w:val="-25"/>
        </w:rPr>
        <w:t> </w:t>
      </w:r>
      <w:r>
        <w:rPr/>
        <w:t>名股东中原非流通股股东持有股份的限售条件</w:t>
      </w:r>
      <w:r>
        <w:rPr>
          <w:b w:val="0"/>
          <w:bCs w:val="0"/>
        </w:rPr>
      </w:r>
    </w:p>
    <w:p>
      <w:pPr>
        <w:pStyle w:val="BodyText"/>
        <w:spacing w:line="357" w:lineRule="auto" w:before="126"/>
        <w:ind w:left="440" w:right="306" w:firstLine="480"/>
        <w:jc w:val="left"/>
      </w:pPr>
      <w:r>
        <w:rPr/>
        <w:t>公司前 10</w:t>
      </w:r>
      <w:r>
        <w:rPr>
          <w:spacing w:val="-60"/>
        </w:rPr>
        <w:t> </w:t>
      </w:r>
      <w:r>
        <w:rPr/>
        <w:t>名股东中深圳市国有资产监督管理局、深圳市远致投资有限公司、</w:t>
      </w:r>
      <w:r>
        <w:rPr/>
        <w:t> 世纪阳光控股集团有限公司、深圳华强鼎信投资有限公司和无锡市国联发展（集</w:t>
      </w:r>
      <w:r>
        <w:rPr>
          <w:spacing w:val="-91"/>
        </w:rPr>
        <w:t> </w:t>
      </w:r>
      <w:r>
        <w:rPr>
          <w:spacing w:val="-91"/>
        </w:rPr>
      </w:r>
      <w:r>
        <w:rPr/>
        <w:t>团）有限公司持有股份为限售流通股，其限售条件如下：</w:t>
      </w:r>
    </w:p>
    <w:p>
      <w:pPr>
        <w:pStyle w:val="BodyText"/>
        <w:spacing w:line="357" w:lineRule="auto"/>
        <w:ind w:left="440" w:right="445" w:firstLine="480"/>
        <w:jc w:val="both"/>
      </w:pPr>
      <w:r>
        <w:rPr>
          <w:spacing w:val="-2"/>
        </w:rPr>
        <w:t>1、深圳市国有资产监督管理局承诺和保证：在公司非流通股份获得上市流通</w:t>
      </w:r>
      <w:r>
        <w:rPr/>
        <w:t> 权之日（2005</w:t>
      </w:r>
      <w:r>
        <w:rPr>
          <w:spacing w:val="-70"/>
        </w:rPr>
        <w:t> </w:t>
      </w:r>
      <w:r>
        <w:rPr/>
        <w:t>年</w:t>
      </w:r>
      <w:r>
        <w:rPr>
          <w:spacing w:val="-70"/>
        </w:rPr>
        <w:t> </w:t>
      </w:r>
      <w:r>
        <w:rPr/>
        <w:t>9</w:t>
      </w:r>
      <w:r>
        <w:rPr>
          <w:spacing w:val="-70"/>
        </w:rPr>
        <w:t> </w:t>
      </w:r>
      <w:r>
        <w:rPr/>
        <w:t>月</w:t>
      </w:r>
      <w:r>
        <w:rPr>
          <w:spacing w:val="-70"/>
        </w:rPr>
        <w:t> </w:t>
      </w:r>
      <w:r>
        <w:rPr/>
        <w:t>12</w:t>
      </w:r>
      <w:r>
        <w:rPr>
          <w:spacing w:val="-70"/>
        </w:rPr>
        <w:t> </w:t>
      </w:r>
      <w:r>
        <w:rPr>
          <w:spacing w:val="-3"/>
        </w:rPr>
        <w:t>日）起三年内不通过证券交易所挂牌交易出售所持有的股</w:t>
      </w:r>
      <w:r>
        <w:rPr/>
        <w:t> 份，在农产品公司非流通股份获得上市流通权之日起一年内不得转让，其后两年</w:t>
      </w:r>
      <w:r>
        <w:rPr>
          <w:spacing w:val="-91"/>
        </w:rPr>
        <w:t> </w:t>
      </w:r>
      <w:r>
        <w:rPr>
          <w:spacing w:val="-91"/>
        </w:rPr>
      </w:r>
      <w:r>
        <w:rPr/>
        <w:t>内如确需减持时，也将通过大宗交易、战略配售等方式进行，且减持的价格不低</w:t>
      </w:r>
      <w:r>
        <w:rPr>
          <w:spacing w:val="-91"/>
        </w:rPr>
        <w:t> </w:t>
      </w:r>
      <w:r>
        <w:rPr>
          <w:spacing w:val="-91"/>
        </w:rPr>
      </w:r>
      <w:r>
        <w:rPr/>
        <w:t>于承诺的购买价格</w:t>
      </w:r>
      <w:r>
        <w:rPr>
          <w:spacing w:val="-60"/>
        </w:rPr>
        <w:t> </w:t>
      </w:r>
      <w:r>
        <w:rPr/>
        <w:t>4.25</w:t>
      </w:r>
      <w:r>
        <w:rPr>
          <w:spacing w:val="-60"/>
        </w:rPr>
        <w:t> </w:t>
      </w:r>
      <w:r>
        <w:rPr/>
        <w:t>元/股。</w:t>
      </w:r>
    </w:p>
    <w:p>
      <w:pPr>
        <w:pStyle w:val="BodyText"/>
        <w:spacing w:line="357" w:lineRule="auto"/>
        <w:ind w:left="440" w:right="445" w:firstLine="480"/>
        <w:jc w:val="both"/>
      </w:pPr>
      <w:r>
        <w:rPr>
          <w:spacing w:val="-2"/>
        </w:rPr>
        <w:t>2、深圳市远致投资有限公司、世纪阳光控股集团有限公司、深圳华强鼎信投</w:t>
      </w:r>
      <w:r>
        <w:rPr/>
        <w:t> 资有限公司和无锡市国联发展（集团）有限公司均为公司2008年非公开发行股票 </w:t>
      </w:r>
      <w:r>
        <w:rPr>
          <w:spacing w:val="-2"/>
        </w:rPr>
        <w:t>发行对象，根据《上市公司证券发行管理办法》等相关规定，非公开发行的A股股</w:t>
      </w:r>
      <w:r>
        <w:rPr>
          <w:spacing w:val="-111"/>
        </w:rPr>
        <w:t> </w:t>
      </w:r>
      <w:r>
        <w:rPr>
          <w:spacing w:val="-111"/>
        </w:rPr>
      </w:r>
      <w:r>
        <w:rPr/>
        <w:t>票在限售期内将予以锁定，此次发行的股票锁定期自2008年7月10日至2011年7月 10日止。</w:t>
      </w:r>
    </w:p>
    <w:p>
      <w:pPr>
        <w:spacing w:line="240" w:lineRule="auto" w:before="9"/>
        <w:rPr>
          <w:rFonts w:ascii="宋体" w:hAnsi="宋体" w:cs="宋体" w:eastAsia="宋体" w:hint="default"/>
          <w:sz w:val="32"/>
          <w:szCs w:val="32"/>
        </w:rPr>
      </w:pPr>
    </w:p>
    <w:p>
      <w:pPr>
        <w:spacing w:line="312" w:lineRule="auto" w:before="0"/>
        <w:ind w:left="920" w:right="30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三、控股股东及实际控制人情况介绍</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pacing w:val="4"/>
          <w:w w:val="95"/>
          <w:sz w:val="24"/>
          <w:szCs w:val="24"/>
        </w:rPr>
        <w:t>公司实际控制人为深圳市国有资产监督管理局（简称“深圳市国资局”），</w:t>
      </w:r>
      <w:r>
        <w:rPr>
          <w:rFonts w:ascii="宋体" w:hAnsi="宋体" w:cs="宋体" w:eastAsia="宋体" w:hint="default"/>
          <w:spacing w:val="4"/>
          <w:sz w:val="24"/>
          <w:szCs w:val="24"/>
        </w:rPr>
      </w:r>
    </w:p>
    <w:p>
      <w:pPr>
        <w:pStyle w:val="BodyText"/>
        <w:spacing w:line="240" w:lineRule="auto" w:before="82"/>
        <w:ind w:left="440" w:right="306"/>
        <w:jc w:val="left"/>
      </w:pPr>
      <w:r>
        <w:rPr>
          <w:spacing w:val="2"/>
        </w:rPr>
        <w:t>为深圳市政府工作部门，办公地址：深圳市福田区深南大道</w:t>
      </w:r>
      <w:r>
        <w:rPr>
          <w:spacing w:val="-43"/>
        </w:rPr>
        <w:t> </w:t>
      </w:r>
      <w:r>
        <w:rPr/>
        <w:t>4009</w:t>
      </w:r>
      <w:r>
        <w:rPr>
          <w:spacing w:val="-55"/>
        </w:rPr>
        <w:t> </w:t>
      </w:r>
      <w:r>
        <w:rPr/>
        <w:t>号投资大厦</w:t>
      </w:r>
      <w:r>
        <w:rPr>
          <w:spacing w:val="-50"/>
        </w:rPr>
        <w:t> </w:t>
      </w:r>
      <w:r>
        <w:rPr/>
        <w:t>17</w:t>
      </w:r>
    </w:p>
    <w:p>
      <w:pPr>
        <w:pStyle w:val="BodyText"/>
        <w:spacing w:line="240" w:lineRule="auto" w:before="154"/>
        <w:ind w:left="440" w:right="306"/>
        <w:jc w:val="left"/>
      </w:pPr>
      <w:r>
        <w:rPr/>
        <w:t>楼，负责人：张晓莉。深圳市国资局直接持有公司 165,358,021</w:t>
      </w:r>
      <w:r>
        <w:rPr>
          <w:spacing w:val="-60"/>
        </w:rPr>
        <w:t> </w:t>
      </w:r>
      <w:r>
        <w:rPr/>
        <w:t>股股票；深圳市</w:t>
      </w:r>
    </w:p>
    <w:p>
      <w:pPr>
        <w:spacing w:after="0" w:line="240" w:lineRule="auto"/>
        <w:jc w:val="left"/>
        <w:sectPr>
          <w:headerReference w:type="default" r:id="rId14"/>
          <w:pgSz w:w="11910" w:h="16840"/>
          <w:pgMar w:header="0" w:footer="1095" w:top="1000" w:bottom="1280" w:left="1540" w:right="1020"/>
        </w:sectPr>
      </w:pPr>
    </w:p>
    <w:p>
      <w:pPr>
        <w:pStyle w:val="BodyText"/>
        <w:spacing w:line="357" w:lineRule="auto" w:before="13"/>
        <w:ind w:right="101"/>
        <w:jc w:val="both"/>
      </w:pPr>
      <w:r>
        <w:rPr/>
        <w:t>国资局下属深圳市远致投资有限公司持有公司</w:t>
      </w:r>
      <w:r>
        <w:rPr>
          <w:spacing w:val="-56"/>
        </w:rPr>
        <w:t> </w:t>
      </w:r>
      <w:r>
        <w:rPr/>
        <w:t>40,128,474</w:t>
      </w:r>
      <w:r>
        <w:rPr>
          <w:spacing w:val="-56"/>
        </w:rPr>
        <w:t> </w:t>
      </w:r>
      <w:r>
        <w:rPr>
          <w:spacing w:val="-7"/>
        </w:rPr>
        <w:t>股股票。深圳市国资局</w:t>
      </w:r>
      <w:r>
        <w:rPr/>
        <w:t> </w:t>
      </w:r>
      <w:r>
        <w:rPr>
          <w:w w:val="95"/>
        </w:rPr>
        <w:t>合计持有公司</w:t>
      </w:r>
      <w:r>
        <w:rPr>
          <w:spacing w:val="26"/>
          <w:w w:val="95"/>
        </w:rPr>
        <w:t> </w:t>
      </w:r>
      <w:r>
        <w:rPr>
          <w:w w:val="95"/>
        </w:rPr>
        <w:t>205,486,495</w:t>
      </w:r>
      <w:r>
        <w:rPr>
          <w:spacing w:val="26"/>
          <w:w w:val="95"/>
        </w:rPr>
        <w:t> </w:t>
      </w:r>
      <w:r>
        <w:rPr>
          <w:spacing w:val="-6"/>
          <w:w w:val="95"/>
        </w:rPr>
        <w:t>股股票，占公司总股本的</w:t>
      </w:r>
      <w:r>
        <w:rPr>
          <w:spacing w:val="26"/>
          <w:w w:val="95"/>
        </w:rPr>
        <w:t> </w:t>
      </w:r>
      <w:r>
        <w:rPr>
          <w:w w:val="95"/>
        </w:rPr>
        <w:t>26.74%，为公司第一大股东、</w:t>
      </w:r>
      <w:r>
        <w:rPr>
          <w:spacing w:val="-104"/>
          <w:w w:val="95"/>
        </w:rPr>
        <w:t> </w:t>
      </w:r>
      <w:r>
        <w:rPr>
          <w:spacing w:val="-104"/>
          <w:w w:val="95"/>
        </w:rPr>
      </w:r>
      <w:r>
        <w:rPr/>
        <w:t>实际控制人。</w:t>
      </w:r>
    </w:p>
    <w:p>
      <w:pPr>
        <w:pStyle w:val="BodyText"/>
        <w:spacing w:line="240" w:lineRule="auto"/>
        <w:ind w:left="780" w:right="1110"/>
        <w:jc w:val="left"/>
      </w:pPr>
      <w:r>
        <w:rPr/>
        <w:t>公司与深圳市国资局之间的产权及控制关系见下方框图。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468" w:lineRule="exact"/>
        <w:ind w:left="174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52pt;height:23.4pt;mso-position-horizontal-relative:char;mso-position-vertical-relative:line" type="#_x0000_t202" filled="false" stroked="true" strokeweight=".72pt" strokecolor="#000000">
            <w10:anchorlock/>
            <v:textbox inset="0,0,0,0">
              <w:txbxContent>
                <w:p>
                  <w:pPr>
                    <w:spacing w:before="57"/>
                    <w:ind w:left="1252" w:right="0" w:firstLine="0"/>
                    <w:jc w:val="left"/>
                    <w:rPr>
                      <w:rFonts w:ascii="宋体" w:hAnsi="宋体" w:cs="宋体" w:eastAsia="宋体" w:hint="default"/>
                      <w:sz w:val="21"/>
                      <w:szCs w:val="21"/>
                    </w:rPr>
                  </w:pPr>
                  <w:r>
                    <w:rPr>
                      <w:rFonts w:ascii="宋体" w:hAnsi="宋体" w:cs="宋体" w:eastAsia="宋体" w:hint="default"/>
                      <w:sz w:val="21"/>
                      <w:szCs w:val="21"/>
                    </w:rPr>
                    <w:t>深圳市国有资产监督管理局</w:t>
                  </w:r>
                </w:p>
              </w:txbxContent>
            </v:textbox>
          </v:shape>
        </w:pict>
      </w:r>
      <w:r>
        <w:rPr>
          <w:rFonts w:ascii="宋体" w:hAnsi="宋体" w:cs="宋体" w:eastAsia="宋体" w:hint="default"/>
          <w:position w:val="-8"/>
          <w:sz w:val="20"/>
          <w:szCs w:val="20"/>
        </w:rPr>
      </w:r>
    </w:p>
    <w:p>
      <w:pPr>
        <w:spacing w:after="0" w:line="468" w:lineRule="exact"/>
        <w:rPr>
          <w:rFonts w:ascii="宋体" w:hAnsi="宋体" w:cs="宋体" w:eastAsia="宋体" w:hint="default"/>
          <w:sz w:val="20"/>
          <w:szCs w:val="20"/>
        </w:rPr>
        <w:sectPr>
          <w:headerReference w:type="default" r:id="rId15"/>
          <w:footerReference w:type="default" r:id="rId16"/>
          <w:pgSz w:w="11910" w:h="16840"/>
          <w:pgMar w:header="0" w:footer="1095" w:top="1100" w:bottom="1280" w:left="1680" w:right="1360"/>
          <w:pgNumType w:start="13"/>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0"/>
        <w:ind w:left="0" w:right="0" w:firstLine="0"/>
        <w:jc w:val="right"/>
        <w:rPr>
          <w:rFonts w:ascii="Times New Roman" w:hAnsi="Times New Roman" w:cs="Times New Roman" w:eastAsia="Times New Roman" w:hint="default"/>
          <w:sz w:val="21"/>
          <w:szCs w:val="21"/>
        </w:rPr>
      </w:pPr>
      <w:r>
        <w:rPr>
          <w:rFonts w:ascii="Times New Roman"/>
          <w:sz w:val="21"/>
        </w:rPr>
        <w:t>21.52%</w:t>
      </w:r>
    </w:p>
    <w:p>
      <w:pPr>
        <w:rPr>
          <w:sz w:val="10"/>
          <w:szCs w:val="10"/>
        </w:rPr>
      </w:pPr>
      <w:r>
        <w:rPr>
          <w:sz w:val="10"/>
        </w:rPr>
        <w:br w:type="column"/>
      </w:r>
    </w:p>
    <w:p>
      <w:pPr>
        <w:tabs>
          <w:tab w:pos="2163" w:val="left" w:leader="none"/>
        </w:tabs>
        <w:spacing w:before="1"/>
        <w:ind w:left="1468" w:right="0" w:firstLine="0"/>
        <w:jc w:val="left"/>
        <w:rPr>
          <w:rFonts w:ascii="Times New Roman" w:hAnsi="Times New Roman" w:cs="Times New Roman" w:eastAsia="Times New Roman" w:hint="default"/>
          <w:sz w:val="21"/>
          <w:szCs w:val="21"/>
        </w:rPr>
      </w:pPr>
      <w:r>
        <w:rPr/>
        <w:pict>
          <v:group style="position:absolute;margin-left:239.939987pt;margin-top:-.070pt;width:6.15pt;height:70.7pt;mso-position-horizontal-relative:page;mso-position-vertical-relative:paragraph;z-index:-1141384" coordorigin="4799,-1" coordsize="123,1414">
            <v:group style="position:absolute;left:4800;top:0;width:120;height:1412" coordorigin="4800,0" coordsize="120,1412">
              <v:shape style="position:absolute;left:4800;top:0;width:120;height:1412" coordorigin="4800,0" coordsize="120,1412" path="m4867,1320l4853,1320,4850,0,4865,0,4867,1320xe" filled="true" fillcolor="#000000" stroked="false">
                <v:path arrowok="t"/>
                <v:fill type="solid"/>
              </v:shape>
              <v:shape style="position:absolute;left:4800;top:0;width:120;height:1412" coordorigin="4800,0" coordsize="120,1412" path="m4860,1411l4800,1291,4853,1291,4853,1320,4906,1320,4860,1411xe" filled="true" fillcolor="#000000" stroked="false">
                <v:path arrowok="t"/>
                <v:fill type="solid"/>
              </v:shape>
              <v:shape style="position:absolute;left:4800;top:0;width:120;height:1412" coordorigin="4800,0" coordsize="120,1412" path="m4906,1320l4867,1320,4867,1291,4920,1291,4906,1320xe" filled="true" fillcolor="#000000" stroked="false">
                <v:path arrowok="t"/>
                <v:fill type="solid"/>
              </v:shape>
            </v:group>
            <v:group style="position:absolute;left:4850;top:0;width:17;height:1320" coordorigin="4850,0" coordsize="17,1320">
              <v:shape style="position:absolute;left:4850;top:0;width:17;height:1320" coordorigin="4850,0" coordsize="17,1320" path="m4865,0l4867,1320,4853,1320,4850,0,4865,0xe" filled="false" stroked="true" strokeweight=".12pt" strokecolor="#000000">
                <v:path arrowok="t"/>
              </v:shape>
            </v:group>
            <v:group style="position:absolute;left:4800;top:1291;width:120;height:120" coordorigin="4800,1291" coordsize="120,120">
              <v:shape style="position:absolute;left:4800;top:1291;width:120;height:120" coordorigin="4800,1291" coordsize="120,120" path="m4800,1291l4860,1291,4920,1291,4860,1411,4800,1291xe" filled="false" stroked="true" strokeweight=".12pt" strokecolor="#000000">
                <v:path arrowok="t"/>
              </v:shape>
            </v:group>
            <w10:wrap type="none"/>
          </v:group>
        </w:pict>
      </w:r>
      <w:r>
        <w:rPr>
          <w:rFonts w:ascii="Times New Roman"/>
          <w:sz w:val="21"/>
        </w:rPr>
        <w:t>100%</w:t>
        <w:tab/>
      </w:r>
      <w:r>
        <w:rPr>
          <w:rFonts w:ascii="Times New Roman"/>
          <w:position w:val="-16"/>
          <w:sz w:val="21"/>
        </w:rPr>
        <w:drawing>
          <wp:inline distT="0" distB="0" distL="0" distR="0">
            <wp:extent cx="77723" cy="30022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77723" cy="300227"/>
                    </a:xfrm>
                    <a:prstGeom prst="rect">
                      <a:avLst/>
                    </a:prstGeom>
                  </pic:spPr>
                </pic:pic>
              </a:graphicData>
            </a:graphic>
          </wp:inline>
        </w:drawing>
      </w:r>
      <w:r>
        <w:rPr>
          <w:rFonts w:ascii="Times New Roman"/>
          <w:position w:val="-16"/>
          <w:sz w:val="21"/>
        </w:rPr>
      </w:r>
      <w:r>
        <w:rPr>
          <w:rFonts w:ascii="Times New Roman"/>
          <w:sz w:val="21"/>
        </w:rPr>
      </w:r>
    </w:p>
    <w:p>
      <w:pPr>
        <w:spacing w:line="470" w:lineRule="exact"/>
        <w:ind w:left="7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44pt;height:23.55pt;mso-position-horizontal-relative:char;mso-position-vertical-relative:line" type="#_x0000_t202" filled="false" stroked="true" strokeweight=".72pt" strokecolor="#000000">
            <w10:anchorlock/>
            <v:textbox inset="0,0,0,0">
              <w:txbxContent>
                <w:p>
                  <w:pPr>
                    <w:spacing w:before="57"/>
                    <w:ind w:left="278" w:right="0" w:firstLine="0"/>
                    <w:jc w:val="left"/>
                    <w:rPr>
                      <w:rFonts w:ascii="宋体" w:hAnsi="宋体" w:cs="宋体" w:eastAsia="宋体" w:hint="default"/>
                      <w:sz w:val="21"/>
                      <w:szCs w:val="21"/>
                    </w:rPr>
                  </w:pPr>
                  <w:r>
                    <w:rPr>
                      <w:rFonts w:ascii="宋体" w:hAnsi="宋体" w:cs="宋体" w:eastAsia="宋体" w:hint="default"/>
                      <w:sz w:val="21"/>
                      <w:szCs w:val="21"/>
                    </w:rPr>
                    <w:t>深圳市远致投资有限公司</w:t>
                  </w:r>
                </w:p>
              </w:txbxContent>
            </v:textbox>
          </v:shape>
        </w:pict>
      </w:r>
      <w:r>
        <w:rPr>
          <w:rFonts w:ascii="Times New Roman" w:hAnsi="Times New Roman" w:cs="Times New Roman" w:eastAsia="Times New Roman" w:hint="default"/>
          <w:position w:val="-8"/>
          <w:sz w:val="20"/>
          <w:szCs w:val="20"/>
        </w:rPr>
      </w:r>
    </w:p>
    <w:p>
      <w:pPr>
        <w:spacing w:before="106"/>
        <w:ind w:left="1468" w:right="0" w:firstLine="0"/>
        <w:jc w:val="left"/>
        <w:rPr>
          <w:rFonts w:ascii="Times New Roman" w:hAnsi="Times New Roman" w:cs="Times New Roman" w:eastAsia="Times New Roman" w:hint="default"/>
          <w:sz w:val="21"/>
          <w:szCs w:val="21"/>
        </w:rPr>
      </w:pPr>
      <w:r>
        <w:rPr/>
        <w:pict>
          <v:shape style="position:absolute;margin-left:347.940002pt;margin-top:-.077276pt;width:6.12pt;height:23.519999pt;mso-position-horizontal-relative:page;mso-position-vertical-relative:paragraph;z-index:-1141408" type="#_x0000_t75" stroked="false">
            <v:imagedata r:id="rId18" o:title=""/>
          </v:shape>
        </w:pict>
      </w:r>
      <w:r>
        <w:rPr>
          <w:rFonts w:ascii="Times New Roman"/>
          <w:sz w:val="21"/>
        </w:rPr>
        <w:t>5.22%</w:t>
      </w:r>
    </w:p>
    <w:p>
      <w:pPr>
        <w:spacing w:after="0"/>
        <w:jc w:val="left"/>
        <w:rPr>
          <w:rFonts w:ascii="Times New Roman" w:hAnsi="Times New Roman" w:cs="Times New Roman" w:eastAsia="Times New Roman" w:hint="default"/>
          <w:sz w:val="21"/>
          <w:szCs w:val="21"/>
        </w:rPr>
        <w:sectPr>
          <w:type w:val="continuous"/>
          <w:pgSz w:w="11910" w:h="16840"/>
          <w:pgMar w:top="1580" w:bottom="280" w:left="1680" w:right="1360"/>
          <w:cols w:num="2" w:equalWidth="0">
            <w:col w:w="3076" w:space="40"/>
            <w:col w:w="5754"/>
          </w:cols>
        </w:sectPr>
      </w:pPr>
    </w:p>
    <w:p>
      <w:pPr>
        <w:spacing w:line="240" w:lineRule="auto" w:before="8"/>
        <w:rPr>
          <w:rFonts w:ascii="Times New Roman" w:hAnsi="Times New Roman" w:cs="Times New Roman" w:eastAsia="Times New Roman" w:hint="default"/>
          <w:sz w:val="10"/>
          <w:szCs w:val="10"/>
        </w:rPr>
      </w:pPr>
    </w:p>
    <w:p>
      <w:pPr>
        <w:spacing w:line="465" w:lineRule="exact"/>
        <w:ind w:left="264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0pt;height:23.3pt;mso-position-horizontal-relative:char;mso-position-vertical-relative:line" type="#_x0000_t202" filled="false" stroked="true" strokeweight=".72pt" strokecolor="#000000">
            <w10:anchorlock/>
            <v:textbox inset="0,0,0,0">
              <w:txbxContent>
                <w:p>
                  <w:pPr>
                    <w:spacing w:before="57"/>
                    <w:ind w:left="532"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pStyle w:val="Heading5"/>
        <w:spacing w:line="240" w:lineRule="auto" w:before="110"/>
        <w:ind w:right="1110"/>
        <w:jc w:val="left"/>
        <w:rPr>
          <w:b w:val="0"/>
          <w:bCs w:val="0"/>
        </w:rPr>
      </w:pPr>
      <w:r>
        <w:rPr/>
        <w:t>四、其他持股</w:t>
      </w:r>
      <w:r>
        <w:rPr>
          <w:spacing w:val="-37"/>
        </w:rPr>
        <w:t> </w:t>
      </w:r>
      <w:r>
        <w:rPr/>
        <w:t>10％以上（含</w:t>
      </w:r>
      <w:r>
        <w:rPr>
          <w:spacing w:val="-37"/>
        </w:rPr>
        <w:t> </w:t>
      </w:r>
      <w:r>
        <w:rPr/>
        <w:t>10％）的法人股东情况</w:t>
      </w:r>
      <w:r>
        <w:rPr>
          <w:b w:val="0"/>
          <w:bCs w:val="0"/>
        </w:rPr>
      </w:r>
    </w:p>
    <w:p>
      <w:pPr>
        <w:pStyle w:val="BodyText"/>
        <w:spacing w:line="338" w:lineRule="auto" w:before="126"/>
        <w:ind w:right="90" w:firstLine="480"/>
        <w:jc w:val="left"/>
      </w:pPr>
      <w:r>
        <w:rPr/>
        <w:t>截至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4"/>
        </w:rPr>
        <w:t>日，除深圳市国资局外，无其他股东持有本公司</w:t>
      </w:r>
      <w:r>
        <w:rPr>
          <w:spacing w:val="-60"/>
        </w:rPr>
        <w:t> </w:t>
      </w:r>
      <w:r>
        <w:rPr>
          <w:rFonts w:ascii="Times New Roman" w:hAnsi="Times New Roman" w:cs="Times New Roman" w:eastAsia="Times New Roman" w:hint="default"/>
        </w:rPr>
        <w:t>10%</w:t>
      </w:r>
      <w:r>
        <w:rPr/>
        <w:t>以 上（含</w:t>
      </w:r>
      <w:r>
        <w:rPr>
          <w:spacing w:val="-61"/>
        </w:rPr>
        <w:t> </w:t>
      </w:r>
      <w:r>
        <w:rPr>
          <w:rFonts w:ascii="Times New Roman" w:hAnsi="Times New Roman" w:cs="Times New Roman" w:eastAsia="Times New Roman" w:hint="default"/>
        </w:rPr>
        <w:t>10%</w:t>
      </w:r>
      <w:r>
        <w:rPr/>
        <w:t>）股份。</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Heading4"/>
        <w:spacing w:line="240" w:lineRule="auto"/>
        <w:ind w:left="1657" w:right="1110"/>
        <w:jc w:val="left"/>
      </w:pPr>
      <w:r>
        <w:rPr/>
        <w:t>第四章</w:t>
      </w:r>
      <w:r>
        <w:rPr>
          <w:spacing w:val="18"/>
        </w:rPr>
        <w:t> </w:t>
      </w:r>
      <w:r>
        <w:rPr/>
        <w:t>董事、监事、高级管理人员和员工情况</w:t>
      </w:r>
    </w:p>
    <w:p>
      <w:pPr>
        <w:pStyle w:val="Heading5"/>
        <w:spacing w:line="268" w:lineRule="auto" w:before="184"/>
        <w:ind w:right="1110"/>
        <w:jc w:val="left"/>
        <w:rPr>
          <w:b w:val="0"/>
          <w:bCs w:val="0"/>
        </w:rPr>
      </w:pPr>
      <w:bookmarkStart w:name="第一节董事、监事、高级管理人员基本情况" w:id="7"/>
      <w:bookmarkEnd w:id="7"/>
      <w:r>
        <w:rPr>
          <w:b w:val="0"/>
          <w:bCs w:val="0"/>
        </w:rPr>
      </w:r>
      <w:r>
        <w:rPr/>
        <w:t>第一节 董事、监事、高级管理人员基本情况</w:t>
      </w:r>
      <w:r>
        <w:rPr>
          <w:spacing w:val="-45"/>
        </w:rPr>
        <w:t> </w:t>
      </w:r>
      <w:r>
        <w:rPr>
          <w:spacing w:val="-45"/>
        </w:rPr>
      </w:r>
      <w:r>
        <w:rPr/>
        <w:t>一、现任董事、监事、高级管理人员基本情况</w:t>
      </w:r>
      <w:r>
        <w:rPr>
          <w:b w:val="0"/>
          <w:bCs w:val="0"/>
        </w:rPr>
      </w:r>
    </w:p>
    <w:p>
      <w:pPr>
        <w:spacing w:line="240" w:lineRule="auto" w:before="13"/>
        <w:rPr>
          <w:rFonts w:ascii="Microsoft JhengHei" w:hAnsi="Microsoft JhengHei" w:cs="Microsoft JhengHei" w:eastAsia="Microsoft JhengHei" w:hint="default"/>
          <w:b/>
          <w:bCs/>
          <w:sz w:val="2"/>
          <w:szCs w:val="2"/>
        </w:rPr>
      </w:pPr>
    </w:p>
    <w:tbl>
      <w:tblPr>
        <w:tblW w:w="0" w:type="auto"/>
        <w:jc w:val="left"/>
        <w:tblInd w:w="183" w:type="dxa"/>
        <w:tblLayout w:type="fixed"/>
        <w:tblCellMar>
          <w:top w:w="0" w:type="dxa"/>
          <w:left w:w="0" w:type="dxa"/>
          <w:bottom w:w="0" w:type="dxa"/>
          <w:right w:w="0" w:type="dxa"/>
        </w:tblCellMar>
        <w:tblLook w:val="01E0"/>
      </w:tblPr>
      <w:tblGrid>
        <w:gridCol w:w="905"/>
        <w:gridCol w:w="1476"/>
        <w:gridCol w:w="638"/>
        <w:gridCol w:w="564"/>
        <w:gridCol w:w="2422"/>
        <w:gridCol w:w="974"/>
        <w:gridCol w:w="1476"/>
      </w:tblGrid>
      <w:tr>
        <w:trPr>
          <w:trHeight w:val="383" w:hRule="exact"/>
        </w:trPr>
        <w:tc>
          <w:tcPr>
            <w:tcW w:w="905" w:type="dxa"/>
            <w:tcBorders>
              <w:top w:val="single" w:sz="7" w:space="0" w:color="000000"/>
              <w:left w:val="single" w:sz="7" w:space="0" w:color="000000"/>
              <w:bottom w:val="nil" w:sz="6" w:space="0" w:color="auto"/>
              <w:right w:val="single" w:sz="7" w:space="0" w:color="000000"/>
            </w:tcBorders>
          </w:tcPr>
          <w:p>
            <w:pPr/>
          </w:p>
        </w:tc>
        <w:tc>
          <w:tcPr>
            <w:tcW w:w="1476" w:type="dxa"/>
            <w:tcBorders>
              <w:top w:val="single" w:sz="7" w:space="0" w:color="000000"/>
              <w:left w:val="single" w:sz="7" w:space="0" w:color="000000"/>
              <w:bottom w:val="nil" w:sz="6" w:space="0" w:color="auto"/>
              <w:right w:val="single" w:sz="7" w:space="0" w:color="000000"/>
            </w:tcBorders>
          </w:tcPr>
          <w:p>
            <w:pPr/>
          </w:p>
        </w:tc>
        <w:tc>
          <w:tcPr>
            <w:tcW w:w="638" w:type="dxa"/>
            <w:tcBorders>
              <w:top w:val="single" w:sz="7" w:space="0" w:color="000000"/>
              <w:left w:val="single" w:sz="7" w:space="0" w:color="000000"/>
              <w:bottom w:val="nil" w:sz="6" w:space="0" w:color="auto"/>
              <w:right w:val="single" w:sz="7" w:space="0" w:color="000000"/>
            </w:tcBorders>
          </w:tcPr>
          <w:p>
            <w:pPr/>
          </w:p>
        </w:tc>
        <w:tc>
          <w:tcPr>
            <w:tcW w:w="564" w:type="dxa"/>
            <w:vMerge w:val="restart"/>
            <w:tcBorders>
              <w:top w:val="single" w:sz="7" w:space="0" w:color="000000"/>
              <w:left w:val="single" w:sz="7" w:space="0" w:color="000000"/>
              <w:right w:val="single" w:sz="7" w:space="0" w:color="000000"/>
            </w:tcBorders>
          </w:tcPr>
          <w:p>
            <w:pPr>
              <w:pStyle w:val="TableParagraph"/>
              <w:spacing w:line="273" w:lineRule="auto" w:before="159"/>
              <w:ind w:left="169" w:right="16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2422" w:type="dxa"/>
            <w:tcBorders>
              <w:top w:val="single" w:sz="7" w:space="0" w:color="000000"/>
              <w:left w:val="single" w:sz="7" w:space="0" w:color="000000"/>
              <w:bottom w:val="nil" w:sz="6" w:space="0" w:color="auto"/>
              <w:right w:val="single" w:sz="7" w:space="0" w:color="000000"/>
            </w:tcBorders>
          </w:tcPr>
          <w:p>
            <w:pPr/>
          </w:p>
        </w:tc>
        <w:tc>
          <w:tcPr>
            <w:tcW w:w="974" w:type="dxa"/>
            <w:tcBorders>
              <w:top w:val="single" w:sz="7" w:space="0" w:color="000000"/>
              <w:left w:val="single" w:sz="7" w:space="0" w:color="000000"/>
              <w:bottom w:val="nil" w:sz="6" w:space="0" w:color="auto"/>
              <w:right w:val="single" w:sz="7" w:space="0" w:color="000000"/>
            </w:tcBorders>
          </w:tcPr>
          <w:p>
            <w:pPr>
              <w:pStyle w:val="TableParagraph"/>
              <w:spacing w:line="240" w:lineRule="auto" w:before="94"/>
              <w:ind w:left="102"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44"/>
                <w:sz w:val="21"/>
                <w:szCs w:val="21"/>
              </w:rPr>
              <w:t> </w:t>
            </w:r>
            <w:r>
              <w:rPr>
                <w:rFonts w:ascii="宋体" w:hAnsi="宋体" w:cs="宋体" w:eastAsia="宋体" w:hint="default"/>
                <w:sz w:val="21"/>
                <w:szCs w:val="21"/>
              </w:rPr>
              <w:t>告</w:t>
            </w:r>
            <w:r>
              <w:rPr>
                <w:rFonts w:ascii="宋体" w:hAnsi="宋体" w:cs="宋体" w:eastAsia="宋体" w:hint="default"/>
                <w:spacing w:val="-44"/>
                <w:sz w:val="21"/>
                <w:szCs w:val="21"/>
              </w:rPr>
              <w:t> </w:t>
            </w:r>
            <w:r>
              <w:rPr>
                <w:rFonts w:ascii="宋体" w:hAnsi="宋体" w:cs="宋体" w:eastAsia="宋体" w:hint="default"/>
                <w:sz w:val="21"/>
                <w:szCs w:val="21"/>
              </w:rPr>
              <w:t>期</w:t>
            </w:r>
          </w:p>
        </w:tc>
        <w:tc>
          <w:tcPr>
            <w:tcW w:w="1476" w:type="dxa"/>
            <w:tcBorders>
              <w:top w:val="single" w:sz="7" w:space="0" w:color="000000"/>
              <w:left w:val="single" w:sz="7" w:space="0" w:color="000000"/>
              <w:bottom w:val="nil" w:sz="6" w:space="0" w:color="auto"/>
              <w:right w:val="single" w:sz="7" w:space="0" w:color="000000"/>
            </w:tcBorders>
          </w:tcPr>
          <w:p>
            <w:pPr>
              <w:pStyle w:val="TableParagraph"/>
              <w:spacing w:line="240" w:lineRule="auto" w:before="94"/>
              <w:ind w:left="99" w:right="0"/>
              <w:jc w:val="left"/>
              <w:rPr>
                <w:rFonts w:ascii="宋体" w:hAnsi="宋体" w:cs="宋体" w:eastAsia="宋体" w:hint="default"/>
                <w:sz w:val="21"/>
                <w:szCs w:val="21"/>
              </w:rPr>
            </w:pPr>
            <w:r>
              <w:rPr>
                <w:rFonts w:ascii="宋体" w:hAnsi="宋体" w:cs="宋体" w:eastAsia="宋体" w:hint="default"/>
                <w:sz w:val="21"/>
                <w:szCs w:val="21"/>
              </w:rPr>
              <w:t>报告期内被授</w:t>
            </w:r>
          </w:p>
        </w:tc>
      </w:tr>
      <w:tr>
        <w:trPr>
          <w:trHeight w:val="221" w:hRule="exact"/>
        </w:trPr>
        <w:tc>
          <w:tcPr>
            <w:tcW w:w="905" w:type="dxa"/>
            <w:tcBorders>
              <w:top w:val="nil" w:sz="6" w:space="0" w:color="auto"/>
              <w:left w:val="single" w:sz="7" w:space="0" w:color="000000"/>
              <w:bottom w:val="nil" w:sz="6" w:space="0" w:color="auto"/>
              <w:right w:val="single" w:sz="7" w:space="0" w:color="000000"/>
            </w:tcBorders>
          </w:tcPr>
          <w:p>
            <w:pPr>
              <w:pStyle w:val="TableParagraph"/>
              <w:spacing w:line="216"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76" w:type="dxa"/>
            <w:tcBorders>
              <w:top w:val="nil" w:sz="6" w:space="0" w:color="auto"/>
              <w:left w:val="single" w:sz="7" w:space="0" w:color="000000"/>
              <w:bottom w:val="nil" w:sz="6" w:space="0" w:color="auto"/>
              <w:right w:val="single" w:sz="7" w:space="0" w:color="000000"/>
            </w:tcBorders>
          </w:tcPr>
          <w:p>
            <w:pPr>
              <w:pStyle w:val="TableParagraph"/>
              <w:tabs>
                <w:tab w:pos="836" w:val="left" w:leader="none"/>
              </w:tabs>
              <w:spacing w:line="216" w:lineRule="exact"/>
              <w:ind w:left="416" w:right="0"/>
              <w:jc w:val="left"/>
              <w:rPr>
                <w:rFonts w:ascii="宋体" w:hAnsi="宋体" w:cs="宋体" w:eastAsia="宋体" w:hint="default"/>
                <w:sz w:val="21"/>
                <w:szCs w:val="21"/>
              </w:rPr>
            </w:pPr>
            <w:r>
              <w:rPr>
                <w:rFonts w:ascii="宋体" w:hAnsi="宋体" w:cs="宋体" w:eastAsia="宋体" w:hint="default"/>
                <w:sz w:val="21"/>
                <w:szCs w:val="21"/>
              </w:rPr>
              <w:t>职</w:t>
              <w:tab/>
              <w:t>务</w:t>
            </w:r>
          </w:p>
        </w:tc>
        <w:tc>
          <w:tcPr>
            <w:tcW w:w="638" w:type="dxa"/>
            <w:tcBorders>
              <w:top w:val="nil" w:sz="6" w:space="0" w:color="auto"/>
              <w:left w:val="single" w:sz="7" w:space="0" w:color="000000"/>
              <w:bottom w:val="nil" w:sz="6" w:space="0" w:color="auto"/>
              <w:right w:val="single" w:sz="7" w:space="0" w:color="000000"/>
            </w:tcBorders>
          </w:tcPr>
          <w:p>
            <w:pPr>
              <w:pStyle w:val="TableParagraph"/>
              <w:spacing w:line="216" w:lineRule="exact"/>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64" w:type="dxa"/>
            <w:vMerge/>
            <w:tcBorders>
              <w:left w:val="single" w:sz="7" w:space="0" w:color="000000"/>
              <w:right w:val="single" w:sz="7" w:space="0" w:color="000000"/>
            </w:tcBorders>
          </w:tcPr>
          <w:p>
            <w:pPr/>
          </w:p>
        </w:tc>
        <w:tc>
          <w:tcPr>
            <w:tcW w:w="2422" w:type="dxa"/>
            <w:tcBorders>
              <w:top w:val="nil" w:sz="6" w:space="0" w:color="auto"/>
              <w:left w:val="single" w:sz="7" w:space="0" w:color="000000"/>
              <w:bottom w:val="nil" w:sz="6" w:space="0" w:color="auto"/>
              <w:right w:val="single" w:sz="7" w:space="0" w:color="000000"/>
            </w:tcBorders>
          </w:tcPr>
          <w:p>
            <w:pPr>
              <w:pStyle w:val="TableParagraph"/>
              <w:spacing w:line="216" w:lineRule="exact"/>
              <w:ind w:left="2" w:right="0"/>
              <w:jc w:val="center"/>
              <w:rPr>
                <w:rFonts w:ascii="宋体" w:hAnsi="宋体" w:cs="宋体" w:eastAsia="宋体" w:hint="default"/>
                <w:sz w:val="21"/>
                <w:szCs w:val="21"/>
              </w:rPr>
            </w:pPr>
            <w:r>
              <w:rPr>
                <w:rFonts w:ascii="宋体" w:hAnsi="宋体" w:cs="宋体" w:eastAsia="宋体" w:hint="default"/>
                <w:sz w:val="21"/>
                <w:szCs w:val="21"/>
              </w:rPr>
              <w:t>任职起止日期</w:t>
            </w:r>
          </w:p>
        </w:tc>
        <w:tc>
          <w:tcPr>
            <w:tcW w:w="974" w:type="dxa"/>
            <w:tcBorders>
              <w:top w:val="nil" w:sz="6" w:space="0" w:color="auto"/>
              <w:left w:val="single" w:sz="7" w:space="0" w:color="000000"/>
              <w:bottom w:val="nil" w:sz="6" w:space="0" w:color="auto"/>
              <w:right w:val="single" w:sz="7" w:space="0" w:color="000000"/>
            </w:tcBorders>
          </w:tcPr>
          <w:p>
            <w:pPr>
              <w:pStyle w:val="TableParagraph"/>
              <w:spacing w:line="216" w:lineRule="exact"/>
              <w:ind w:left="102"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pacing w:val="-44"/>
                <w:sz w:val="21"/>
                <w:szCs w:val="21"/>
              </w:rPr>
              <w:t> </w:t>
            </w:r>
            <w:r>
              <w:rPr>
                <w:rFonts w:ascii="宋体" w:hAnsi="宋体" w:cs="宋体" w:eastAsia="宋体" w:hint="default"/>
                <w:sz w:val="21"/>
                <w:szCs w:val="21"/>
              </w:rPr>
              <w:t>股</w:t>
            </w:r>
            <w:r>
              <w:rPr>
                <w:rFonts w:ascii="宋体" w:hAnsi="宋体" w:cs="宋体" w:eastAsia="宋体" w:hint="default"/>
                <w:spacing w:val="-44"/>
                <w:sz w:val="21"/>
                <w:szCs w:val="21"/>
              </w:rPr>
              <w:t> </w:t>
            </w:r>
            <w:r>
              <w:rPr>
                <w:rFonts w:ascii="宋体" w:hAnsi="宋体" w:cs="宋体" w:eastAsia="宋体" w:hint="default"/>
                <w:sz w:val="21"/>
                <w:szCs w:val="21"/>
              </w:rPr>
              <w:t>票</w:t>
            </w:r>
          </w:p>
        </w:tc>
        <w:tc>
          <w:tcPr>
            <w:tcW w:w="1476" w:type="dxa"/>
            <w:tcBorders>
              <w:top w:val="nil" w:sz="6" w:space="0" w:color="auto"/>
              <w:left w:val="single" w:sz="7" w:space="0" w:color="000000"/>
              <w:bottom w:val="nil" w:sz="6" w:space="0" w:color="auto"/>
              <w:right w:val="single" w:sz="7" w:space="0" w:color="000000"/>
            </w:tcBorders>
          </w:tcPr>
          <w:p>
            <w:pPr>
              <w:pStyle w:val="TableParagraph"/>
              <w:spacing w:line="216" w:lineRule="exact"/>
              <w:ind w:left="99" w:right="0"/>
              <w:jc w:val="left"/>
              <w:rPr>
                <w:rFonts w:ascii="宋体" w:hAnsi="宋体" w:cs="宋体" w:eastAsia="宋体" w:hint="default"/>
                <w:sz w:val="21"/>
                <w:szCs w:val="21"/>
              </w:rPr>
            </w:pPr>
            <w:r>
              <w:rPr>
                <w:rFonts w:ascii="宋体" w:hAnsi="宋体" w:cs="宋体" w:eastAsia="宋体" w:hint="default"/>
                <w:sz w:val="21"/>
                <w:szCs w:val="21"/>
              </w:rPr>
              <w:t>予的限制性股</w:t>
            </w:r>
          </w:p>
        </w:tc>
      </w:tr>
      <w:tr>
        <w:trPr>
          <w:trHeight w:val="383" w:hRule="exact"/>
        </w:trPr>
        <w:tc>
          <w:tcPr>
            <w:tcW w:w="905" w:type="dxa"/>
            <w:tcBorders>
              <w:top w:val="nil" w:sz="6" w:space="0" w:color="auto"/>
              <w:left w:val="single" w:sz="7" w:space="0" w:color="000000"/>
              <w:bottom w:val="single" w:sz="7" w:space="0" w:color="000000"/>
              <w:right w:val="single" w:sz="7" w:space="0" w:color="000000"/>
            </w:tcBorders>
          </w:tcPr>
          <w:p>
            <w:pPr/>
          </w:p>
        </w:tc>
        <w:tc>
          <w:tcPr>
            <w:tcW w:w="1476" w:type="dxa"/>
            <w:tcBorders>
              <w:top w:val="nil" w:sz="6" w:space="0" w:color="auto"/>
              <w:left w:val="single" w:sz="7" w:space="0" w:color="000000"/>
              <w:bottom w:val="single" w:sz="7" w:space="0" w:color="000000"/>
              <w:right w:val="single" w:sz="7" w:space="0" w:color="000000"/>
            </w:tcBorders>
          </w:tcPr>
          <w:p>
            <w:pPr/>
          </w:p>
        </w:tc>
        <w:tc>
          <w:tcPr>
            <w:tcW w:w="638" w:type="dxa"/>
            <w:tcBorders>
              <w:top w:val="nil" w:sz="6" w:space="0" w:color="auto"/>
              <w:left w:val="single" w:sz="7" w:space="0" w:color="000000"/>
              <w:bottom w:val="single" w:sz="7" w:space="0" w:color="000000"/>
              <w:right w:val="single" w:sz="7" w:space="0" w:color="000000"/>
            </w:tcBorders>
          </w:tcPr>
          <w:p>
            <w:pPr/>
          </w:p>
        </w:tc>
        <w:tc>
          <w:tcPr>
            <w:tcW w:w="564" w:type="dxa"/>
            <w:vMerge/>
            <w:tcBorders>
              <w:left w:val="single" w:sz="7" w:space="0" w:color="000000"/>
              <w:bottom w:val="single" w:sz="7" w:space="0" w:color="000000"/>
              <w:right w:val="single" w:sz="7" w:space="0" w:color="000000"/>
            </w:tcBorders>
          </w:tcPr>
          <w:p>
            <w:pPr/>
          </w:p>
        </w:tc>
        <w:tc>
          <w:tcPr>
            <w:tcW w:w="2422" w:type="dxa"/>
            <w:tcBorders>
              <w:top w:val="nil" w:sz="6" w:space="0" w:color="auto"/>
              <w:left w:val="single" w:sz="7" w:space="0" w:color="000000"/>
              <w:bottom w:val="single" w:sz="7" w:space="0" w:color="000000"/>
              <w:right w:val="single" w:sz="7" w:space="0" w:color="000000"/>
            </w:tcBorders>
          </w:tcPr>
          <w:p>
            <w:pPr/>
          </w:p>
        </w:tc>
        <w:tc>
          <w:tcPr>
            <w:tcW w:w="974" w:type="dxa"/>
            <w:tcBorders>
              <w:top w:val="nil" w:sz="6" w:space="0" w:color="auto"/>
              <w:left w:val="single" w:sz="7" w:space="0" w:color="000000"/>
              <w:bottom w:val="single" w:sz="7" w:space="0" w:color="000000"/>
              <w:right w:val="single" w:sz="7" w:space="0" w:color="000000"/>
            </w:tcBorders>
          </w:tcPr>
          <w:p>
            <w:pPr>
              <w:pStyle w:val="TableParagraph"/>
              <w:spacing w:line="216" w:lineRule="exact"/>
              <w:ind w:left="102" w:right="0"/>
              <w:jc w:val="left"/>
              <w:rPr>
                <w:rFonts w:ascii="宋体" w:hAnsi="宋体" w:cs="宋体" w:eastAsia="宋体" w:hint="default"/>
                <w:sz w:val="21"/>
                <w:szCs w:val="21"/>
              </w:rPr>
            </w:pPr>
            <w:r>
              <w:rPr>
                <w:rFonts w:ascii="宋体" w:hAnsi="宋体" w:cs="宋体" w:eastAsia="宋体" w:hint="default"/>
                <w:sz w:val="21"/>
                <w:szCs w:val="21"/>
              </w:rPr>
              <w:t>期权</w:t>
            </w:r>
          </w:p>
        </w:tc>
        <w:tc>
          <w:tcPr>
            <w:tcW w:w="1476" w:type="dxa"/>
            <w:tcBorders>
              <w:top w:val="nil" w:sz="6" w:space="0" w:color="auto"/>
              <w:left w:val="single" w:sz="7" w:space="0" w:color="000000"/>
              <w:bottom w:val="single" w:sz="7" w:space="0" w:color="000000"/>
              <w:right w:val="single" w:sz="7" w:space="0" w:color="000000"/>
            </w:tcBorders>
          </w:tcPr>
          <w:p>
            <w:pPr>
              <w:pStyle w:val="TableParagraph"/>
              <w:spacing w:line="216" w:lineRule="exact"/>
              <w:ind w:left="99" w:right="0"/>
              <w:jc w:val="left"/>
              <w:rPr>
                <w:rFonts w:ascii="宋体" w:hAnsi="宋体" w:cs="宋体" w:eastAsia="宋体" w:hint="default"/>
                <w:sz w:val="21"/>
                <w:szCs w:val="21"/>
              </w:rPr>
            </w:pPr>
            <w:r>
              <w:rPr>
                <w:rFonts w:ascii="宋体" w:hAnsi="宋体" w:cs="宋体" w:eastAsia="宋体" w:hint="default"/>
                <w:sz w:val="21"/>
                <w:szCs w:val="21"/>
              </w:rPr>
              <w:t>票数量</w:t>
            </w:r>
          </w:p>
        </w:tc>
      </w:tr>
      <w:tr>
        <w:trPr>
          <w:trHeight w:val="641"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2"/>
              <w:ind w:left="4"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董事长、党委</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书记</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48</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2"/>
              <w:ind w:left="7" w:right="0"/>
              <w:jc w:val="center"/>
              <w:rPr>
                <w:rFonts w:ascii="宋体" w:hAnsi="宋体" w:cs="宋体" w:eastAsia="宋体" w:hint="default"/>
                <w:sz w:val="21"/>
                <w:szCs w:val="21"/>
              </w:rPr>
            </w:pPr>
            <w:r>
              <w:rPr>
                <w:rFonts w:ascii="宋体"/>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0" w:hRule="exact"/>
        </w:trPr>
        <w:tc>
          <w:tcPr>
            <w:tcW w:w="905" w:type="dxa"/>
            <w:tcBorders>
              <w:top w:val="single" w:sz="7" w:space="0" w:color="000000"/>
              <w:left w:val="single" w:sz="7" w:space="0" w:color="000000"/>
              <w:bottom w:val="nil" w:sz="6" w:space="0" w:color="auto"/>
              <w:right w:val="single" w:sz="7" w:space="0" w:color="000000"/>
            </w:tcBorders>
          </w:tcPr>
          <w:p>
            <w:pPr/>
          </w:p>
        </w:tc>
        <w:tc>
          <w:tcPr>
            <w:tcW w:w="1476" w:type="dxa"/>
            <w:tcBorders>
              <w:top w:val="single" w:sz="7" w:space="0" w:color="000000"/>
              <w:left w:val="single" w:sz="7" w:space="0" w:color="000000"/>
              <w:bottom w:val="nil" w:sz="6" w:space="0" w:color="auto"/>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56"/>
                <w:sz w:val="21"/>
                <w:szCs w:val="21"/>
              </w:rPr>
              <w:t> </w:t>
            </w:r>
            <w:r>
              <w:rPr>
                <w:rFonts w:ascii="宋体" w:hAnsi="宋体" w:cs="宋体" w:eastAsia="宋体" w:hint="default"/>
                <w:sz w:val="21"/>
                <w:szCs w:val="21"/>
              </w:rPr>
              <w:t>事</w:t>
            </w:r>
            <w:r>
              <w:rPr>
                <w:rFonts w:ascii="宋体" w:hAnsi="宋体" w:cs="宋体" w:eastAsia="宋体" w:hint="default"/>
                <w:spacing w:val="-54"/>
                <w:sz w:val="21"/>
                <w:szCs w:val="21"/>
              </w:rPr>
              <w:t> </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z w:val="21"/>
                <w:szCs w:val="21"/>
              </w:rPr>
              <w:t>总</w:t>
            </w:r>
            <w:r>
              <w:rPr>
                <w:rFonts w:ascii="宋体" w:hAnsi="宋体" w:cs="宋体" w:eastAsia="宋体" w:hint="default"/>
                <w:spacing w:val="-56"/>
                <w:sz w:val="21"/>
                <w:szCs w:val="21"/>
              </w:rPr>
              <w:t> </w:t>
            </w:r>
            <w:r>
              <w:rPr>
                <w:rFonts w:ascii="宋体" w:hAnsi="宋体" w:cs="宋体" w:eastAsia="宋体" w:hint="default"/>
                <w:sz w:val="21"/>
                <w:szCs w:val="21"/>
              </w:rPr>
              <w:t>经</w:t>
            </w:r>
          </w:p>
        </w:tc>
        <w:tc>
          <w:tcPr>
            <w:tcW w:w="638" w:type="dxa"/>
            <w:tcBorders>
              <w:top w:val="single" w:sz="7" w:space="0" w:color="000000"/>
              <w:left w:val="single" w:sz="7" w:space="0" w:color="000000"/>
              <w:bottom w:val="nil" w:sz="6" w:space="0" w:color="auto"/>
              <w:right w:val="single" w:sz="7" w:space="0" w:color="000000"/>
            </w:tcBorders>
          </w:tcPr>
          <w:p>
            <w:pPr/>
          </w:p>
        </w:tc>
        <w:tc>
          <w:tcPr>
            <w:tcW w:w="564" w:type="dxa"/>
            <w:tcBorders>
              <w:top w:val="single" w:sz="7" w:space="0" w:color="000000"/>
              <w:left w:val="single" w:sz="7" w:space="0" w:color="000000"/>
              <w:bottom w:val="nil" w:sz="6" w:space="0" w:color="auto"/>
              <w:right w:val="single" w:sz="7" w:space="0" w:color="000000"/>
            </w:tcBorders>
          </w:tcPr>
          <w:p>
            <w:pPr/>
          </w:p>
        </w:tc>
        <w:tc>
          <w:tcPr>
            <w:tcW w:w="2422" w:type="dxa"/>
            <w:tcBorders>
              <w:top w:val="single" w:sz="7" w:space="0" w:color="000000"/>
              <w:left w:val="single" w:sz="7" w:space="0" w:color="000000"/>
              <w:bottom w:val="nil" w:sz="6" w:space="0" w:color="auto"/>
              <w:right w:val="single" w:sz="7" w:space="0" w:color="000000"/>
            </w:tcBorders>
          </w:tcPr>
          <w:p>
            <w:pPr/>
          </w:p>
        </w:tc>
        <w:tc>
          <w:tcPr>
            <w:tcW w:w="974" w:type="dxa"/>
            <w:tcBorders>
              <w:top w:val="single" w:sz="7" w:space="0" w:color="000000"/>
              <w:left w:val="single" w:sz="7" w:space="0" w:color="000000"/>
              <w:bottom w:val="nil" w:sz="6" w:space="0" w:color="auto"/>
              <w:right w:val="single" w:sz="7" w:space="0" w:color="000000"/>
            </w:tcBorders>
          </w:tcPr>
          <w:p>
            <w:pPr/>
          </w:p>
        </w:tc>
        <w:tc>
          <w:tcPr>
            <w:tcW w:w="1476" w:type="dxa"/>
            <w:tcBorders>
              <w:top w:val="single" w:sz="7" w:space="0" w:color="000000"/>
              <w:left w:val="single" w:sz="7" w:space="0" w:color="000000"/>
              <w:bottom w:val="nil" w:sz="6" w:space="0" w:color="auto"/>
              <w:right w:val="single" w:sz="7" w:space="0" w:color="000000"/>
            </w:tcBorders>
          </w:tcPr>
          <w:p>
            <w:pPr/>
          </w:p>
        </w:tc>
      </w:tr>
      <w:tr>
        <w:trPr>
          <w:trHeight w:val="312" w:hRule="exact"/>
        </w:trPr>
        <w:tc>
          <w:tcPr>
            <w:tcW w:w="905"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曾湃</w:t>
            </w:r>
          </w:p>
        </w:tc>
        <w:tc>
          <w:tcPr>
            <w:tcW w:w="1476"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理、党委副书</w:t>
            </w:r>
          </w:p>
        </w:tc>
        <w:tc>
          <w:tcPr>
            <w:tcW w:w="638" w:type="dxa"/>
            <w:tcBorders>
              <w:top w:val="nil" w:sz="6" w:space="0" w:color="auto"/>
              <w:left w:val="single" w:sz="7" w:space="0" w:color="000000"/>
              <w:bottom w:val="nil" w:sz="6" w:space="0" w:color="auto"/>
              <w:right w:val="single" w:sz="7"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39</w:t>
            </w:r>
          </w:p>
        </w:tc>
        <w:tc>
          <w:tcPr>
            <w:tcW w:w="2422"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sz w:val="21"/>
              </w:rPr>
              <w:t>2009.12.18-2012.12.18</w:t>
            </w:r>
          </w:p>
        </w:tc>
        <w:tc>
          <w:tcPr>
            <w:tcW w:w="974"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1" w:hRule="exact"/>
        </w:trPr>
        <w:tc>
          <w:tcPr>
            <w:tcW w:w="905" w:type="dxa"/>
            <w:tcBorders>
              <w:top w:val="nil" w:sz="6" w:space="0" w:color="auto"/>
              <w:left w:val="single" w:sz="7" w:space="0" w:color="000000"/>
              <w:bottom w:val="single" w:sz="7" w:space="0" w:color="000000"/>
              <w:right w:val="single" w:sz="7" w:space="0" w:color="000000"/>
            </w:tcBorders>
          </w:tcPr>
          <w:p>
            <w:pPr/>
          </w:p>
        </w:tc>
        <w:tc>
          <w:tcPr>
            <w:tcW w:w="1476" w:type="dxa"/>
            <w:tcBorders>
              <w:top w:val="nil" w:sz="6" w:space="0" w:color="auto"/>
              <w:left w:val="single" w:sz="7" w:space="0" w:color="000000"/>
              <w:bottom w:val="single" w:sz="7" w:space="0" w:color="000000"/>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w w:val="100"/>
                <w:sz w:val="21"/>
                <w:szCs w:val="21"/>
              </w:rPr>
              <w:t>记</w:t>
            </w:r>
          </w:p>
        </w:tc>
        <w:tc>
          <w:tcPr>
            <w:tcW w:w="638" w:type="dxa"/>
            <w:tcBorders>
              <w:top w:val="nil" w:sz="6" w:space="0" w:color="auto"/>
              <w:left w:val="single" w:sz="7" w:space="0" w:color="000000"/>
              <w:bottom w:val="single" w:sz="7" w:space="0" w:color="000000"/>
              <w:right w:val="single" w:sz="7" w:space="0" w:color="000000"/>
            </w:tcBorders>
          </w:tcPr>
          <w:p>
            <w:pPr/>
          </w:p>
        </w:tc>
        <w:tc>
          <w:tcPr>
            <w:tcW w:w="564" w:type="dxa"/>
            <w:tcBorders>
              <w:top w:val="nil" w:sz="6" w:space="0" w:color="auto"/>
              <w:left w:val="single" w:sz="7" w:space="0" w:color="000000"/>
              <w:bottom w:val="single" w:sz="7" w:space="0" w:color="000000"/>
              <w:right w:val="single" w:sz="7" w:space="0" w:color="000000"/>
            </w:tcBorders>
          </w:tcPr>
          <w:p>
            <w:pPr/>
          </w:p>
        </w:tc>
        <w:tc>
          <w:tcPr>
            <w:tcW w:w="2422" w:type="dxa"/>
            <w:tcBorders>
              <w:top w:val="nil" w:sz="6" w:space="0" w:color="auto"/>
              <w:left w:val="single" w:sz="7" w:space="0" w:color="000000"/>
              <w:bottom w:val="single" w:sz="7" w:space="0" w:color="000000"/>
              <w:right w:val="single" w:sz="7" w:space="0" w:color="000000"/>
            </w:tcBorders>
          </w:tcPr>
          <w:p>
            <w:pPr/>
          </w:p>
        </w:tc>
        <w:tc>
          <w:tcPr>
            <w:tcW w:w="974" w:type="dxa"/>
            <w:tcBorders>
              <w:top w:val="nil" w:sz="6" w:space="0" w:color="auto"/>
              <w:left w:val="single" w:sz="7" w:space="0" w:color="000000"/>
              <w:bottom w:val="single" w:sz="7" w:space="0" w:color="000000"/>
              <w:right w:val="single" w:sz="7" w:space="0" w:color="000000"/>
            </w:tcBorders>
          </w:tcPr>
          <w:p>
            <w:pPr/>
          </w:p>
        </w:tc>
        <w:tc>
          <w:tcPr>
            <w:tcW w:w="1476" w:type="dxa"/>
            <w:tcBorders>
              <w:top w:val="nil" w:sz="6" w:space="0" w:color="auto"/>
              <w:left w:val="single" w:sz="7" w:space="0" w:color="000000"/>
              <w:bottom w:val="single" w:sz="7" w:space="0" w:color="000000"/>
              <w:right w:val="single" w:sz="7" w:space="0" w:color="000000"/>
            </w:tcBorders>
          </w:tcPr>
          <w:p>
            <w:pPr/>
          </w:p>
        </w:tc>
      </w:tr>
      <w:tr>
        <w:trPr>
          <w:trHeight w:val="346"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10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65</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7" w:right="0"/>
              <w:jc w:val="center"/>
              <w:rPr>
                <w:rFonts w:ascii="宋体" w:hAnsi="宋体" w:cs="宋体" w:eastAsia="宋体" w:hint="default"/>
                <w:sz w:val="21"/>
                <w:szCs w:val="21"/>
              </w:rPr>
            </w:pPr>
            <w:r>
              <w:rPr>
                <w:rFonts w:ascii="宋体"/>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46"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sz w:val="21"/>
              </w:rPr>
              <w:t>51</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7" w:right="0"/>
              <w:jc w:val="center"/>
              <w:rPr>
                <w:rFonts w:ascii="宋体" w:hAnsi="宋体" w:cs="宋体" w:eastAsia="宋体" w:hint="default"/>
                <w:sz w:val="21"/>
                <w:szCs w:val="21"/>
              </w:rPr>
            </w:pPr>
            <w:r>
              <w:rPr>
                <w:rFonts w:ascii="宋体"/>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tabs>
                <w:tab w:pos="424" w:val="left" w:leader="none"/>
              </w:tabs>
              <w:spacing w:line="264" w:lineRule="exact"/>
              <w:ind w:left="4" w:right="0"/>
              <w:jc w:val="center"/>
              <w:rPr>
                <w:rFonts w:ascii="宋体" w:hAnsi="宋体" w:cs="宋体" w:eastAsia="宋体" w:hint="default"/>
                <w:sz w:val="21"/>
                <w:szCs w:val="21"/>
              </w:rPr>
            </w:pPr>
            <w:r>
              <w:rPr>
                <w:rFonts w:ascii="宋体" w:hAnsi="宋体" w:cs="宋体" w:eastAsia="宋体" w:hint="default"/>
                <w:sz w:val="21"/>
                <w:szCs w:val="21"/>
              </w:rPr>
              <w:t>孙</w:t>
              <w:tab/>
              <w:t>雄</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left="10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left="2" w:right="0"/>
              <w:jc w:val="center"/>
              <w:rPr>
                <w:rFonts w:ascii="宋体" w:hAnsi="宋体" w:cs="宋体" w:eastAsia="宋体" w:hint="default"/>
                <w:sz w:val="21"/>
                <w:szCs w:val="21"/>
              </w:rPr>
            </w:pPr>
            <w:r>
              <w:rPr>
                <w:rFonts w:ascii="宋体"/>
                <w:sz w:val="21"/>
              </w:rPr>
              <w:t>59</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left="7" w:right="0"/>
              <w:jc w:val="center"/>
              <w:rPr>
                <w:rFonts w:ascii="宋体" w:hAnsi="宋体" w:cs="宋体" w:eastAsia="宋体" w:hint="default"/>
                <w:sz w:val="21"/>
                <w:szCs w:val="21"/>
              </w:rPr>
            </w:pPr>
            <w:r>
              <w:rPr>
                <w:rFonts w:ascii="宋体"/>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38"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sz w:val="21"/>
              </w:rPr>
              <w:t>55</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7" w:right="0"/>
              <w:jc w:val="center"/>
              <w:rPr>
                <w:rFonts w:ascii="宋体" w:hAnsi="宋体" w:cs="宋体" w:eastAsia="宋体" w:hint="default"/>
                <w:sz w:val="21"/>
                <w:szCs w:val="21"/>
              </w:rPr>
            </w:pPr>
            <w:r>
              <w:rPr>
                <w:rFonts w:ascii="宋体"/>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43"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sz w:val="21"/>
              </w:rPr>
              <w:t>38</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7" w:right="0"/>
              <w:jc w:val="center"/>
              <w:rPr>
                <w:rFonts w:ascii="宋体" w:hAnsi="宋体" w:cs="宋体" w:eastAsia="宋体" w:hint="default"/>
                <w:sz w:val="21"/>
                <w:szCs w:val="21"/>
              </w:rPr>
            </w:pPr>
            <w:r>
              <w:rPr>
                <w:rFonts w:ascii="宋体"/>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0" w:hRule="exact"/>
        </w:trPr>
        <w:tc>
          <w:tcPr>
            <w:tcW w:w="905" w:type="dxa"/>
            <w:tcBorders>
              <w:top w:val="single" w:sz="7" w:space="0" w:color="000000"/>
              <w:left w:val="single" w:sz="7" w:space="0" w:color="000000"/>
              <w:bottom w:val="nil" w:sz="6" w:space="0" w:color="auto"/>
              <w:right w:val="single" w:sz="7" w:space="0" w:color="000000"/>
            </w:tcBorders>
          </w:tcPr>
          <w:p>
            <w:pPr/>
          </w:p>
        </w:tc>
        <w:tc>
          <w:tcPr>
            <w:tcW w:w="1476" w:type="dxa"/>
            <w:tcBorders>
              <w:top w:val="single" w:sz="7" w:space="0" w:color="000000"/>
              <w:left w:val="single" w:sz="7" w:space="0" w:color="000000"/>
              <w:bottom w:val="nil" w:sz="6" w:space="0" w:color="auto"/>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董事、党委副</w:t>
            </w:r>
          </w:p>
        </w:tc>
        <w:tc>
          <w:tcPr>
            <w:tcW w:w="638" w:type="dxa"/>
            <w:tcBorders>
              <w:top w:val="single" w:sz="7" w:space="0" w:color="000000"/>
              <w:left w:val="single" w:sz="7" w:space="0" w:color="000000"/>
              <w:bottom w:val="nil" w:sz="6" w:space="0" w:color="auto"/>
              <w:right w:val="single" w:sz="7" w:space="0" w:color="000000"/>
            </w:tcBorders>
          </w:tcPr>
          <w:p>
            <w:pPr/>
          </w:p>
        </w:tc>
        <w:tc>
          <w:tcPr>
            <w:tcW w:w="564" w:type="dxa"/>
            <w:tcBorders>
              <w:top w:val="single" w:sz="7" w:space="0" w:color="000000"/>
              <w:left w:val="single" w:sz="7" w:space="0" w:color="000000"/>
              <w:bottom w:val="nil" w:sz="6" w:space="0" w:color="auto"/>
              <w:right w:val="single" w:sz="7" w:space="0" w:color="000000"/>
            </w:tcBorders>
          </w:tcPr>
          <w:p>
            <w:pPr/>
          </w:p>
        </w:tc>
        <w:tc>
          <w:tcPr>
            <w:tcW w:w="2422" w:type="dxa"/>
            <w:tcBorders>
              <w:top w:val="single" w:sz="7" w:space="0" w:color="000000"/>
              <w:left w:val="single" w:sz="7" w:space="0" w:color="000000"/>
              <w:bottom w:val="nil" w:sz="6" w:space="0" w:color="auto"/>
              <w:right w:val="single" w:sz="7" w:space="0" w:color="000000"/>
            </w:tcBorders>
          </w:tcPr>
          <w:p>
            <w:pPr/>
          </w:p>
        </w:tc>
        <w:tc>
          <w:tcPr>
            <w:tcW w:w="974" w:type="dxa"/>
            <w:tcBorders>
              <w:top w:val="single" w:sz="7" w:space="0" w:color="000000"/>
              <w:left w:val="single" w:sz="7" w:space="0" w:color="000000"/>
              <w:bottom w:val="nil" w:sz="6" w:space="0" w:color="auto"/>
              <w:right w:val="single" w:sz="7" w:space="0" w:color="000000"/>
            </w:tcBorders>
          </w:tcPr>
          <w:p>
            <w:pPr/>
          </w:p>
        </w:tc>
        <w:tc>
          <w:tcPr>
            <w:tcW w:w="1476" w:type="dxa"/>
            <w:tcBorders>
              <w:top w:val="single" w:sz="7" w:space="0" w:color="000000"/>
              <w:left w:val="single" w:sz="7" w:space="0" w:color="000000"/>
              <w:bottom w:val="nil" w:sz="6" w:space="0" w:color="auto"/>
              <w:right w:val="single" w:sz="7" w:space="0" w:color="000000"/>
            </w:tcBorders>
          </w:tcPr>
          <w:p>
            <w:pPr/>
          </w:p>
        </w:tc>
      </w:tr>
      <w:tr>
        <w:trPr>
          <w:trHeight w:val="313" w:hRule="exact"/>
        </w:trPr>
        <w:tc>
          <w:tcPr>
            <w:tcW w:w="905"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1476"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书记、纪委书</w:t>
            </w:r>
          </w:p>
        </w:tc>
        <w:tc>
          <w:tcPr>
            <w:tcW w:w="638" w:type="dxa"/>
            <w:tcBorders>
              <w:top w:val="nil" w:sz="6" w:space="0" w:color="auto"/>
              <w:left w:val="single" w:sz="7" w:space="0" w:color="000000"/>
              <w:bottom w:val="nil" w:sz="6" w:space="0" w:color="auto"/>
              <w:right w:val="single" w:sz="7"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47</w:t>
            </w:r>
          </w:p>
        </w:tc>
        <w:tc>
          <w:tcPr>
            <w:tcW w:w="2422" w:type="dxa"/>
            <w:tcBorders>
              <w:top w:val="nil" w:sz="6" w:space="0" w:color="auto"/>
              <w:left w:val="single" w:sz="7" w:space="0" w:color="000000"/>
              <w:bottom w:val="nil" w:sz="6" w:space="0" w:color="auto"/>
              <w:right w:val="single" w:sz="7"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sz w:val="21"/>
              </w:rPr>
              <w:t>2009.12.18-2012.12.18</w:t>
            </w:r>
          </w:p>
        </w:tc>
        <w:tc>
          <w:tcPr>
            <w:tcW w:w="974" w:type="dxa"/>
            <w:tcBorders>
              <w:top w:val="nil" w:sz="6" w:space="0" w:color="auto"/>
              <w:left w:val="single" w:sz="7" w:space="0" w:color="000000"/>
              <w:bottom w:val="nil" w:sz="6" w:space="0" w:color="auto"/>
              <w:right w:val="single" w:sz="7" w:space="0" w:color="000000"/>
            </w:tcBorders>
          </w:tcPr>
          <w:p>
            <w:pPr>
              <w:pStyle w:val="TableParagraph"/>
              <w:spacing w:line="264"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nil" w:sz="6" w:space="0" w:color="auto"/>
              <w:left w:val="single" w:sz="7" w:space="0" w:color="000000"/>
              <w:bottom w:val="nil" w:sz="6" w:space="0" w:color="auto"/>
              <w:right w:val="single" w:sz="7" w:space="0" w:color="000000"/>
            </w:tcBorders>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19" w:hRule="exact"/>
        </w:trPr>
        <w:tc>
          <w:tcPr>
            <w:tcW w:w="905" w:type="dxa"/>
            <w:tcBorders>
              <w:top w:val="nil" w:sz="6" w:space="0" w:color="auto"/>
              <w:left w:val="single" w:sz="7" w:space="0" w:color="000000"/>
              <w:bottom w:val="single" w:sz="7" w:space="0" w:color="000000"/>
              <w:right w:val="single" w:sz="7" w:space="0" w:color="000000"/>
            </w:tcBorders>
          </w:tcPr>
          <w:p>
            <w:pPr/>
          </w:p>
        </w:tc>
        <w:tc>
          <w:tcPr>
            <w:tcW w:w="1476" w:type="dxa"/>
            <w:tcBorders>
              <w:top w:val="nil" w:sz="6" w:space="0" w:color="auto"/>
              <w:left w:val="single" w:sz="7" w:space="0" w:color="000000"/>
              <w:bottom w:val="single" w:sz="7" w:space="0" w:color="000000"/>
              <w:right w:val="single" w:sz="7"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w w:val="100"/>
                <w:sz w:val="21"/>
                <w:szCs w:val="21"/>
              </w:rPr>
              <w:t>记</w:t>
            </w:r>
          </w:p>
        </w:tc>
        <w:tc>
          <w:tcPr>
            <w:tcW w:w="638" w:type="dxa"/>
            <w:tcBorders>
              <w:top w:val="nil" w:sz="6" w:space="0" w:color="auto"/>
              <w:left w:val="single" w:sz="7" w:space="0" w:color="000000"/>
              <w:bottom w:val="single" w:sz="7" w:space="0" w:color="000000"/>
              <w:right w:val="single" w:sz="7" w:space="0" w:color="000000"/>
            </w:tcBorders>
          </w:tcPr>
          <w:p>
            <w:pPr/>
          </w:p>
        </w:tc>
        <w:tc>
          <w:tcPr>
            <w:tcW w:w="564" w:type="dxa"/>
            <w:tcBorders>
              <w:top w:val="nil" w:sz="6" w:space="0" w:color="auto"/>
              <w:left w:val="single" w:sz="7" w:space="0" w:color="000000"/>
              <w:bottom w:val="single" w:sz="7" w:space="0" w:color="000000"/>
              <w:right w:val="single" w:sz="7" w:space="0" w:color="000000"/>
            </w:tcBorders>
          </w:tcPr>
          <w:p>
            <w:pPr/>
          </w:p>
        </w:tc>
        <w:tc>
          <w:tcPr>
            <w:tcW w:w="2422" w:type="dxa"/>
            <w:tcBorders>
              <w:top w:val="nil" w:sz="6" w:space="0" w:color="auto"/>
              <w:left w:val="single" w:sz="7" w:space="0" w:color="000000"/>
              <w:bottom w:val="single" w:sz="7" w:space="0" w:color="000000"/>
              <w:right w:val="single" w:sz="7" w:space="0" w:color="000000"/>
            </w:tcBorders>
          </w:tcPr>
          <w:p>
            <w:pPr/>
          </w:p>
        </w:tc>
        <w:tc>
          <w:tcPr>
            <w:tcW w:w="974" w:type="dxa"/>
            <w:tcBorders>
              <w:top w:val="nil" w:sz="6" w:space="0" w:color="auto"/>
              <w:left w:val="single" w:sz="7" w:space="0" w:color="000000"/>
              <w:bottom w:val="single" w:sz="7" w:space="0" w:color="000000"/>
              <w:right w:val="single" w:sz="7" w:space="0" w:color="000000"/>
            </w:tcBorders>
          </w:tcPr>
          <w:p>
            <w:pPr/>
          </w:p>
        </w:tc>
        <w:tc>
          <w:tcPr>
            <w:tcW w:w="1476" w:type="dxa"/>
            <w:tcBorders>
              <w:top w:val="nil" w:sz="6" w:space="0" w:color="auto"/>
              <w:left w:val="single" w:sz="7" w:space="0" w:color="000000"/>
              <w:bottom w:val="single" w:sz="7" w:space="0" w:color="000000"/>
              <w:right w:val="single" w:sz="7" w:space="0" w:color="000000"/>
            </w:tcBorders>
          </w:tcPr>
          <w:p>
            <w:pPr/>
          </w:p>
        </w:tc>
      </w:tr>
      <w:tr>
        <w:trPr>
          <w:trHeight w:val="355"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sz w:val="21"/>
                <w:szCs w:val="21"/>
              </w:rPr>
              <w:t>马彦钊</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董事、财务总</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sz w:val="21"/>
              </w:rPr>
              <w:t>47</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7" w:right="0"/>
              <w:jc w:val="center"/>
              <w:rPr>
                <w:rFonts w:ascii="宋体" w:hAnsi="宋体" w:cs="宋体" w:eastAsia="宋体" w:hint="default"/>
                <w:sz w:val="21"/>
                <w:szCs w:val="21"/>
              </w:rPr>
            </w:pPr>
            <w:r>
              <w:rPr>
                <w:rFonts w:ascii="宋体"/>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66" w:lineRule="exact"/>
        <w:jc w:val="center"/>
        <w:rPr>
          <w:rFonts w:ascii="宋体" w:hAnsi="宋体" w:cs="宋体" w:eastAsia="宋体" w:hint="default"/>
          <w:sz w:val="21"/>
          <w:szCs w:val="21"/>
        </w:rPr>
        <w:sectPr>
          <w:type w:val="continuous"/>
          <w:pgSz w:w="11910" w:h="16840"/>
          <w:pgMar w:top="1580" w:bottom="280" w:left="1680" w:right="1360"/>
        </w:sectPr>
      </w:pPr>
    </w:p>
    <w:p>
      <w:pPr>
        <w:spacing w:line="240" w:lineRule="auto" w:before="3"/>
        <w:rPr>
          <w:rFonts w:ascii="Microsoft JhengHei" w:hAnsi="Microsoft JhengHei" w:cs="Microsoft JhengHei" w:eastAsia="Microsoft JhengHei" w:hint="default"/>
          <w:b/>
          <w:bCs/>
          <w:sz w:val="4"/>
          <w:szCs w:val="4"/>
        </w:rPr>
      </w:pPr>
    </w:p>
    <w:tbl>
      <w:tblPr>
        <w:tblW w:w="0" w:type="auto"/>
        <w:jc w:val="left"/>
        <w:tblInd w:w="363" w:type="dxa"/>
        <w:tblLayout w:type="fixed"/>
        <w:tblCellMar>
          <w:top w:w="0" w:type="dxa"/>
          <w:left w:w="0" w:type="dxa"/>
          <w:bottom w:w="0" w:type="dxa"/>
          <w:right w:w="0" w:type="dxa"/>
        </w:tblCellMar>
        <w:tblLook w:val="01E0"/>
      </w:tblPr>
      <w:tblGrid>
        <w:gridCol w:w="905"/>
        <w:gridCol w:w="1476"/>
        <w:gridCol w:w="638"/>
        <w:gridCol w:w="564"/>
        <w:gridCol w:w="2422"/>
        <w:gridCol w:w="974"/>
        <w:gridCol w:w="1476"/>
      </w:tblGrid>
      <w:tr>
        <w:trPr>
          <w:trHeight w:val="329" w:hRule="exact"/>
        </w:trPr>
        <w:tc>
          <w:tcPr>
            <w:tcW w:w="905" w:type="dxa"/>
            <w:tcBorders>
              <w:top w:val="single" w:sz="7" w:space="0" w:color="000000"/>
              <w:left w:val="single" w:sz="7" w:space="0" w:color="000000"/>
              <w:bottom w:val="single" w:sz="7" w:space="0" w:color="000000"/>
              <w:right w:val="single" w:sz="7" w:space="0" w:color="000000"/>
            </w:tcBorders>
          </w:tcPr>
          <w:p>
            <w:pP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w w:val="100"/>
                <w:sz w:val="21"/>
                <w:szCs w:val="21"/>
              </w:rPr>
              <w:t>监</w:t>
            </w:r>
          </w:p>
        </w:tc>
        <w:tc>
          <w:tcPr>
            <w:tcW w:w="638" w:type="dxa"/>
            <w:tcBorders>
              <w:top w:val="single" w:sz="7" w:space="0" w:color="000000"/>
              <w:left w:val="single" w:sz="7" w:space="0" w:color="000000"/>
              <w:bottom w:val="single" w:sz="7" w:space="0" w:color="000000"/>
              <w:right w:val="single" w:sz="7" w:space="0" w:color="000000"/>
            </w:tcBorders>
          </w:tcPr>
          <w:p>
            <w:pPr/>
          </w:p>
        </w:tc>
        <w:tc>
          <w:tcPr>
            <w:tcW w:w="564" w:type="dxa"/>
            <w:tcBorders>
              <w:top w:val="single" w:sz="7" w:space="0" w:color="000000"/>
              <w:left w:val="single" w:sz="7" w:space="0" w:color="000000"/>
              <w:bottom w:val="single" w:sz="7" w:space="0" w:color="000000"/>
              <w:right w:val="single" w:sz="7" w:space="0" w:color="000000"/>
            </w:tcBorders>
          </w:tcPr>
          <w:p>
            <w:pPr/>
          </w:p>
        </w:tc>
        <w:tc>
          <w:tcPr>
            <w:tcW w:w="2422" w:type="dxa"/>
            <w:tcBorders>
              <w:top w:val="single" w:sz="7" w:space="0" w:color="000000"/>
              <w:left w:val="single" w:sz="7" w:space="0" w:color="000000"/>
              <w:bottom w:val="single" w:sz="7" w:space="0" w:color="000000"/>
              <w:right w:val="single" w:sz="7" w:space="0" w:color="000000"/>
            </w:tcBorders>
          </w:tcPr>
          <w:p>
            <w:pPr/>
          </w:p>
        </w:tc>
        <w:tc>
          <w:tcPr>
            <w:tcW w:w="974" w:type="dxa"/>
            <w:tcBorders>
              <w:top w:val="single" w:sz="7" w:space="0" w:color="000000"/>
              <w:left w:val="single" w:sz="7" w:space="0" w:color="000000"/>
              <w:bottom w:val="single" w:sz="7" w:space="0" w:color="000000"/>
              <w:right w:val="single" w:sz="7" w:space="0" w:color="000000"/>
            </w:tcBorders>
          </w:tcPr>
          <w:p>
            <w:pPr/>
          </w:p>
        </w:tc>
        <w:tc>
          <w:tcPr>
            <w:tcW w:w="1476" w:type="dxa"/>
            <w:tcBorders>
              <w:top w:val="single" w:sz="7" w:space="0" w:color="000000"/>
              <w:left w:val="single" w:sz="7" w:space="0" w:color="000000"/>
              <w:bottom w:val="single" w:sz="7" w:space="0" w:color="000000"/>
              <w:right w:val="single" w:sz="7" w:space="0" w:color="000000"/>
            </w:tcBorders>
          </w:tcPr>
          <w:p>
            <w:pPr/>
          </w:p>
        </w:tc>
      </w:tr>
      <w:tr>
        <w:trPr>
          <w:trHeight w:val="336"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left="4"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left="2" w:right="0"/>
              <w:jc w:val="center"/>
              <w:rPr>
                <w:rFonts w:ascii="宋体" w:hAnsi="宋体" w:cs="宋体" w:eastAsia="宋体" w:hint="default"/>
                <w:sz w:val="21"/>
                <w:szCs w:val="21"/>
              </w:rPr>
            </w:pPr>
            <w:r>
              <w:rPr>
                <w:rFonts w:ascii="宋体"/>
                <w:sz w:val="21"/>
              </w:rPr>
              <w:t>46</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437"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孙涛</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9"/>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9"/>
              <w:ind w:left="2" w:right="0"/>
              <w:jc w:val="center"/>
              <w:rPr>
                <w:rFonts w:ascii="宋体" w:hAnsi="宋体" w:cs="宋体" w:eastAsia="宋体" w:hint="default"/>
                <w:sz w:val="21"/>
                <w:szCs w:val="21"/>
              </w:rPr>
            </w:pPr>
            <w:r>
              <w:rPr>
                <w:rFonts w:ascii="宋体"/>
                <w:sz w:val="21"/>
              </w:rPr>
              <w:t>49</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9"/>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1"/>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1"/>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sz w:val="21"/>
                <w:szCs w:val="21"/>
              </w:rPr>
              <w:t>徐国荣</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sz w:val="21"/>
              </w:rPr>
              <w:t>38</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641"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2"/>
              <w:ind w:left="4"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董事、副总经</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sz w:val="21"/>
              </w:rPr>
              <w:t>46</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2"/>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46"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周润国</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58</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50"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44</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73"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38"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sz w:val="21"/>
                <w:szCs w:val="21"/>
              </w:rPr>
              <w:t>王道海</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sz w:val="21"/>
              </w:rPr>
              <w:t>44</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高巍</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left="2" w:right="0"/>
              <w:jc w:val="center"/>
              <w:rPr>
                <w:rFonts w:ascii="宋体" w:hAnsi="宋体" w:cs="宋体" w:eastAsia="宋体" w:hint="default"/>
                <w:sz w:val="21"/>
                <w:szCs w:val="21"/>
              </w:rPr>
            </w:pPr>
            <w:r>
              <w:rPr>
                <w:rFonts w:ascii="宋体"/>
                <w:sz w:val="21"/>
              </w:rPr>
              <w:t>44</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4"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46"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林映文</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32</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46"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sz w:val="21"/>
              </w:rPr>
              <w:t>44</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钟辉红</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40</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张键</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37</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905"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刘雄佳</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638"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4"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38</w:t>
            </w:r>
          </w:p>
        </w:tc>
        <w:tc>
          <w:tcPr>
            <w:tcW w:w="2422"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right="92"/>
              <w:jc w:val="right"/>
              <w:rPr>
                <w:rFonts w:ascii="宋体" w:hAnsi="宋体" w:cs="宋体" w:eastAsia="宋体" w:hint="default"/>
                <w:sz w:val="21"/>
                <w:szCs w:val="21"/>
              </w:rPr>
            </w:pPr>
            <w:r>
              <w:rPr>
                <w:rFonts w:ascii="宋体"/>
                <w:spacing w:val="-1"/>
                <w:sz w:val="21"/>
              </w:rPr>
              <w:t>2009.12.18-2012.12.18</w:t>
            </w:r>
          </w:p>
        </w:tc>
        <w:tc>
          <w:tcPr>
            <w:tcW w:w="974"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7" w:space="0" w:color="000000"/>
              <w:left w:val="single" w:sz="7" w:space="0" w:color="000000"/>
              <w:bottom w:val="single" w:sz="7" w:space="0" w:color="000000"/>
              <w:right w:val="single" w:sz="7"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5"/>
        <w:rPr>
          <w:rFonts w:ascii="Microsoft JhengHei" w:hAnsi="Microsoft JhengHei" w:cs="Microsoft JhengHei" w:eastAsia="Microsoft JhengHei" w:hint="default"/>
          <w:b/>
          <w:bCs/>
          <w:sz w:val="27"/>
          <w:szCs w:val="27"/>
        </w:rPr>
      </w:pPr>
    </w:p>
    <w:p>
      <w:pPr>
        <w:pStyle w:val="Heading5"/>
        <w:spacing w:line="367" w:lineRule="exact"/>
        <w:ind w:left="960" w:right="0"/>
        <w:jc w:val="left"/>
        <w:rPr>
          <w:b w:val="0"/>
          <w:bCs w:val="0"/>
        </w:rPr>
      </w:pPr>
      <w:r>
        <w:rPr/>
        <w:t>二、现任董事、监事、高级管理人员报告期内持股及变动情况</w:t>
      </w:r>
      <w:r>
        <w:rPr>
          <w:b w:val="0"/>
          <w:bCs w:val="0"/>
        </w:rPr>
      </w:r>
    </w:p>
    <w:p>
      <w:pPr>
        <w:spacing w:line="240" w:lineRule="auto" w:before="15"/>
        <w:rPr>
          <w:rFonts w:ascii="Microsoft JhengHei" w:hAnsi="Microsoft JhengHei" w:cs="Microsoft JhengHei" w:eastAsia="Microsoft JhengHei"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898"/>
        <w:gridCol w:w="1442"/>
        <w:gridCol w:w="1133"/>
        <w:gridCol w:w="1440"/>
        <w:gridCol w:w="1080"/>
        <w:gridCol w:w="1258"/>
        <w:gridCol w:w="2165"/>
      </w:tblGrid>
      <w:tr>
        <w:trPr>
          <w:trHeight w:val="497" w:hRule="exact"/>
        </w:trPr>
        <w:tc>
          <w:tcPr>
            <w:tcW w:w="898" w:type="dxa"/>
            <w:vMerge w:val="restart"/>
            <w:tcBorders>
              <w:top w:val="single" w:sz="7" w:space="0" w:color="000000"/>
              <w:left w:val="single" w:sz="7" w:space="0" w:color="000000"/>
              <w:right w:val="single" w:sz="7"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2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姓名</w:t>
            </w:r>
            <w:r>
              <w:rPr>
                <w:rFonts w:ascii="Microsoft JhengHei" w:hAnsi="Microsoft JhengHei" w:cs="Microsoft JhengHei" w:eastAsia="Microsoft JhengHei" w:hint="default"/>
                <w:sz w:val="18"/>
                <w:szCs w:val="18"/>
              </w:rPr>
            </w:r>
          </w:p>
        </w:tc>
        <w:tc>
          <w:tcPr>
            <w:tcW w:w="1442" w:type="dxa"/>
            <w:vMerge w:val="restart"/>
            <w:tcBorders>
              <w:top w:val="single" w:sz="7" w:space="0" w:color="000000"/>
              <w:left w:val="single" w:sz="7" w:space="0" w:color="000000"/>
              <w:right w:val="single" w:sz="7"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4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职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务</w:t>
            </w:r>
            <w:r>
              <w:rPr>
                <w:rFonts w:ascii="Microsoft JhengHei" w:hAnsi="Microsoft JhengHei" w:cs="Microsoft JhengHei" w:eastAsia="Microsoft JhengHei" w:hint="default"/>
                <w:sz w:val="18"/>
                <w:szCs w:val="18"/>
              </w:rPr>
            </w:r>
          </w:p>
        </w:tc>
        <w:tc>
          <w:tcPr>
            <w:tcW w:w="1133" w:type="dxa"/>
            <w:vMerge w:val="restart"/>
            <w:tcBorders>
              <w:top w:val="single" w:sz="7" w:space="0" w:color="000000"/>
              <w:left w:val="single" w:sz="7" w:space="0" w:color="000000"/>
              <w:right w:val="single" w:sz="7"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年初持股数</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2520" w:type="dxa"/>
            <w:gridSpan w:val="2"/>
            <w:tcBorders>
              <w:top w:val="single" w:sz="7" w:space="0" w:color="000000"/>
              <w:left w:val="single" w:sz="7" w:space="0" w:color="000000"/>
              <w:bottom w:val="single" w:sz="7" w:space="0" w:color="000000"/>
              <w:right w:val="single" w:sz="7" w:space="0" w:color="000000"/>
            </w:tcBorders>
          </w:tcPr>
          <w:p>
            <w:pPr>
              <w:pStyle w:val="TableParagraph"/>
              <w:spacing w:line="240" w:lineRule="auto" w:before="38"/>
              <w:ind w:left="35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本年变动增减（</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258" w:type="dxa"/>
            <w:vMerge w:val="restart"/>
            <w:tcBorders>
              <w:top w:val="single" w:sz="7" w:space="0" w:color="000000"/>
              <w:left w:val="single" w:sz="7" w:space="0" w:color="000000"/>
              <w:right w:val="single" w:sz="7"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313"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年末持股数</w:t>
            </w:r>
            <w:r>
              <w:rPr>
                <w:rFonts w:ascii="Microsoft JhengHei" w:hAnsi="Microsoft JhengHei" w:cs="Microsoft JhengHei" w:eastAsia="Microsoft JhengHei" w:hint="default"/>
                <w:sz w:val="18"/>
                <w:szCs w:val="18"/>
              </w:rPr>
            </w:r>
          </w:p>
          <w:p>
            <w:pPr>
              <w:pStyle w:val="TableParagraph"/>
              <w:spacing w:line="313"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2165" w:type="dxa"/>
            <w:vMerge w:val="restart"/>
            <w:tcBorders>
              <w:top w:val="single" w:sz="7" w:space="0" w:color="000000"/>
              <w:left w:val="single" w:sz="7" w:space="0" w:color="000000"/>
              <w:right w:val="single" w:sz="7"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641" w:hRule="exact"/>
        </w:trPr>
        <w:tc>
          <w:tcPr>
            <w:tcW w:w="898" w:type="dxa"/>
            <w:vMerge/>
            <w:tcBorders>
              <w:left w:val="single" w:sz="7" w:space="0" w:color="000000"/>
              <w:bottom w:val="single" w:sz="7" w:space="0" w:color="000000"/>
              <w:right w:val="single" w:sz="7" w:space="0" w:color="000000"/>
            </w:tcBorders>
          </w:tcPr>
          <w:p>
            <w:pPr/>
          </w:p>
        </w:tc>
        <w:tc>
          <w:tcPr>
            <w:tcW w:w="1442" w:type="dxa"/>
            <w:vMerge/>
            <w:tcBorders>
              <w:left w:val="single" w:sz="7" w:space="0" w:color="000000"/>
              <w:bottom w:val="single" w:sz="7" w:space="0" w:color="000000"/>
              <w:right w:val="single" w:sz="7" w:space="0" w:color="000000"/>
            </w:tcBorders>
          </w:tcPr>
          <w:p>
            <w:pPr/>
          </w:p>
        </w:tc>
        <w:tc>
          <w:tcPr>
            <w:tcW w:w="1133" w:type="dxa"/>
            <w:vMerge/>
            <w:tcBorders>
              <w:left w:val="single" w:sz="7" w:space="0" w:color="000000"/>
              <w:bottom w:val="single" w:sz="7" w:space="0" w:color="000000"/>
              <w:right w:val="single" w:sz="7" w:space="0" w:color="000000"/>
            </w:tcBorders>
          </w:tcPr>
          <w:p>
            <w:pP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74"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公积金转股</w:t>
            </w:r>
            <w:r>
              <w:rPr>
                <w:rFonts w:ascii="Microsoft JhengHei" w:hAnsi="Microsoft JhengHei" w:cs="Microsoft JhengHei" w:eastAsia="Microsoft JhengHei" w:hint="default"/>
                <w:sz w:val="18"/>
                <w:szCs w:val="18"/>
              </w:rPr>
            </w:r>
          </w:p>
          <w:p>
            <w:pPr>
              <w:pStyle w:val="TableParagraph"/>
              <w:spacing w:line="313"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6"/>
                <w:sz w:val="18"/>
                <w:szCs w:val="18"/>
              </w:rPr>
              <w:t> </w:t>
            </w:r>
            <w:r>
              <w:rPr>
                <w:rFonts w:ascii="Times New Roman" w:hAnsi="Times New Roman" w:cs="Times New Roman" w:eastAsia="Times New Roman" w:hint="default"/>
                <w:b/>
                <w:bCs/>
                <w:spacing w:val="-3"/>
                <w:sz w:val="18"/>
                <w:szCs w:val="18"/>
              </w:rPr>
              <w:t>1</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9"/>
                <w:sz w:val="18"/>
                <w:szCs w:val="18"/>
              </w:rPr>
              <w:t> </w:t>
            </w:r>
            <w:r>
              <w:rPr>
                <w:rFonts w:ascii="Times New Roman" w:hAnsi="Times New Roman" w:cs="Times New Roman" w:eastAsia="Times New Roman" w:hint="default"/>
                <w:b/>
                <w:bCs/>
                <w:spacing w:val="-4"/>
                <w:sz w:val="18"/>
                <w:szCs w:val="18"/>
              </w:rPr>
              <w:t>2</w:t>
            </w:r>
            <w:r>
              <w:rPr>
                <w:rFonts w:ascii="Microsoft JhengHei" w:hAnsi="Microsoft JhengHei" w:cs="Microsoft JhengHei" w:eastAsia="Microsoft JhengHei" w:hint="default"/>
                <w:b/>
                <w:bCs/>
                <w:spacing w:val="-4"/>
                <w:sz w:val="18"/>
                <w:szCs w:val="18"/>
              </w:rPr>
              <w:t>）</w:t>
            </w:r>
            <w:r>
              <w:rPr>
                <w:rFonts w:ascii="Microsoft JhengHei" w:hAnsi="Microsoft JhengHei" w:cs="Microsoft JhengHei" w:eastAsia="Microsoft JhengHei" w:hint="default"/>
                <w:spacing w:val="-4"/>
                <w:sz w:val="18"/>
                <w:szCs w:val="18"/>
              </w:rPr>
            </w:r>
          </w:p>
        </w:tc>
        <w:tc>
          <w:tcPr>
            <w:tcW w:w="1258" w:type="dxa"/>
            <w:vMerge/>
            <w:tcBorders>
              <w:left w:val="single" w:sz="7" w:space="0" w:color="000000"/>
              <w:bottom w:val="single" w:sz="7" w:space="0" w:color="000000"/>
              <w:right w:val="single" w:sz="7" w:space="0" w:color="000000"/>
            </w:tcBorders>
          </w:tcPr>
          <w:p>
            <w:pPr/>
          </w:p>
        </w:tc>
        <w:tc>
          <w:tcPr>
            <w:tcW w:w="2165" w:type="dxa"/>
            <w:vMerge/>
            <w:tcBorders>
              <w:left w:val="single" w:sz="7" w:space="0" w:color="000000"/>
              <w:bottom w:val="single" w:sz="7" w:space="0" w:color="000000"/>
              <w:right w:val="single" w:sz="7" w:space="0" w:color="000000"/>
            </w:tcBorders>
          </w:tcPr>
          <w:p>
            <w:pP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陈少群</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99" w:right="97"/>
              <w:jc w:val="left"/>
              <w:rPr>
                <w:rFonts w:ascii="宋体" w:hAnsi="宋体" w:cs="宋体" w:eastAsia="宋体" w:hint="default"/>
                <w:sz w:val="18"/>
                <w:szCs w:val="18"/>
              </w:rPr>
            </w:pPr>
            <w:r>
              <w:rPr>
                <w:rFonts w:ascii="宋体" w:hAnsi="宋体" w:cs="宋体" w:eastAsia="宋体" w:hint="default"/>
                <w:spacing w:val="-5"/>
                <w:sz w:val="18"/>
                <w:szCs w:val="18"/>
              </w:rPr>
              <w:t>董事长、党委书</w:t>
            </w:r>
            <w:r>
              <w:rPr>
                <w:rFonts w:ascii="宋体" w:hAnsi="宋体" w:cs="宋体" w:eastAsia="宋体" w:hint="default"/>
                <w:sz w:val="18"/>
                <w:szCs w:val="18"/>
              </w:rPr>
              <w:t> 记</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3,024,000</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+2,116,800</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-955,200</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4,185,600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转增后减持</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曾  湃</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99" w:right="16"/>
              <w:jc w:val="left"/>
              <w:rPr>
                <w:rFonts w:ascii="宋体" w:hAnsi="宋体" w:cs="宋体" w:eastAsia="宋体" w:hint="default"/>
                <w:sz w:val="18"/>
                <w:szCs w:val="18"/>
              </w:rPr>
            </w:pPr>
            <w:r>
              <w:rPr>
                <w:rFonts w:ascii="宋体" w:hAnsi="宋体" w:cs="宋体" w:eastAsia="宋体" w:hint="default"/>
                <w:spacing w:val="6"/>
                <w:sz w:val="18"/>
                <w:szCs w:val="18"/>
              </w:rPr>
              <w:t>董事、总经理、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党委副书记</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643"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汪兴益</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343"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9"/>
              <w:ind w:right="167"/>
              <w:jc w:val="right"/>
              <w:rPr>
                <w:rFonts w:ascii="宋体" w:hAnsi="宋体" w:cs="宋体" w:eastAsia="宋体" w:hint="default"/>
                <w:sz w:val="18"/>
                <w:szCs w:val="18"/>
              </w:rPr>
            </w:pPr>
            <w:r>
              <w:rPr>
                <w:rFonts w:ascii="宋体" w:hAnsi="宋体" w:cs="宋体" w:eastAsia="宋体" w:hint="default"/>
                <w:sz w:val="18"/>
                <w:szCs w:val="18"/>
              </w:rPr>
              <w:t>孙良媛</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9"/>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8"/>
              <w:ind w:right="96"/>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8"/>
              <w:ind w:right="96"/>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8"/>
              <w:ind w:right="96"/>
              <w:jc w:val="right"/>
              <w:rPr>
                <w:rFonts w:ascii="Times New Roman" w:hAnsi="Times New Roman" w:cs="Times New Roman" w:eastAsia="Times New Roman" w:hint="default"/>
                <w:sz w:val="18"/>
                <w:szCs w:val="18"/>
              </w:rPr>
            </w:pPr>
            <w:r>
              <w:rPr>
                <w:rFonts w:ascii="Times New Roman"/>
                <w:sz w:val="18"/>
              </w:rPr>
              <w:t>0</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9"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孙  雄</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肖幼美</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643"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刘震国</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万筱宁</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9"/>
              <w:ind w:left="99" w:right="97"/>
              <w:jc w:val="left"/>
              <w:rPr>
                <w:rFonts w:ascii="宋体" w:hAnsi="宋体" w:cs="宋体" w:eastAsia="宋体" w:hint="default"/>
                <w:sz w:val="18"/>
                <w:szCs w:val="18"/>
              </w:rPr>
            </w:pPr>
            <w:r>
              <w:rPr>
                <w:rFonts w:ascii="宋体" w:hAnsi="宋体" w:cs="宋体" w:eastAsia="宋体" w:hint="default"/>
                <w:spacing w:val="-5"/>
                <w:sz w:val="18"/>
                <w:szCs w:val="18"/>
              </w:rPr>
              <w:t>董事、党委副书</w:t>
            </w:r>
            <w:r>
              <w:rPr>
                <w:rFonts w:ascii="宋体" w:hAnsi="宋体" w:cs="宋体" w:eastAsia="宋体" w:hint="default"/>
                <w:sz w:val="18"/>
                <w:szCs w:val="18"/>
              </w:rPr>
              <w:t> 记、纪委书记</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1,017,000</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+533,925</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-254,250</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1,296,675</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转增前减持</w:t>
            </w:r>
          </w:p>
        </w:tc>
      </w:tr>
      <w:tr>
        <w:trPr>
          <w:trHeight w:val="329"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马彦钊</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pacing w:val="-5"/>
                <w:sz w:val="18"/>
                <w:szCs w:val="18"/>
              </w:rPr>
              <w:t>董事、财务总监</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z w:val="18"/>
              </w:rPr>
              <w:t>0</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9"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祝俊明</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4"/>
              <w:jc w:val="right"/>
              <w:rPr>
                <w:rFonts w:ascii="Times New Roman" w:hAnsi="Times New Roman" w:cs="Times New Roman" w:eastAsia="Times New Roman" w:hint="default"/>
                <w:sz w:val="18"/>
                <w:szCs w:val="18"/>
              </w:rPr>
            </w:pPr>
            <w:r>
              <w:rPr>
                <w:rFonts w:ascii="Times New Roman"/>
                <w:spacing w:val="-1"/>
                <w:sz w:val="18"/>
              </w:rPr>
              <w:t>2,949,639</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+2,064,747</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4"/>
              <w:jc w:val="right"/>
              <w:rPr>
                <w:rFonts w:ascii="Times New Roman" w:hAnsi="Times New Roman" w:cs="Times New Roman" w:eastAsia="Times New Roman" w:hint="default"/>
                <w:sz w:val="18"/>
                <w:szCs w:val="18"/>
              </w:rPr>
            </w:pPr>
            <w:r>
              <w:rPr>
                <w:rFonts w:ascii="Times New Roman"/>
                <w:spacing w:val="-1"/>
                <w:sz w:val="18"/>
              </w:rPr>
              <w:t>-653,597</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4,360,789</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转增后减持</w:t>
            </w:r>
          </w:p>
        </w:tc>
      </w:tr>
      <w:tr>
        <w:trPr>
          <w:trHeight w:val="434"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4"/>
              <w:ind w:right="167"/>
              <w:jc w:val="right"/>
              <w:rPr>
                <w:rFonts w:ascii="宋体" w:hAnsi="宋体" w:cs="宋体" w:eastAsia="宋体" w:hint="default"/>
                <w:sz w:val="18"/>
                <w:szCs w:val="18"/>
              </w:rPr>
            </w:pPr>
            <w:r>
              <w:rPr>
                <w:rFonts w:ascii="宋体" w:hAnsi="宋体" w:cs="宋体" w:eastAsia="宋体" w:hint="default"/>
                <w:sz w:val="18"/>
                <w:szCs w:val="18"/>
              </w:rPr>
              <w:t>孙  涛</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4"/>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z w:val="18"/>
              </w:rPr>
              <w:t>0</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徐国荣</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z w:val="18"/>
              </w:rPr>
              <w:t>0</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9"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
              <w:ind w:right="167"/>
              <w:jc w:val="right"/>
              <w:rPr>
                <w:rFonts w:ascii="宋体" w:hAnsi="宋体" w:cs="宋体" w:eastAsia="宋体" w:hint="default"/>
                <w:sz w:val="18"/>
                <w:szCs w:val="18"/>
              </w:rPr>
            </w:pPr>
            <w:r>
              <w:rPr>
                <w:rFonts w:ascii="宋体" w:hAnsi="宋体" w:cs="宋体" w:eastAsia="宋体" w:hint="default"/>
                <w:sz w:val="18"/>
                <w:szCs w:val="18"/>
              </w:rPr>
              <w:t>胡翔海</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
              <w:ind w:left="99" w:right="0"/>
              <w:jc w:val="left"/>
              <w:rPr>
                <w:rFonts w:ascii="宋体" w:hAnsi="宋体" w:cs="宋体" w:eastAsia="宋体" w:hint="default"/>
                <w:sz w:val="18"/>
                <w:szCs w:val="18"/>
              </w:rPr>
            </w:pPr>
            <w:r>
              <w:rPr>
                <w:rFonts w:ascii="宋体" w:hAnsi="宋体" w:cs="宋体" w:eastAsia="宋体" w:hint="default"/>
                <w:spacing w:val="-5"/>
                <w:sz w:val="18"/>
                <w:szCs w:val="18"/>
              </w:rPr>
              <w:t>董事、副总经理</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1,061,000</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+742,700</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-430,925</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1,372,775</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转增后减持</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周润国</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bl>
    <w:p>
      <w:pPr>
        <w:spacing w:after="0" w:line="316" w:lineRule="auto"/>
        <w:jc w:val="left"/>
        <w:rPr>
          <w:rFonts w:ascii="宋体" w:hAnsi="宋体" w:cs="宋体" w:eastAsia="宋体" w:hint="default"/>
          <w:sz w:val="18"/>
          <w:szCs w:val="18"/>
        </w:rPr>
        <w:sectPr>
          <w:headerReference w:type="default" r:id="rId19"/>
          <w:footerReference w:type="default" r:id="rId20"/>
          <w:pgSz w:w="11910" w:h="16840"/>
          <w:pgMar w:header="0" w:footer="1095" w:top="1000" w:bottom="1280" w:left="1500" w:right="740"/>
          <w:pgNumType w:start="14"/>
        </w:sectPr>
      </w:pPr>
    </w:p>
    <w:p>
      <w:pPr>
        <w:spacing w:line="240" w:lineRule="auto" w:before="14"/>
        <w:rPr>
          <w:rFonts w:ascii="Microsoft JhengHei" w:hAnsi="Microsoft JhengHei" w:cs="Microsoft JhengHei" w:eastAsia="Microsoft JhengHei"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898"/>
        <w:gridCol w:w="1442"/>
        <w:gridCol w:w="1133"/>
        <w:gridCol w:w="1440"/>
        <w:gridCol w:w="1080"/>
        <w:gridCol w:w="1258"/>
        <w:gridCol w:w="2165"/>
      </w:tblGrid>
      <w:tr>
        <w:trPr>
          <w:trHeight w:val="360" w:hRule="exact"/>
        </w:trPr>
        <w:tc>
          <w:tcPr>
            <w:tcW w:w="898" w:type="dxa"/>
            <w:tcBorders>
              <w:top w:val="nil" w:sz="6" w:space="0" w:color="auto"/>
              <w:left w:val="single" w:sz="7" w:space="0" w:color="000000"/>
              <w:bottom w:val="single" w:sz="7" w:space="0" w:color="000000"/>
              <w:right w:val="single" w:sz="7"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刘岁义</w:t>
            </w:r>
          </w:p>
        </w:tc>
        <w:tc>
          <w:tcPr>
            <w:tcW w:w="1442" w:type="dxa"/>
            <w:tcBorders>
              <w:top w:val="nil" w:sz="6" w:space="0" w:color="auto"/>
              <w:left w:val="single" w:sz="7" w:space="0" w:color="000000"/>
              <w:bottom w:val="single" w:sz="7" w:space="0" w:color="000000"/>
              <w:right w:val="single" w:sz="7" w:space="0" w:color="000000"/>
            </w:tcBorders>
          </w:tcPr>
          <w:p>
            <w:pPr>
              <w:pStyle w:val="TableParagraph"/>
              <w:spacing w:line="240" w:lineRule="auto" w:before="32"/>
              <w:ind w:left="9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nil" w:sz="6" w:space="0" w:color="auto"/>
              <w:left w:val="single" w:sz="7" w:space="0" w:color="000000"/>
              <w:bottom w:val="single" w:sz="7" w:space="0" w:color="000000"/>
              <w:right w:val="single" w:sz="7"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253,000</w:t>
            </w:r>
          </w:p>
        </w:tc>
        <w:tc>
          <w:tcPr>
            <w:tcW w:w="1440" w:type="dxa"/>
            <w:tcBorders>
              <w:top w:val="nil" w:sz="6" w:space="0" w:color="auto"/>
              <w:left w:val="single" w:sz="7" w:space="0" w:color="000000"/>
              <w:bottom w:val="single" w:sz="7" w:space="0" w:color="000000"/>
              <w:right w:val="single" w:sz="7"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+177,100</w:t>
            </w:r>
          </w:p>
        </w:tc>
        <w:tc>
          <w:tcPr>
            <w:tcW w:w="1080" w:type="dxa"/>
            <w:tcBorders>
              <w:top w:val="nil" w:sz="6" w:space="0" w:color="auto"/>
              <w:left w:val="single" w:sz="7" w:space="0" w:color="000000"/>
              <w:bottom w:val="single" w:sz="7" w:space="0" w:color="000000"/>
              <w:right w:val="single" w:sz="7" w:space="0" w:color="000000"/>
            </w:tcBorders>
          </w:tcPr>
          <w:p>
            <w:pPr>
              <w:pStyle w:val="TableParagraph"/>
              <w:spacing w:line="240" w:lineRule="auto" w:before="74"/>
              <w:ind w:right="94"/>
              <w:jc w:val="right"/>
              <w:rPr>
                <w:rFonts w:ascii="Times New Roman" w:hAnsi="Times New Roman" w:cs="Times New Roman" w:eastAsia="Times New Roman" w:hint="default"/>
                <w:sz w:val="18"/>
                <w:szCs w:val="18"/>
              </w:rPr>
            </w:pPr>
            <w:r>
              <w:rPr>
                <w:rFonts w:ascii="Times New Roman"/>
                <w:spacing w:val="-1"/>
                <w:sz w:val="18"/>
              </w:rPr>
              <w:t>-107,525</w:t>
            </w:r>
          </w:p>
        </w:tc>
        <w:tc>
          <w:tcPr>
            <w:tcW w:w="1258" w:type="dxa"/>
            <w:tcBorders>
              <w:top w:val="nil" w:sz="6" w:space="0" w:color="auto"/>
              <w:left w:val="single" w:sz="7" w:space="0" w:color="000000"/>
              <w:bottom w:val="single" w:sz="7" w:space="0" w:color="000000"/>
              <w:right w:val="single" w:sz="7"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322,575</w:t>
            </w:r>
          </w:p>
        </w:tc>
        <w:tc>
          <w:tcPr>
            <w:tcW w:w="2165" w:type="dxa"/>
            <w:tcBorders>
              <w:top w:val="nil" w:sz="6" w:space="0" w:color="auto"/>
              <w:left w:val="single" w:sz="7" w:space="0" w:color="000000"/>
              <w:bottom w:val="single" w:sz="7" w:space="0" w:color="000000"/>
              <w:right w:val="single" w:sz="7"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转增后减持</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王道海</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高  巍</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林映文</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346"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陈小华</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1"/>
              <w:ind w:left="9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3"/>
              <w:ind w:right="94"/>
              <w:jc w:val="right"/>
              <w:rPr>
                <w:rFonts w:ascii="Times New Roman" w:hAnsi="Times New Roman" w:cs="Times New Roman" w:eastAsia="Times New Roman" w:hint="default"/>
                <w:sz w:val="18"/>
                <w:szCs w:val="18"/>
              </w:rPr>
            </w:pPr>
            <w:r>
              <w:rPr>
                <w:rFonts w:ascii="Times New Roman"/>
                <w:spacing w:val="-1"/>
                <w:sz w:val="18"/>
              </w:rPr>
              <w:t>1,097,000</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3"/>
              <w:ind w:right="95"/>
              <w:jc w:val="right"/>
              <w:rPr>
                <w:rFonts w:ascii="Times New Roman" w:hAnsi="Times New Roman" w:cs="Times New Roman" w:eastAsia="Times New Roman" w:hint="default"/>
                <w:sz w:val="18"/>
                <w:szCs w:val="18"/>
              </w:rPr>
            </w:pPr>
            <w:r>
              <w:rPr>
                <w:rFonts w:ascii="Times New Roman"/>
                <w:spacing w:val="-1"/>
                <w:sz w:val="18"/>
              </w:rPr>
              <w:t>+767,900</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3"/>
              <w:ind w:right="94"/>
              <w:jc w:val="right"/>
              <w:rPr>
                <w:rFonts w:ascii="Times New Roman" w:hAnsi="Times New Roman" w:cs="Times New Roman" w:eastAsia="Times New Roman" w:hint="default"/>
                <w:sz w:val="18"/>
                <w:szCs w:val="18"/>
              </w:rPr>
            </w:pPr>
            <w:r>
              <w:rPr>
                <w:rFonts w:ascii="Times New Roman"/>
                <w:spacing w:val="-1"/>
                <w:sz w:val="18"/>
              </w:rPr>
              <w:t>-466,225</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pacing w:val="-1"/>
                <w:sz w:val="18"/>
              </w:rPr>
              <w:t>1,398,675</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转增后减持</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钟辉红</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张  键</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641"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刘雄佳</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316" w:lineRule="auto" w:before="11"/>
              <w:ind w:left="354" w:right="173" w:hanging="180"/>
              <w:jc w:val="left"/>
              <w:rPr>
                <w:rFonts w:ascii="宋体" w:hAnsi="宋体" w:cs="宋体" w:eastAsia="宋体" w:hint="default"/>
                <w:sz w:val="18"/>
                <w:szCs w:val="18"/>
              </w:rPr>
            </w:pPr>
            <w:r>
              <w:rPr>
                <w:rFonts w:ascii="宋体" w:hAnsi="宋体" w:cs="宋体" w:eastAsia="宋体" w:hint="default"/>
                <w:sz w:val="18"/>
                <w:szCs w:val="18"/>
              </w:rPr>
              <w:t>年初尚未担任董事、监 事、高级管理人员</w:t>
            </w:r>
          </w:p>
        </w:tc>
      </w:tr>
      <w:tr>
        <w:trPr>
          <w:trHeight w:val="343" w:hRule="exact"/>
        </w:trPr>
        <w:tc>
          <w:tcPr>
            <w:tcW w:w="8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2"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13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8"/>
              <w:ind w:right="94"/>
              <w:jc w:val="right"/>
              <w:rPr>
                <w:rFonts w:ascii="Times New Roman" w:hAnsi="Times New Roman" w:cs="Times New Roman" w:eastAsia="Times New Roman" w:hint="default"/>
                <w:sz w:val="18"/>
                <w:szCs w:val="18"/>
              </w:rPr>
            </w:pPr>
            <w:r>
              <w:rPr>
                <w:rFonts w:ascii="Times New Roman"/>
                <w:spacing w:val="-1"/>
                <w:sz w:val="18"/>
              </w:rPr>
              <w:t>9,401,639</w:t>
            </w:r>
          </w:p>
        </w:tc>
        <w:tc>
          <w:tcPr>
            <w:tcW w:w="144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8"/>
              <w:ind w:right="94"/>
              <w:jc w:val="right"/>
              <w:rPr>
                <w:rFonts w:ascii="Times New Roman" w:hAnsi="Times New Roman" w:cs="Times New Roman" w:eastAsia="Times New Roman" w:hint="default"/>
                <w:sz w:val="18"/>
                <w:szCs w:val="18"/>
              </w:rPr>
            </w:pPr>
            <w:r>
              <w:rPr>
                <w:rFonts w:ascii="Times New Roman"/>
                <w:spacing w:val="-1"/>
                <w:sz w:val="18"/>
              </w:rPr>
              <w:t>6,403,172</w:t>
            </w:r>
          </w:p>
        </w:tc>
        <w:tc>
          <w:tcPr>
            <w:tcW w:w="108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8"/>
              <w:ind w:right="94"/>
              <w:jc w:val="right"/>
              <w:rPr>
                <w:rFonts w:ascii="Times New Roman" w:hAnsi="Times New Roman" w:cs="Times New Roman" w:eastAsia="Times New Roman" w:hint="default"/>
                <w:sz w:val="18"/>
                <w:szCs w:val="18"/>
              </w:rPr>
            </w:pPr>
            <w:r>
              <w:rPr>
                <w:rFonts w:ascii="Times New Roman"/>
                <w:spacing w:val="-1"/>
                <w:sz w:val="18"/>
              </w:rPr>
              <w:t>-2,867,722</w:t>
            </w:r>
          </w:p>
        </w:tc>
        <w:tc>
          <w:tcPr>
            <w:tcW w:w="125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1"/>
                <w:sz w:val="18"/>
              </w:rPr>
              <w:t>13,037,589</w:t>
            </w:r>
          </w:p>
        </w:tc>
        <w:tc>
          <w:tcPr>
            <w:tcW w:w="216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11"/>
        <w:ind w:left="480" w:right="0" w:firstLine="0"/>
        <w:jc w:val="left"/>
        <w:rPr>
          <w:rFonts w:ascii="宋体" w:hAnsi="宋体" w:cs="宋体" w:eastAsia="宋体" w:hint="default"/>
          <w:sz w:val="18"/>
          <w:szCs w:val="18"/>
        </w:rPr>
      </w:pPr>
      <w:r>
        <w:rPr>
          <w:rFonts w:ascii="宋体" w:hAnsi="宋体" w:cs="宋体" w:eastAsia="宋体" w:hint="default"/>
          <w:spacing w:val="-3"/>
          <w:sz w:val="18"/>
          <w:szCs w:val="18"/>
        </w:rPr>
        <w:t>注：1.报告期内，公司</w:t>
      </w:r>
      <w:r>
        <w:rPr>
          <w:rFonts w:ascii="宋体" w:hAnsi="宋体" w:cs="宋体" w:eastAsia="宋体" w:hint="default"/>
          <w:spacing w:val="-53"/>
          <w:sz w:val="18"/>
          <w:szCs w:val="18"/>
        </w:rPr>
        <w:t> </w:t>
      </w:r>
      <w:r>
        <w:rPr>
          <w:rFonts w:ascii="宋体" w:hAnsi="宋体" w:cs="宋体" w:eastAsia="宋体" w:hint="default"/>
          <w:sz w:val="18"/>
          <w:szCs w:val="18"/>
        </w:rPr>
        <w:t>2008</w:t>
      </w:r>
      <w:r>
        <w:rPr>
          <w:rFonts w:ascii="宋体" w:hAnsi="宋体" w:cs="宋体" w:eastAsia="宋体" w:hint="default"/>
          <w:spacing w:val="-49"/>
          <w:sz w:val="18"/>
          <w:szCs w:val="18"/>
        </w:rPr>
        <w:t> </w:t>
      </w:r>
      <w:r>
        <w:rPr>
          <w:rFonts w:ascii="宋体" w:hAnsi="宋体" w:cs="宋体" w:eastAsia="宋体" w:hint="default"/>
          <w:sz w:val="18"/>
          <w:szCs w:val="18"/>
        </w:rPr>
        <w:t>年度股东大会审议通过《公司</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49"/>
          <w:sz w:val="18"/>
          <w:szCs w:val="18"/>
        </w:rPr>
        <w:t> </w:t>
      </w:r>
      <w:r>
        <w:rPr>
          <w:rFonts w:ascii="宋体" w:hAnsi="宋体" w:cs="宋体" w:eastAsia="宋体" w:hint="default"/>
          <w:spacing w:val="-3"/>
          <w:sz w:val="18"/>
          <w:szCs w:val="18"/>
        </w:rPr>
        <w:t>年度利润分配预案》，涉及</w:t>
      </w:r>
      <w:r>
        <w:rPr>
          <w:rFonts w:ascii="宋体" w:hAnsi="宋体" w:cs="宋体" w:eastAsia="宋体" w:hint="default"/>
          <w:spacing w:val="-53"/>
          <w:sz w:val="18"/>
          <w:szCs w:val="18"/>
        </w:rPr>
        <w:t> </w:t>
      </w:r>
      <w:r>
        <w:rPr>
          <w:rFonts w:ascii="宋体" w:hAnsi="宋体" w:cs="宋体" w:eastAsia="宋体" w:hint="default"/>
          <w:sz w:val="18"/>
          <w:szCs w:val="18"/>
        </w:rPr>
        <w:t>2008</w:t>
      </w:r>
      <w:r>
        <w:rPr>
          <w:rFonts w:ascii="宋体" w:hAnsi="宋体" w:cs="宋体" w:eastAsia="宋体" w:hint="default"/>
          <w:spacing w:val="-49"/>
          <w:sz w:val="18"/>
          <w:szCs w:val="18"/>
        </w:rPr>
        <w:t> </w:t>
      </w:r>
      <w:r>
        <w:rPr>
          <w:rFonts w:ascii="宋体" w:hAnsi="宋体" w:cs="宋体" w:eastAsia="宋体" w:hint="default"/>
          <w:sz w:val="18"/>
          <w:szCs w:val="18"/>
        </w:rPr>
        <w:t>年度资本公</w:t>
      </w:r>
    </w:p>
    <w:p>
      <w:pPr>
        <w:spacing w:before="76"/>
        <w:ind w:left="480" w:right="0" w:firstLine="0"/>
        <w:jc w:val="left"/>
        <w:rPr>
          <w:rFonts w:ascii="宋体" w:hAnsi="宋体" w:cs="宋体" w:eastAsia="宋体" w:hint="default"/>
          <w:sz w:val="18"/>
          <w:szCs w:val="18"/>
        </w:rPr>
      </w:pPr>
      <w:r>
        <w:rPr>
          <w:rFonts w:ascii="宋体" w:hAnsi="宋体" w:cs="宋体" w:eastAsia="宋体" w:hint="default"/>
          <w:sz w:val="18"/>
          <w:szCs w:val="18"/>
        </w:rPr>
        <w:t>积金转增股本方案为：以公司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年末总股本</w:t>
      </w:r>
      <w:r>
        <w:rPr>
          <w:rFonts w:ascii="宋体" w:hAnsi="宋体" w:cs="宋体" w:eastAsia="宋体" w:hint="default"/>
          <w:spacing w:val="-48"/>
          <w:sz w:val="18"/>
          <w:szCs w:val="18"/>
        </w:rPr>
        <w:t> </w:t>
      </w:r>
      <w:r>
        <w:rPr>
          <w:rFonts w:ascii="宋体" w:hAnsi="宋体" w:cs="宋体" w:eastAsia="宋体" w:hint="default"/>
          <w:sz w:val="18"/>
          <w:szCs w:val="18"/>
        </w:rPr>
        <w:t>452,063,442</w:t>
      </w:r>
      <w:r>
        <w:rPr>
          <w:rFonts w:ascii="宋体" w:hAnsi="宋体" w:cs="宋体" w:eastAsia="宋体" w:hint="default"/>
          <w:spacing w:val="-47"/>
          <w:sz w:val="18"/>
          <w:szCs w:val="18"/>
        </w:rPr>
        <w:t> </w:t>
      </w:r>
      <w:r>
        <w:rPr>
          <w:rFonts w:ascii="宋体" w:hAnsi="宋体" w:cs="宋体" w:eastAsia="宋体" w:hint="default"/>
          <w:sz w:val="18"/>
          <w:szCs w:val="18"/>
        </w:rPr>
        <w:t>股为基数，向全体股东以每</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股的比</w:t>
      </w:r>
    </w:p>
    <w:p>
      <w:pPr>
        <w:spacing w:before="76"/>
        <w:ind w:left="480" w:right="0" w:firstLine="0"/>
        <w:jc w:val="left"/>
        <w:rPr>
          <w:rFonts w:ascii="宋体" w:hAnsi="宋体" w:cs="宋体" w:eastAsia="宋体" w:hint="default"/>
          <w:sz w:val="18"/>
          <w:szCs w:val="18"/>
        </w:rPr>
      </w:pPr>
      <w:r>
        <w:rPr>
          <w:rFonts w:ascii="宋体" w:hAnsi="宋体" w:cs="宋体" w:eastAsia="宋体" w:hint="default"/>
          <w:sz w:val="18"/>
          <w:szCs w:val="18"/>
        </w:rPr>
        <w:t>例转增股本，合计转增股本</w:t>
      </w:r>
      <w:r>
        <w:rPr>
          <w:rFonts w:ascii="宋体" w:hAnsi="宋体" w:cs="宋体" w:eastAsia="宋体" w:hint="default"/>
          <w:spacing w:val="-35"/>
          <w:sz w:val="18"/>
          <w:szCs w:val="18"/>
        </w:rPr>
        <w:t> </w:t>
      </w:r>
      <w:r>
        <w:rPr>
          <w:rFonts w:ascii="宋体" w:hAnsi="宋体" w:cs="宋体" w:eastAsia="宋体" w:hint="default"/>
          <w:sz w:val="18"/>
          <w:szCs w:val="18"/>
        </w:rPr>
        <w:t>316,444,409</w:t>
      </w:r>
      <w:r>
        <w:rPr>
          <w:rFonts w:ascii="宋体" w:hAnsi="宋体" w:cs="宋体" w:eastAsia="宋体" w:hint="default"/>
          <w:spacing w:val="-42"/>
          <w:sz w:val="18"/>
          <w:szCs w:val="18"/>
        </w:rPr>
        <w:t> </w:t>
      </w:r>
      <w:r>
        <w:rPr>
          <w:rFonts w:ascii="宋体" w:hAnsi="宋体" w:cs="宋体" w:eastAsia="宋体" w:hint="default"/>
          <w:sz w:val="18"/>
          <w:szCs w:val="18"/>
        </w:rPr>
        <w:t>股。资本公积金转增股本方案实施后，公司总股本由</w:t>
      </w:r>
      <w:r>
        <w:rPr>
          <w:rFonts w:ascii="宋体" w:hAnsi="宋体" w:cs="宋体" w:eastAsia="宋体" w:hint="default"/>
          <w:spacing w:val="-39"/>
          <w:sz w:val="18"/>
          <w:szCs w:val="18"/>
        </w:rPr>
        <w:t> </w:t>
      </w:r>
      <w:r>
        <w:rPr>
          <w:rFonts w:ascii="宋体" w:hAnsi="宋体" w:cs="宋体" w:eastAsia="宋体" w:hint="default"/>
          <w:sz w:val="18"/>
          <w:szCs w:val="18"/>
        </w:rPr>
        <w:t>452,063,442</w:t>
      </w:r>
    </w:p>
    <w:p>
      <w:pPr>
        <w:spacing w:line="316" w:lineRule="auto" w:before="76"/>
        <w:ind w:left="480" w:right="0" w:firstLine="0"/>
        <w:jc w:val="left"/>
        <w:rPr>
          <w:rFonts w:ascii="宋体" w:hAnsi="宋体" w:cs="宋体" w:eastAsia="宋体" w:hint="default"/>
          <w:sz w:val="18"/>
          <w:szCs w:val="18"/>
        </w:rPr>
      </w:pPr>
      <w:r>
        <w:rPr>
          <w:rFonts w:ascii="宋体" w:hAnsi="宋体" w:cs="宋体" w:eastAsia="宋体" w:hint="default"/>
          <w:sz w:val="18"/>
          <w:szCs w:val="18"/>
        </w:rPr>
        <w:t>股增加为</w:t>
      </w:r>
      <w:r>
        <w:rPr>
          <w:rFonts w:ascii="宋体" w:hAnsi="宋体" w:cs="宋体" w:eastAsia="宋体" w:hint="default"/>
          <w:spacing w:val="-44"/>
          <w:sz w:val="18"/>
          <w:szCs w:val="18"/>
        </w:rPr>
        <w:t> </w:t>
      </w:r>
      <w:r>
        <w:rPr>
          <w:rFonts w:ascii="宋体" w:hAnsi="宋体" w:cs="宋体" w:eastAsia="宋体" w:hint="default"/>
          <w:spacing w:val="-1"/>
          <w:sz w:val="18"/>
          <w:szCs w:val="18"/>
        </w:rPr>
        <w:t>768,507,851</w:t>
      </w:r>
      <w:r>
        <w:rPr>
          <w:rFonts w:ascii="宋体" w:hAnsi="宋体" w:cs="宋体" w:eastAsia="宋体" w:hint="default"/>
          <w:spacing w:val="-47"/>
          <w:sz w:val="18"/>
          <w:szCs w:val="18"/>
        </w:rPr>
        <w:t> </w:t>
      </w:r>
      <w:r>
        <w:rPr>
          <w:rFonts w:ascii="宋体" w:hAnsi="宋体" w:cs="宋体" w:eastAsia="宋体" w:hint="default"/>
          <w:spacing w:val="-13"/>
          <w:sz w:val="18"/>
          <w:szCs w:val="18"/>
        </w:rPr>
        <w:t>股；（详见</w:t>
      </w:r>
      <w:r>
        <w:rPr>
          <w:rFonts w:ascii="宋体" w:hAnsi="宋体" w:cs="宋体" w:eastAsia="宋体" w:hint="default"/>
          <w:spacing w:val="-44"/>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日及</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pacing w:val="1"/>
          <w:w w:val="93"/>
          <w:sz w:val="18"/>
          <w:szCs w:val="18"/>
        </w:rPr>
        <w:t>日刊登在《证券时报》、《中国证券报》、《上</w:t>
      </w:r>
      <w:r>
        <w:rPr>
          <w:rFonts w:ascii="宋体" w:hAnsi="宋体" w:cs="宋体" w:eastAsia="宋体" w:hint="default"/>
          <w:sz w:val="18"/>
          <w:szCs w:val="18"/>
        </w:rPr>
        <w:t> 海证券报》及巨潮资讯网上的公司公告）</w:t>
      </w:r>
    </w:p>
    <w:p>
      <w:pPr>
        <w:spacing w:line="316" w:lineRule="auto" w:before="19"/>
        <w:ind w:left="480" w:right="719" w:firstLine="360"/>
        <w:jc w:val="both"/>
        <w:rPr>
          <w:rFonts w:ascii="宋体" w:hAnsi="宋体" w:cs="宋体" w:eastAsia="宋体" w:hint="default"/>
          <w:sz w:val="18"/>
          <w:szCs w:val="18"/>
        </w:rPr>
      </w:pPr>
      <w:r>
        <w:rPr>
          <w:rFonts w:ascii="宋体" w:hAnsi="宋体" w:cs="宋体" w:eastAsia="宋体" w:hint="default"/>
          <w:sz w:val="18"/>
          <w:szCs w:val="18"/>
        </w:rPr>
        <w:t>2.根据《公司法》、《上市公司董事、监事、高级管理人员所持本公司股份及其变动管理规则》的相关 规定，公司董事、监事、高级管理人员在任职期间每年转让的股票不得超过其所持本公司股票总数的</w:t>
      </w:r>
      <w:r>
        <w:rPr>
          <w:rFonts w:ascii="宋体" w:hAnsi="宋体" w:cs="宋体" w:eastAsia="宋体" w:hint="default"/>
          <w:spacing w:val="-13"/>
          <w:sz w:val="18"/>
          <w:szCs w:val="18"/>
        </w:rPr>
        <w:t> </w:t>
      </w:r>
      <w:r>
        <w:rPr>
          <w:rFonts w:ascii="宋体" w:hAnsi="宋体" w:cs="宋体" w:eastAsia="宋体" w:hint="default"/>
          <w:sz w:val="18"/>
          <w:szCs w:val="18"/>
        </w:rPr>
        <w:t>25%。</w:t>
      </w:r>
      <w:r>
        <w:rPr>
          <w:rFonts w:ascii="宋体" w:hAnsi="宋体" w:cs="宋体" w:eastAsia="宋体" w:hint="default"/>
          <w:w w:val="52"/>
          <w:sz w:val="18"/>
          <w:szCs w:val="18"/>
        </w:rPr>
        <w:t> </w:t>
      </w:r>
      <w:r>
        <w:rPr>
          <w:rFonts w:ascii="宋体" w:hAnsi="宋体" w:cs="宋体" w:eastAsia="宋体" w:hint="default"/>
          <w:sz w:val="18"/>
          <w:szCs w:val="18"/>
        </w:rPr>
        <w:t>上述减持均为公司董事、监事、高级管理人员在任职期间合规减持。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5"/>
        <w:spacing w:line="367" w:lineRule="exact"/>
        <w:ind w:left="960" w:right="0"/>
        <w:jc w:val="left"/>
        <w:rPr>
          <w:b w:val="0"/>
          <w:bCs w:val="0"/>
        </w:rPr>
      </w:pPr>
      <w:r>
        <w:rPr/>
        <w:t>三、董事、监事、高级管理人员的主要工作经历和在其他单位任职及兼职情</w:t>
      </w:r>
      <w:r>
        <w:rPr>
          <w:b w:val="0"/>
          <w:bCs w:val="0"/>
        </w:rPr>
      </w:r>
    </w:p>
    <w:p>
      <w:pPr>
        <w:spacing w:before="50"/>
        <w:ind w:left="48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况</w:t>
      </w:r>
      <w:r>
        <w:rPr>
          <w:rFonts w:ascii="Microsoft JhengHei" w:hAnsi="Microsoft JhengHei" w:cs="Microsoft JhengHei" w:eastAsia="Microsoft JhengHei" w:hint="default"/>
          <w:sz w:val="24"/>
          <w:szCs w:val="24"/>
        </w:rPr>
      </w:r>
    </w:p>
    <w:p>
      <w:pPr>
        <w:spacing w:before="50"/>
        <w:ind w:left="96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董事简介</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0"/>
          <w:szCs w:val="10"/>
        </w:rPr>
      </w:pPr>
    </w:p>
    <w:p>
      <w:pPr>
        <w:pStyle w:val="BodyText"/>
        <w:spacing w:line="357" w:lineRule="auto" w:before="26"/>
        <w:ind w:left="480" w:right="769" w:firstLine="477"/>
        <w:jc w:val="left"/>
      </w:pPr>
      <w:r>
        <w:rPr/>
        <w:t>1、陈少群先生，1962</w:t>
      </w:r>
      <w:r>
        <w:rPr>
          <w:spacing w:val="-60"/>
        </w:rPr>
        <w:t> </w:t>
      </w:r>
      <w:r>
        <w:rPr/>
        <w:t>年</w:t>
      </w:r>
      <w:r>
        <w:rPr>
          <w:spacing w:val="-60"/>
        </w:rPr>
        <w:t> </w:t>
      </w:r>
      <w:r>
        <w:rPr/>
        <w:t>4</w:t>
      </w:r>
      <w:r>
        <w:rPr>
          <w:spacing w:val="-60"/>
        </w:rPr>
        <w:t> </w:t>
      </w:r>
      <w:r>
        <w:rPr/>
        <w:t>月出生，硕士学历，工程师，2008</w:t>
      </w:r>
      <w:r>
        <w:rPr>
          <w:spacing w:val="-60"/>
        </w:rPr>
        <w:t> </w:t>
      </w:r>
      <w:r>
        <w:rPr/>
        <w:t>年就读中欧国</w:t>
      </w:r>
      <w:r>
        <w:rPr/>
        <w:t> 际工商学院全球</w:t>
      </w:r>
      <w:r>
        <w:rPr>
          <w:spacing w:val="-60"/>
        </w:rPr>
        <w:t> </w:t>
      </w:r>
      <w:r>
        <w:rPr/>
        <w:t>CEO</w:t>
      </w:r>
      <w:r>
        <w:rPr>
          <w:spacing w:val="-60"/>
        </w:rPr>
        <w:t> </w:t>
      </w:r>
      <w:r>
        <w:rPr/>
        <w:t>课程。深圳市第四届人民代表大会代表。</w:t>
      </w:r>
    </w:p>
    <w:p>
      <w:pPr>
        <w:pStyle w:val="BodyText"/>
        <w:spacing w:line="357" w:lineRule="auto"/>
        <w:ind w:left="480" w:right="769" w:firstLine="477"/>
        <w:jc w:val="left"/>
      </w:pPr>
      <w:r>
        <w:rPr/>
        <w:t>历任本公司副总经理、董事、总经理、第四、五届董事会董事长，现任公司 第六届董事会董事长、党委书记。</w:t>
      </w:r>
    </w:p>
    <w:p>
      <w:pPr>
        <w:pStyle w:val="BodyText"/>
        <w:spacing w:line="357" w:lineRule="auto"/>
        <w:ind w:left="480" w:right="709" w:firstLine="477"/>
        <w:jc w:val="left"/>
      </w:pPr>
      <w:r>
        <w:rPr/>
        <w:t>2、曾湃先生，1971 年出生，管理学博士，高级经济师，2008</w:t>
      </w:r>
      <w:r>
        <w:rPr>
          <w:spacing w:val="-60"/>
        </w:rPr>
        <w:t> </w:t>
      </w:r>
      <w:r>
        <w:rPr/>
        <w:t>年就读中欧国</w:t>
      </w:r>
      <w:r>
        <w:rPr/>
        <w:t> 际工商学院全球</w:t>
      </w:r>
      <w:r>
        <w:rPr>
          <w:spacing w:val="-60"/>
        </w:rPr>
        <w:t> </w:t>
      </w:r>
      <w:r>
        <w:rPr/>
        <w:t>CEO</w:t>
      </w:r>
      <w:r>
        <w:rPr>
          <w:spacing w:val="-60"/>
        </w:rPr>
        <w:t> </w:t>
      </w:r>
      <w:r>
        <w:rPr/>
        <w:t>课程。</w:t>
      </w:r>
    </w:p>
    <w:p>
      <w:pPr>
        <w:pStyle w:val="BodyText"/>
        <w:spacing w:line="240" w:lineRule="auto"/>
        <w:ind w:left="957" w:right="0"/>
        <w:jc w:val="left"/>
      </w:pPr>
      <w:r>
        <w:rPr/>
        <w:t>1994</w:t>
      </w:r>
      <w:r>
        <w:rPr>
          <w:spacing w:val="-55"/>
        </w:rPr>
        <w:t> </w:t>
      </w:r>
      <w:r>
        <w:rPr/>
        <w:t>年</w:t>
      </w:r>
      <w:r>
        <w:rPr>
          <w:spacing w:val="-55"/>
        </w:rPr>
        <w:t> </w:t>
      </w:r>
      <w:r>
        <w:rPr/>
        <w:t>7</w:t>
      </w:r>
      <w:r>
        <w:rPr>
          <w:spacing w:val="-55"/>
        </w:rPr>
        <w:t> </w:t>
      </w:r>
      <w:r>
        <w:rPr>
          <w:spacing w:val="-8"/>
        </w:rPr>
        <w:t>月起任公司期货业务部副经理、贸发部经理、总经理助理等职；2001</w:t>
      </w:r>
    </w:p>
    <w:p>
      <w:pPr>
        <w:pStyle w:val="BodyText"/>
        <w:spacing w:line="357" w:lineRule="auto" w:before="154"/>
        <w:ind w:left="480" w:right="0"/>
        <w:jc w:val="left"/>
      </w:pPr>
      <w:r>
        <w:rPr>
          <w:w w:val="95"/>
        </w:rPr>
        <w:t>年</w:t>
      </w:r>
      <w:r>
        <w:rPr>
          <w:spacing w:val="59"/>
          <w:w w:val="95"/>
        </w:rPr>
        <w:t> </w:t>
      </w:r>
      <w:r>
        <w:rPr>
          <w:w w:val="95"/>
        </w:rPr>
        <w:t>5</w:t>
      </w:r>
      <w:r>
        <w:rPr>
          <w:spacing w:val="59"/>
          <w:w w:val="95"/>
        </w:rPr>
        <w:t> </w:t>
      </w:r>
      <w:r>
        <w:rPr>
          <w:w w:val="95"/>
        </w:rPr>
        <w:t>月起任深圳市深宝实业股份有限公司董事、总经理、董事长、党委书记等职。</w:t>
      </w:r>
      <w:r>
        <w:rPr>
          <w:spacing w:val="-96"/>
          <w:w w:val="95"/>
        </w:rPr>
        <w:t> </w:t>
      </w:r>
      <w:r>
        <w:rPr>
          <w:spacing w:val="-96"/>
          <w:w w:val="95"/>
        </w:rPr>
      </w:r>
      <w:r>
        <w:rPr/>
        <w:t>现任公司第六届董事会董事、总经理、党委副书记。</w:t>
      </w:r>
    </w:p>
    <w:p>
      <w:pPr>
        <w:pStyle w:val="BodyText"/>
        <w:spacing w:line="240" w:lineRule="auto"/>
        <w:ind w:left="957" w:right="0"/>
        <w:jc w:val="left"/>
      </w:pPr>
      <w:r>
        <w:rPr>
          <w:w w:val="95"/>
        </w:rPr>
        <w:t>3、汪兴益先生，1945 年 8 </w:t>
      </w:r>
      <w:r>
        <w:rPr>
          <w:spacing w:val="-7"/>
          <w:w w:val="95"/>
        </w:rPr>
        <w:t>月生，研究生学历，高级经济师，硕士研究生导师</w:t>
      </w:r>
      <w:r>
        <w:rPr>
          <w:spacing w:val="-20"/>
          <w:w w:val="95"/>
        </w:rPr>
        <w:t> </w:t>
      </w:r>
      <w:r>
        <w:rPr>
          <w:w w:val="95"/>
        </w:rPr>
        <w:t>，</w:t>
      </w:r>
      <w:r>
        <w:rPr/>
      </w:r>
    </w:p>
    <w:p>
      <w:pPr>
        <w:pStyle w:val="BodyText"/>
        <w:spacing w:line="240" w:lineRule="auto" w:before="154"/>
        <w:ind w:left="480" w:right="0"/>
        <w:jc w:val="left"/>
      </w:pPr>
      <w:r>
        <w:rPr/>
        <w:t>中共十六大代表。</w:t>
      </w:r>
    </w:p>
    <w:p>
      <w:pPr>
        <w:spacing w:after="0" w:line="240" w:lineRule="auto"/>
        <w:jc w:val="left"/>
        <w:sectPr>
          <w:headerReference w:type="default" r:id="rId21"/>
          <w:footerReference w:type="default" r:id="rId22"/>
          <w:pgSz w:w="11910" w:h="16840"/>
          <w:pgMar w:header="0" w:footer="1095" w:top="980" w:bottom="1280" w:left="1500" w:right="740"/>
          <w:pgNumType w:start="15"/>
        </w:sectPr>
      </w:pPr>
    </w:p>
    <w:p>
      <w:pPr>
        <w:pStyle w:val="BodyText"/>
        <w:spacing w:line="357" w:lineRule="auto" w:before="0"/>
        <w:ind w:right="105" w:firstLine="477"/>
        <w:jc w:val="both"/>
      </w:pPr>
      <w:r>
        <w:rPr/>
        <w:t>公司第六届董事会独立董事。历任湖北省襄樊市财政局局长、党组书记，中 华人民共和国财政工业交通司副司长、办公厅主任兼财政部新闻发言人、财政部 部长助理、党组成员，中国农业银行副行长、党委委员，中国长城资产管理公司 总裁；上海长城投资控股集团公司及深圳长城国盛投资控股有限公司董事长。现 </w:t>
      </w:r>
      <w:r>
        <w:rPr>
          <w:spacing w:val="-6"/>
        </w:rPr>
        <w:t>任中国企业家联合会和企业家协会副会长。2006</w:t>
      </w:r>
      <w:r>
        <w:rPr>
          <w:spacing w:val="-29"/>
        </w:rPr>
        <w:t> </w:t>
      </w:r>
      <w:r>
        <w:rPr>
          <w:spacing w:val="-8"/>
        </w:rPr>
        <w:t>年被评为中华十大财智人物，2007</w:t>
      </w:r>
      <w:r>
        <w:rPr>
          <w:spacing w:val="-118"/>
        </w:rPr>
        <w:t> </w:t>
      </w:r>
      <w:r>
        <w:rPr>
          <w:spacing w:val="-118"/>
        </w:rPr>
      </w:r>
      <w:r>
        <w:rPr/>
        <w:t>年被评为百名创新人物。</w:t>
      </w:r>
    </w:p>
    <w:p>
      <w:pPr>
        <w:pStyle w:val="BodyText"/>
        <w:spacing w:line="357" w:lineRule="auto"/>
        <w:ind w:left="777" w:right="149"/>
        <w:jc w:val="left"/>
      </w:pPr>
      <w:r>
        <w:rPr/>
        <w:t>4、孙良媛女士，1959</w:t>
      </w:r>
      <w:r>
        <w:rPr>
          <w:spacing w:val="-60"/>
        </w:rPr>
        <w:t> </w:t>
      </w:r>
      <w:r>
        <w:rPr/>
        <w:t>年</w:t>
      </w:r>
      <w:r>
        <w:rPr>
          <w:spacing w:val="-60"/>
        </w:rPr>
        <w:t> </w:t>
      </w:r>
      <w:r>
        <w:rPr/>
        <w:t>11</w:t>
      </w:r>
      <w:r>
        <w:rPr>
          <w:spacing w:val="-60"/>
        </w:rPr>
        <w:t> </w:t>
      </w:r>
      <w:r>
        <w:rPr/>
        <w:t>月出生，管理学博士，教授。</w:t>
      </w:r>
      <w:r>
        <w:rPr/>
        <w:t> 公司第六届董事会独立董事。现任华南农业大学经济管理学院教授、博士生</w:t>
      </w:r>
    </w:p>
    <w:p>
      <w:pPr>
        <w:pStyle w:val="BodyText"/>
        <w:spacing w:line="357" w:lineRule="auto"/>
        <w:ind w:right="165"/>
        <w:jc w:val="both"/>
      </w:pPr>
      <w:r>
        <w:rPr/>
        <w:t>导师，华南农业大学经济管理学院资源与农业经济系主任、产业经济学硕士点首 席教授。</w:t>
      </w:r>
    </w:p>
    <w:p>
      <w:pPr>
        <w:pStyle w:val="BodyText"/>
        <w:spacing w:line="357" w:lineRule="auto"/>
        <w:ind w:left="780" w:right="146"/>
        <w:jc w:val="left"/>
      </w:pPr>
      <w:r>
        <w:rPr/>
        <w:t>5、孙雄先生， 1951</w:t>
      </w:r>
      <w:r>
        <w:rPr>
          <w:spacing w:val="-60"/>
        </w:rPr>
        <w:t> </w:t>
      </w:r>
      <w:r>
        <w:rPr/>
        <w:t>年</w:t>
      </w:r>
      <w:r>
        <w:rPr>
          <w:spacing w:val="-60"/>
        </w:rPr>
        <w:t> </w:t>
      </w:r>
      <w:r>
        <w:rPr/>
        <w:t>1</w:t>
      </w:r>
      <w:r>
        <w:rPr>
          <w:spacing w:val="-60"/>
        </w:rPr>
        <w:t> </w:t>
      </w:r>
      <w:r>
        <w:rPr/>
        <w:t>月生，本科学历。</w:t>
      </w:r>
      <w:r>
        <w:rPr/>
        <w:t> 公司第六届董事会独立董事。曾任职于广东省人民政府财贸办公室、广东省</w:t>
      </w:r>
    </w:p>
    <w:p>
      <w:pPr>
        <w:pStyle w:val="BodyText"/>
        <w:spacing w:line="357" w:lineRule="auto"/>
        <w:ind w:right="165"/>
        <w:jc w:val="both"/>
      </w:pPr>
      <w:r>
        <w:rPr/>
        <w:t>贸易委员会科员、科长、副处长、处长；广东省广弘资产经营公司副总经理；现 任广东省连锁经营协会会长。</w:t>
      </w:r>
    </w:p>
    <w:p>
      <w:pPr>
        <w:pStyle w:val="BodyText"/>
        <w:spacing w:line="357" w:lineRule="auto"/>
        <w:ind w:left="780" w:right="146"/>
        <w:jc w:val="left"/>
      </w:pPr>
      <w:r>
        <w:rPr/>
        <w:t>6、肖幼美女士，1955</w:t>
      </w:r>
      <w:r>
        <w:rPr>
          <w:spacing w:val="-60"/>
        </w:rPr>
        <w:t> </w:t>
      </w:r>
      <w:r>
        <w:rPr/>
        <w:t>年</w:t>
      </w:r>
      <w:r>
        <w:rPr>
          <w:spacing w:val="-60"/>
        </w:rPr>
        <w:t> </w:t>
      </w:r>
      <w:r>
        <w:rPr/>
        <w:t>2</w:t>
      </w:r>
      <w:r>
        <w:rPr>
          <w:spacing w:val="-60"/>
        </w:rPr>
        <w:t> </w:t>
      </w:r>
      <w:r>
        <w:rPr/>
        <w:t>月生，硕士，高级会计师。</w:t>
      </w:r>
      <w:r>
        <w:rPr/>
        <w:t> 公司第六届董事会独立董事。1971</w:t>
      </w:r>
      <w:r>
        <w:rPr>
          <w:spacing w:val="-60"/>
        </w:rPr>
        <w:t> </w:t>
      </w:r>
      <w:r>
        <w:rPr/>
        <w:t>年</w:t>
      </w:r>
      <w:r>
        <w:rPr>
          <w:spacing w:val="-60"/>
        </w:rPr>
        <w:t> </w:t>
      </w:r>
      <w:r>
        <w:rPr/>
        <w:t>10</w:t>
      </w:r>
      <w:r>
        <w:rPr>
          <w:spacing w:val="-60"/>
        </w:rPr>
        <w:t> </w:t>
      </w:r>
      <w:r>
        <w:rPr/>
        <w:t>月-1979</w:t>
      </w:r>
      <w:r>
        <w:rPr>
          <w:spacing w:val="-60"/>
        </w:rPr>
        <w:t> </w:t>
      </w:r>
      <w:r>
        <w:rPr/>
        <w:t>年</w:t>
      </w:r>
      <w:r>
        <w:rPr>
          <w:spacing w:val="-60"/>
        </w:rPr>
        <w:t> </w:t>
      </w:r>
      <w:r>
        <w:rPr/>
        <w:t>10</w:t>
      </w:r>
      <w:r>
        <w:rPr>
          <w:spacing w:val="-60"/>
        </w:rPr>
        <w:t> </w:t>
      </w:r>
      <w:r>
        <w:rPr/>
        <w:t>月，兰州石油化工机</w:t>
      </w:r>
    </w:p>
    <w:p>
      <w:pPr>
        <w:pStyle w:val="BodyText"/>
        <w:spacing w:line="357" w:lineRule="auto"/>
        <w:ind w:right="105"/>
        <w:jc w:val="both"/>
      </w:pPr>
      <w:r>
        <w:rPr/>
        <w:t>器厂四分厂车间统计核算员；1979</w:t>
      </w:r>
      <w:r>
        <w:rPr>
          <w:spacing w:val="-65"/>
        </w:rPr>
        <w:t> </w:t>
      </w:r>
      <w:r>
        <w:rPr/>
        <w:t>年</w:t>
      </w:r>
      <w:r>
        <w:rPr>
          <w:spacing w:val="-65"/>
        </w:rPr>
        <w:t> </w:t>
      </w:r>
      <w:r>
        <w:rPr/>
        <w:t>10</w:t>
      </w:r>
      <w:r>
        <w:rPr>
          <w:spacing w:val="-65"/>
        </w:rPr>
        <w:t> </w:t>
      </w:r>
      <w:r>
        <w:rPr/>
        <w:t>月-1986</w:t>
      </w:r>
      <w:r>
        <w:rPr>
          <w:spacing w:val="-65"/>
        </w:rPr>
        <w:t> </w:t>
      </w:r>
      <w:r>
        <w:rPr/>
        <w:t>年</w:t>
      </w:r>
      <w:r>
        <w:rPr>
          <w:spacing w:val="-65"/>
        </w:rPr>
        <w:t> </w:t>
      </w:r>
      <w:r>
        <w:rPr/>
        <w:t>9</w:t>
      </w:r>
      <w:r>
        <w:rPr>
          <w:spacing w:val="-65"/>
        </w:rPr>
        <w:t> </w:t>
      </w:r>
      <w:r>
        <w:rPr>
          <w:spacing w:val="-3"/>
        </w:rPr>
        <w:t>月，兰州石油化工机器厂财</w:t>
      </w:r>
      <w:r>
        <w:rPr/>
        <w:t> </w:t>
      </w:r>
      <w:r>
        <w:rPr>
          <w:spacing w:val="-5"/>
        </w:rPr>
        <w:t>务处成本科主办科员；1986</w:t>
      </w:r>
      <w:r>
        <w:rPr>
          <w:spacing w:val="-58"/>
        </w:rPr>
        <w:t> </w:t>
      </w:r>
      <w:r>
        <w:rPr/>
        <w:t>年</w:t>
      </w:r>
      <w:r>
        <w:rPr>
          <w:spacing w:val="-58"/>
        </w:rPr>
        <w:t> </w:t>
      </w:r>
      <w:r>
        <w:rPr/>
        <w:t>9</w:t>
      </w:r>
      <w:r>
        <w:rPr>
          <w:spacing w:val="-58"/>
        </w:rPr>
        <w:t> </w:t>
      </w:r>
      <w:r>
        <w:rPr/>
        <w:t>月-1989</w:t>
      </w:r>
      <w:r>
        <w:rPr>
          <w:spacing w:val="-58"/>
        </w:rPr>
        <w:t> </w:t>
      </w:r>
      <w:r>
        <w:rPr/>
        <w:t>年</w:t>
      </w:r>
      <w:r>
        <w:rPr>
          <w:spacing w:val="-58"/>
        </w:rPr>
        <w:t> </w:t>
      </w:r>
      <w:r>
        <w:rPr/>
        <w:t>5</w:t>
      </w:r>
      <w:r>
        <w:rPr>
          <w:spacing w:val="-58"/>
        </w:rPr>
        <w:t> </w:t>
      </w:r>
      <w:r>
        <w:rPr>
          <w:spacing w:val="-7"/>
        </w:rPr>
        <w:t>月，甘肃省经济管理干部学院；1989</w:t>
      </w:r>
      <w:r>
        <w:rPr/>
        <w:t> 年</w:t>
      </w:r>
      <w:r>
        <w:rPr>
          <w:spacing w:val="-58"/>
        </w:rPr>
        <w:t> </w:t>
      </w:r>
      <w:r>
        <w:rPr/>
        <w:t>5</w:t>
      </w:r>
      <w:r>
        <w:rPr>
          <w:spacing w:val="-58"/>
        </w:rPr>
        <w:t> </w:t>
      </w:r>
      <w:r>
        <w:rPr/>
        <w:t>月-1998</w:t>
      </w:r>
      <w:r>
        <w:rPr>
          <w:spacing w:val="-58"/>
        </w:rPr>
        <w:t> </w:t>
      </w:r>
      <w:r>
        <w:rPr>
          <w:spacing w:val="-4"/>
        </w:rPr>
        <w:t>年，深圳市有色金属财务公司财务部经理；1998</w:t>
      </w:r>
      <w:r>
        <w:rPr>
          <w:spacing w:val="-58"/>
        </w:rPr>
        <w:t> </w:t>
      </w:r>
      <w:r>
        <w:rPr/>
        <w:t>年-2009</w:t>
      </w:r>
      <w:r>
        <w:rPr>
          <w:spacing w:val="-58"/>
        </w:rPr>
        <w:t> </w:t>
      </w:r>
      <w:r>
        <w:rPr>
          <w:spacing w:val="-9"/>
        </w:rPr>
        <w:t>年，深圳市</w:t>
      </w:r>
      <w:r>
        <w:rPr/>
        <w:t> 有色金属财务公司总经理助理、财务负责人；深圳市中金财务顾问有限公司董事 </w:t>
      </w:r>
      <w:r>
        <w:rPr>
          <w:spacing w:val="-2"/>
        </w:rPr>
        <w:t>长；2006-2007，在职香港国际商学院财务管理硕士班。深圳市第三、第四届人民</w:t>
      </w:r>
      <w:r>
        <w:rPr>
          <w:spacing w:val="-103"/>
        </w:rPr>
        <w:t> </w:t>
      </w:r>
      <w:r>
        <w:rPr>
          <w:spacing w:val="-103"/>
        </w:rPr>
      </w:r>
      <w:r>
        <w:rPr/>
        <w:t>代表大会代表。</w:t>
      </w:r>
    </w:p>
    <w:p>
      <w:pPr>
        <w:pStyle w:val="BodyText"/>
        <w:spacing w:line="357" w:lineRule="auto"/>
        <w:ind w:right="165" w:firstLine="480"/>
        <w:jc w:val="both"/>
      </w:pPr>
      <w:r>
        <w:rPr/>
        <w:t>现任：深圳市中金财务顾问有限公司董事长，深圳市中级人民法院司法监督 员；深圳市社会保障基金监督管理委员会委员，中国会计学会会员。</w:t>
      </w:r>
    </w:p>
    <w:p>
      <w:pPr>
        <w:pStyle w:val="BodyText"/>
        <w:spacing w:line="357" w:lineRule="auto" w:before="113"/>
        <w:ind w:left="760" w:right="90"/>
        <w:jc w:val="left"/>
      </w:pPr>
      <w:r>
        <w:rPr/>
        <w:t>7、刘震国先生，1972</w:t>
      </w:r>
      <w:r>
        <w:rPr>
          <w:spacing w:val="-60"/>
        </w:rPr>
        <w:t> </w:t>
      </w:r>
      <w:r>
        <w:rPr/>
        <w:t>年</w:t>
      </w:r>
      <w:r>
        <w:rPr>
          <w:spacing w:val="-60"/>
        </w:rPr>
        <w:t> </w:t>
      </w:r>
      <w:r>
        <w:rPr/>
        <w:t>1</w:t>
      </w:r>
      <w:r>
        <w:rPr>
          <w:spacing w:val="-60"/>
        </w:rPr>
        <w:t> </w:t>
      </w:r>
      <w:r>
        <w:rPr/>
        <w:t>月生，法学学士。</w:t>
      </w:r>
      <w:r>
        <w:rPr/>
        <w:t> 公司第六届董事会独立董事。曾任职于深圳市地方税务局、国信证券股份有</w:t>
      </w:r>
    </w:p>
    <w:p>
      <w:pPr>
        <w:pStyle w:val="BodyText"/>
        <w:spacing w:line="357" w:lineRule="auto"/>
        <w:ind w:right="105"/>
        <w:jc w:val="both"/>
      </w:pPr>
      <w:r>
        <w:rPr/>
        <w:t>限公司，</w:t>
      </w:r>
      <w:r>
        <w:rPr>
          <w:spacing w:val="-41"/>
        </w:rPr>
        <w:t> </w:t>
      </w:r>
      <w:r>
        <w:rPr/>
        <w:t>2002</w:t>
      </w:r>
      <w:r>
        <w:rPr>
          <w:spacing w:val="-60"/>
        </w:rPr>
        <w:t> </w:t>
      </w:r>
      <w:r>
        <w:rPr/>
        <w:t>年</w:t>
      </w:r>
      <w:r>
        <w:rPr>
          <w:spacing w:val="-60"/>
        </w:rPr>
        <w:t> </w:t>
      </w:r>
      <w:r>
        <w:rPr/>
        <w:t>3</w:t>
      </w:r>
      <w:r>
        <w:rPr>
          <w:spacing w:val="-60"/>
        </w:rPr>
        <w:t> </w:t>
      </w:r>
      <w:r>
        <w:rPr>
          <w:spacing w:val="-3"/>
        </w:rPr>
        <w:t>月加盟北京市德恒律师事务所，任深圳分所创始合伙人。现担</w:t>
      </w:r>
      <w:r>
        <w:rPr/>
        <w:t> 任深圳市实益达科技股份有限公司（深交所：002137）、力合股份有限公司（深</w:t>
      </w:r>
      <w:r>
        <w:rPr>
          <w:spacing w:val="-97"/>
        </w:rPr>
        <w:t> </w:t>
      </w:r>
      <w:r>
        <w:rPr>
          <w:spacing w:val="-97"/>
        </w:rPr>
      </w:r>
      <w:r>
        <w:rPr/>
        <w:t>交所：000532）及兰光科技股份有限公司（深交所</w:t>
      </w:r>
      <w:r>
        <w:rPr>
          <w:spacing w:val="-60"/>
        </w:rPr>
        <w:t> </w:t>
      </w:r>
      <w:r>
        <w:rPr/>
        <w:t>000981）的独立董事及深圳市</w:t>
      </w:r>
      <w:r>
        <w:rPr/>
        <w:t> 城市建设开发（集团）公司外部董事。</w:t>
      </w:r>
    </w:p>
    <w:p>
      <w:pPr>
        <w:pStyle w:val="BodyText"/>
        <w:spacing w:line="274" w:lineRule="exact" w:before="0"/>
        <w:ind w:left="780" w:right="90"/>
        <w:jc w:val="left"/>
      </w:pPr>
      <w:r>
        <w:rPr/>
        <w:t>8、万筱宁先生，1963</w:t>
      </w:r>
      <w:r>
        <w:rPr>
          <w:spacing w:val="-60"/>
        </w:rPr>
        <w:t> </w:t>
      </w:r>
      <w:r>
        <w:rPr/>
        <w:t>年</w:t>
      </w:r>
      <w:r>
        <w:rPr>
          <w:spacing w:val="-60"/>
        </w:rPr>
        <w:t> </w:t>
      </w:r>
      <w:r>
        <w:rPr/>
        <w:t>12</w:t>
      </w:r>
      <w:r>
        <w:rPr>
          <w:spacing w:val="-60"/>
        </w:rPr>
        <w:t> </w:t>
      </w:r>
      <w:r>
        <w:rPr/>
        <w:t>月生，博士研究生学历，高级经济师。</w:t>
      </w:r>
    </w:p>
    <w:p>
      <w:pPr>
        <w:spacing w:after="0" w:line="274" w:lineRule="exact"/>
        <w:jc w:val="left"/>
        <w:sectPr>
          <w:headerReference w:type="default" r:id="rId23"/>
          <w:footerReference w:type="default" r:id="rId24"/>
          <w:pgSz w:w="11910" w:h="16840"/>
          <w:pgMar w:header="0" w:footer="1095" w:top="1040" w:bottom="1280" w:left="1680" w:right="1360"/>
          <w:pgNumType w:start="16"/>
        </w:sectPr>
      </w:pPr>
    </w:p>
    <w:p>
      <w:pPr>
        <w:pStyle w:val="BodyText"/>
        <w:spacing w:line="357" w:lineRule="auto" w:before="13"/>
        <w:ind w:right="165" w:firstLine="470"/>
        <w:jc w:val="both"/>
      </w:pPr>
      <w:r>
        <w:rPr/>
        <w:t>曾任深圳粤海公司开发部主管，深圳金田公司企管部项目经理，深圳市委办 公厅综合处主任科员，深圳市商贸投资控股公司资产经营部副部长，深圳市中农 网电子商务有限公司总经理、董事长，深圳市农产品股份有限公司副总经理。现 任公司第六届董事会董事、党委副书记、纪委书记。</w:t>
      </w:r>
    </w:p>
    <w:p>
      <w:pPr>
        <w:pStyle w:val="BodyText"/>
        <w:spacing w:line="357" w:lineRule="auto"/>
        <w:ind w:right="173" w:firstLine="470"/>
        <w:jc w:val="both"/>
      </w:pPr>
      <w:r>
        <w:rPr/>
        <w:t>9、马彦钊先生，1963年9月生，博士研究生，高级会计师，中国注册会计师 协会会员。</w:t>
      </w:r>
    </w:p>
    <w:p>
      <w:pPr>
        <w:pStyle w:val="BodyText"/>
        <w:spacing w:line="274" w:lineRule="exact" w:before="0"/>
        <w:ind w:right="0" w:firstLine="480"/>
        <w:jc w:val="both"/>
      </w:pPr>
      <w:r>
        <w:rPr>
          <w:w w:val="95"/>
        </w:rPr>
        <w:t>曾任南京经济学院会计系讲师，深圳市深宝实业股份有限公司审计部负责人，</w:t>
      </w:r>
      <w:r>
        <w:rPr/>
      </w:r>
    </w:p>
    <w:p>
      <w:pPr>
        <w:pStyle w:val="BodyText"/>
        <w:spacing w:line="357" w:lineRule="auto" w:before="154"/>
        <w:ind w:right="129"/>
        <w:jc w:val="both"/>
      </w:pPr>
      <w:r>
        <w:rPr/>
        <w:t>深圳市投资管理公司会计主管、业务经理、高级会计师，深圳市盐田港集团公司</w:t>
      </w:r>
      <w:r>
        <w:rPr>
          <w:spacing w:val="-91"/>
        </w:rPr>
        <w:t> </w:t>
      </w:r>
      <w:r>
        <w:rPr>
          <w:spacing w:val="-91"/>
        </w:rPr>
      </w:r>
      <w:r>
        <w:rPr/>
        <w:t>董事、财务总监，公司第四、五届董事会董事、财务总监。现任公司第六届董事</w:t>
      </w:r>
      <w:r>
        <w:rPr>
          <w:spacing w:val="-91"/>
        </w:rPr>
        <w:t> </w:t>
      </w:r>
      <w:r>
        <w:rPr>
          <w:spacing w:val="-91"/>
        </w:rPr>
      </w:r>
      <w:r>
        <w:rPr/>
        <w:t>会董事、财务总监。</w:t>
      </w:r>
    </w:p>
    <w:p>
      <w:pPr>
        <w:pStyle w:val="BodyText"/>
        <w:spacing w:line="357" w:lineRule="auto"/>
        <w:ind w:left="780" w:right="146" w:firstLine="74"/>
        <w:jc w:val="left"/>
      </w:pPr>
      <w:r>
        <w:rPr/>
        <w:t>10、祝俊明先生，1964</w:t>
      </w:r>
      <w:r>
        <w:rPr>
          <w:spacing w:val="-60"/>
        </w:rPr>
        <w:t> </w:t>
      </w:r>
      <w:r>
        <w:rPr/>
        <w:t>年</w:t>
      </w:r>
      <w:r>
        <w:rPr>
          <w:spacing w:val="-60"/>
        </w:rPr>
        <w:t> </w:t>
      </w:r>
      <w:r>
        <w:rPr/>
        <w:t>1</w:t>
      </w:r>
      <w:r>
        <w:rPr>
          <w:spacing w:val="-60"/>
        </w:rPr>
        <w:t> </w:t>
      </w:r>
      <w:r>
        <w:rPr/>
        <w:t>月生，硕士学历，经济师。</w:t>
      </w:r>
      <w:r>
        <w:rPr/>
        <w:t> 历任公司董事、副总经理、常务副总经理及总经理等职，现任深圳市粮食集</w:t>
      </w:r>
    </w:p>
    <w:p>
      <w:pPr>
        <w:pStyle w:val="BodyText"/>
        <w:spacing w:line="357" w:lineRule="auto"/>
        <w:ind w:left="780" w:right="3446" w:hanging="480"/>
        <w:jc w:val="left"/>
      </w:pPr>
      <w:r>
        <w:rPr/>
        <w:t>团有限公司董事长、公司第六届董事会董事。 11、孙涛先生，1961</w:t>
      </w:r>
      <w:r>
        <w:rPr>
          <w:spacing w:val="-60"/>
        </w:rPr>
        <w:t> </w:t>
      </w:r>
      <w:r>
        <w:rPr/>
        <w:t>年</w:t>
      </w:r>
      <w:r>
        <w:rPr>
          <w:spacing w:val="-60"/>
        </w:rPr>
        <w:t> </w:t>
      </w:r>
      <w:r>
        <w:rPr/>
        <w:t>3</w:t>
      </w:r>
      <w:r>
        <w:rPr>
          <w:spacing w:val="-60"/>
        </w:rPr>
        <w:t> </w:t>
      </w:r>
      <w:r>
        <w:rPr/>
        <w:t>月生，硕士学历。</w:t>
      </w:r>
    </w:p>
    <w:p>
      <w:pPr>
        <w:pStyle w:val="BodyText"/>
        <w:spacing w:line="357" w:lineRule="auto"/>
        <w:ind w:right="165" w:firstLine="480"/>
        <w:jc w:val="both"/>
      </w:pPr>
      <w:r>
        <w:rPr/>
        <w:t>公司第六届董事会董事。曾任广深铁路股份有限公司总工程师，现任广深铁 路实业发展总公司总经理。</w:t>
      </w:r>
    </w:p>
    <w:p>
      <w:pPr>
        <w:pStyle w:val="BodyText"/>
        <w:spacing w:line="357" w:lineRule="auto"/>
        <w:ind w:left="780" w:right="146"/>
        <w:jc w:val="left"/>
      </w:pPr>
      <w:r>
        <w:rPr/>
        <w:t>12、徐国荣先生，1972</w:t>
      </w:r>
      <w:r>
        <w:rPr>
          <w:spacing w:val="-60"/>
        </w:rPr>
        <w:t> </w:t>
      </w:r>
      <w:r>
        <w:rPr/>
        <w:t>年</w:t>
      </w:r>
      <w:r>
        <w:rPr>
          <w:spacing w:val="-60"/>
        </w:rPr>
        <w:t> </w:t>
      </w:r>
      <w:r>
        <w:rPr/>
        <w:t>10</w:t>
      </w:r>
      <w:r>
        <w:rPr>
          <w:spacing w:val="-60"/>
        </w:rPr>
        <w:t> </w:t>
      </w:r>
      <w:r>
        <w:rPr/>
        <w:t>月生，硕士学历，工程师。</w:t>
      </w:r>
      <w:r>
        <w:rPr/>
        <w:t> 公司第六届董事会董事。现任浙江阳光集团股份有限公司董事，浙江省政协</w:t>
      </w:r>
    </w:p>
    <w:p>
      <w:pPr>
        <w:pStyle w:val="BodyText"/>
        <w:spacing w:line="240" w:lineRule="auto"/>
        <w:ind w:right="0"/>
        <w:jc w:val="both"/>
      </w:pPr>
      <w:r>
        <w:rPr/>
        <w:t>委员，绍兴市人大代表。</w:t>
      </w:r>
    </w:p>
    <w:p>
      <w:pPr>
        <w:pStyle w:val="BodyText"/>
        <w:spacing w:line="357" w:lineRule="auto" w:before="154"/>
        <w:ind w:left="780" w:right="90"/>
        <w:jc w:val="left"/>
      </w:pPr>
      <w:r>
        <w:rPr/>
        <w:t>13、胡翔海先生，1964 年 10</w:t>
      </w:r>
      <w:r>
        <w:rPr>
          <w:spacing w:val="-60"/>
        </w:rPr>
        <w:t> </w:t>
      </w:r>
      <w:r>
        <w:rPr/>
        <w:t>月生，大学本科，讲师。</w:t>
      </w:r>
      <w:r>
        <w:rPr/>
        <w:t> 曾任深圳教育学院讲师，深圳市企业管理干部培训中心主任，深圳市企业管</w:t>
      </w:r>
    </w:p>
    <w:p>
      <w:pPr>
        <w:pStyle w:val="BodyText"/>
        <w:spacing w:line="357" w:lineRule="auto"/>
        <w:ind w:right="129"/>
        <w:jc w:val="both"/>
      </w:pPr>
      <w:r>
        <w:rPr/>
        <w:t>理协会副秘书长，深圳市经发局发展处项目负责人，深圳市免税商品企业公司发</w:t>
      </w:r>
      <w:r>
        <w:rPr>
          <w:spacing w:val="-91"/>
        </w:rPr>
        <w:t> </w:t>
      </w:r>
      <w:r>
        <w:rPr>
          <w:spacing w:val="-91"/>
        </w:rPr>
      </w:r>
      <w:r>
        <w:rPr/>
        <w:t>展部经理、总经理助理，历任公司总经理助理、副总经理，现任公司董事、副总</w:t>
      </w:r>
      <w:r>
        <w:rPr>
          <w:spacing w:val="-93"/>
        </w:rPr>
        <w:t> </w:t>
      </w:r>
      <w:r>
        <w:rPr>
          <w:spacing w:val="-93"/>
        </w:rPr>
      </w:r>
      <w:r>
        <w:rPr/>
        <w:t>经理。</w:t>
      </w:r>
    </w:p>
    <w:p>
      <w:pPr>
        <w:pStyle w:val="Heading5"/>
        <w:spacing w:line="240" w:lineRule="auto" w:before="36"/>
        <w:ind w:right="1110"/>
        <w:jc w:val="left"/>
        <w:rPr>
          <w:b w:val="0"/>
          <w:bCs w:val="0"/>
        </w:rPr>
      </w:pPr>
      <w:r>
        <w:rPr/>
        <w:t>监事简介</w:t>
      </w:r>
      <w:r>
        <w:rPr>
          <w:b w:val="0"/>
          <w:bCs w:val="0"/>
        </w:rPr>
      </w:r>
    </w:p>
    <w:p>
      <w:pPr>
        <w:pStyle w:val="BodyText"/>
        <w:spacing w:line="357" w:lineRule="auto" w:before="203"/>
        <w:ind w:right="105" w:firstLine="480"/>
        <w:jc w:val="both"/>
      </w:pPr>
      <w:r>
        <w:rPr>
          <w:spacing w:val="-5"/>
        </w:rPr>
        <w:t>1、周润国先生，男，1952</w:t>
      </w:r>
      <w:r>
        <w:rPr>
          <w:spacing w:val="-52"/>
        </w:rPr>
        <w:t> </w:t>
      </w:r>
      <w:r>
        <w:rPr/>
        <w:t>年</w:t>
      </w:r>
      <w:r>
        <w:rPr>
          <w:spacing w:val="-52"/>
        </w:rPr>
        <w:t> </w:t>
      </w:r>
      <w:r>
        <w:rPr/>
        <w:t>6</w:t>
      </w:r>
      <w:r>
        <w:rPr>
          <w:spacing w:val="-52"/>
        </w:rPr>
        <w:t> </w:t>
      </w:r>
      <w:r>
        <w:rPr>
          <w:spacing w:val="-4"/>
        </w:rPr>
        <w:t>月出生，籍贯：浙江衢州，湖南大学化工系毕</w:t>
      </w:r>
      <w:r>
        <w:rPr/>
        <w:t> 业。</w:t>
      </w:r>
    </w:p>
    <w:p>
      <w:pPr>
        <w:pStyle w:val="BodyText"/>
        <w:spacing w:line="357" w:lineRule="auto"/>
        <w:ind w:right="165" w:firstLine="480"/>
        <w:jc w:val="both"/>
      </w:pPr>
      <w:r>
        <w:rPr/>
        <w:t>曾于湖南衡南化工厂、湖南长沙有机化工厂、深圳市石油化学工业公司、深 圳市工业办、经济发展局、深圳市商贸投资控股公司、深圳市能源集团任职；公 司第五届监事会监事、监事会主席，现任公司第六届监事会监事、监事会主席。</w:t>
      </w:r>
    </w:p>
    <w:p>
      <w:pPr>
        <w:spacing w:after="0" w:line="357" w:lineRule="auto"/>
        <w:jc w:val="both"/>
        <w:sectPr>
          <w:headerReference w:type="default" r:id="rId25"/>
          <w:footerReference w:type="default" r:id="rId26"/>
          <w:pgSz w:w="11910" w:h="16840"/>
          <w:pgMar w:header="0" w:footer="1095" w:top="1100" w:bottom="1280" w:left="1680" w:right="1360"/>
          <w:pgNumType w:start="17"/>
        </w:sectPr>
      </w:pPr>
    </w:p>
    <w:p>
      <w:pPr>
        <w:pStyle w:val="BodyText"/>
        <w:spacing w:line="357" w:lineRule="auto" w:before="0"/>
        <w:ind w:right="225" w:firstLine="480"/>
        <w:jc w:val="both"/>
      </w:pPr>
      <w:r>
        <w:rPr>
          <w:spacing w:val="-5"/>
        </w:rPr>
        <w:t>2、刘岁义先生，男，1966</w:t>
      </w:r>
      <w:r>
        <w:rPr>
          <w:spacing w:val="-53"/>
        </w:rPr>
        <w:t> </w:t>
      </w:r>
      <w:r>
        <w:rPr/>
        <w:t>年</w:t>
      </w:r>
      <w:r>
        <w:rPr>
          <w:spacing w:val="-53"/>
        </w:rPr>
        <w:t> </w:t>
      </w:r>
      <w:r>
        <w:rPr/>
        <w:t>1</w:t>
      </w:r>
      <w:r>
        <w:rPr>
          <w:spacing w:val="-53"/>
        </w:rPr>
        <w:t> </w:t>
      </w:r>
      <w:r>
        <w:rPr>
          <w:spacing w:val="-4"/>
        </w:rPr>
        <w:t>月出生，籍贯：江西吉水，华东地质学院勘查</w:t>
      </w:r>
      <w:r>
        <w:rPr/>
        <w:t> 地球物理系毕业，注册会计师、审计师、会计师。</w:t>
      </w:r>
    </w:p>
    <w:p>
      <w:pPr>
        <w:pStyle w:val="BodyText"/>
        <w:spacing w:line="357" w:lineRule="auto"/>
        <w:ind w:right="285" w:firstLine="480"/>
        <w:jc w:val="both"/>
      </w:pPr>
      <w:r>
        <w:rPr/>
        <w:t>曾于江西吉安地区审计事务所、深圳市正风利富会计师事务所、深圳市会计 师事务所任职，曾任公司计财部副部长，第五届监事会监事、审计部部长，现任 公司第六届监事会监事、审计部部长、风险控制办公室主任。</w:t>
      </w:r>
    </w:p>
    <w:p>
      <w:pPr>
        <w:pStyle w:val="BodyText"/>
        <w:spacing w:line="357" w:lineRule="auto"/>
        <w:ind w:right="225" w:firstLine="480"/>
        <w:jc w:val="both"/>
      </w:pPr>
      <w:r>
        <w:rPr>
          <w:spacing w:val="-5"/>
        </w:rPr>
        <w:t>3、王道海先生，男，1966</w:t>
      </w:r>
      <w:r>
        <w:rPr>
          <w:spacing w:val="-53"/>
        </w:rPr>
        <w:t> </w:t>
      </w:r>
      <w:r>
        <w:rPr/>
        <w:t>年</w:t>
      </w:r>
      <w:r>
        <w:rPr>
          <w:spacing w:val="-53"/>
        </w:rPr>
        <w:t> </w:t>
      </w:r>
      <w:r>
        <w:rPr/>
        <w:t>3</w:t>
      </w:r>
      <w:r>
        <w:rPr>
          <w:spacing w:val="-53"/>
        </w:rPr>
        <w:t> </w:t>
      </w:r>
      <w:r>
        <w:rPr>
          <w:spacing w:val="-4"/>
        </w:rPr>
        <w:t>月出生，籍贯：湖南衡阳，中国西南财经大学</w:t>
      </w:r>
      <w:r>
        <w:rPr/>
        <w:t> 会计学硕士学位，高级会计师。</w:t>
      </w:r>
    </w:p>
    <w:p>
      <w:pPr>
        <w:pStyle w:val="BodyText"/>
        <w:spacing w:line="357" w:lineRule="auto"/>
        <w:ind w:right="285" w:firstLine="480"/>
        <w:jc w:val="both"/>
      </w:pPr>
      <w:r>
        <w:rPr/>
        <w:t>公司第六届监事会监事。曾于深圳市沙河实业（集团）有限公司、深圳赛格 高技术投资股份有限公司、金田实业（集团）股份有限公司任职；现任深圳市远 致投资有限公司财务总监及财务部部长。</w:t>
      </w:r>
    </w:p>
    <w:p>
      <w:pPr>
        <w:pStyle w:val="BodyText"/>
        <w:spacing w:line="357" w:lineRule="auto"/>
        <w:ind w:right="225" w:firstLine="480"/>
        <w:jc w:val="both"/>
      </w:pPr>
      <w:r>
        <w:rPr/>
        <w:t>4、高巍先生，男，1966</w:t>
      </w:r>
      <w:r>
        <w:rPr>
          <w:spacing w:val="-60"/>
        </w:rPr>
        <w:t> </w:t>
      </w:r>
      <w:r>
        <w:rPr/>
        <w:t>年</w:t>
      </w:r>
      <w:r>
        <w:rPr>
          <w:spacing w:val="-60"/>
        </w:rPr>
        <w:t> </w:t>
      </w:r>
      <w:r>
        <w:rPr/>
        <w:t>10</w:t>
      </w:r>
      <w:r>
        <w:rPr>
          <w:spacing w:val="-60"/>
        </w:rPr>
        <w:t> </w:t>
      </w:r>
      <w:r>
        <w:rPr/>
        <w:t>月出生，籍贯：山东，中国社会科学院研究生</w:t>
      </w:r>
      <w:r>
        <w:rPr/>
        <w:t> 院新闻硕士研究生毕业。</w:t>
      </w:r>
    </w:p>
    <w:p>
      <w:pPr>
        <w:pStyle w:val="BodyText"/>
        <w:spacing w:line="357" w:lineRule="auto"/>
        <w:ind w:right="285" w:firstLine="480"/>
        <w:jc w:val="both"/>
      </w:pPr>
      <w:r>
        <w:rPr/>
        <w:t>公司第六届监事会职工监事。曾于深圳商报社任职，现任公司监事会办公室 主任、党群工作部部长。</w:t>
      </w:r>
    </w:p>
    <w:p>
      <w:pPr>
        <w:pStyle w:val="BodyText"/>
        <w:spacing w:line="357" w:lineRule="auto"/>
        <w:ind w:left="780" w:right="686"/>
        <w:jc w:val="left"/>
        <w:rPr>
          <w:rFonts w:ascii="Microsoft JhengHei" w:hAnsi="Microsoft JhengHei" w:cs="Microsoft JhengHei" w:eastAsia="Microsoft JhengHei" w:hint="default"/>
        </w:rPr>
      </w:pPr>
      <w:r>
        <w:rPr/>
        <w:t>5、林映文女士，1978</w:t>
      </w:r>
      <w:r>
        <w:rPr>
          <w:spacing w:val="-60"/>
        </w:rPr>
        <w:t> </w:t>
      </w:r>
      <w:r>
        <w:rPr/>
        <w:t>年</w:t>
      </w:r>
      <w:r>
        <w:rPr>
          <w:spacing w:val="-60"/>
        </w:rPr>
        <w:t> </w:t>
      </w:r>
      <w:r>
        <w:rPr/>
        <w:t>11</w:t>
      </w:r>
      <w:r>
        <w:rPr>
          <w:spacing w:val="-60"/>
        </w:rPr>
        <w:t> </w:t>
      </w:r>
      <w:r>
        <w:rPr/>
        <w:t>月出生，籍贯：广东，中山大学本科毕业。</w:t>
      </w:r>
      <w:r>
        <w:rPr/>
        <w:t> 公司第六届监事会职工监事。现任公司总经理办公室高级文秘。 </w:t>
      </w:r>
      <w:r>
        <w:rPr>
          <w:rFonts w:ascii="Microsoft JhengHei" w:hAnsi="Microsoft JhengHei" w:cs="Microsoft JhengHei" w:eastAsia="Microsoft JhengHei" w:hint="default"/>
          <w:b/>
          <w:bCs/>
        </w:rPr>
        <w:t>高级管理人员简介</w:t>
      </w:r>
      <w:r>
        <w:rPr>
          <w:rFonts w:ascii="Microsoft JhengHei" w:hAnsi="Microsoft JhengHei" w:cs="Microsoft JhengHei" w:eastAsia="Microsoft JhengHei" w:hint="default"/>
        </w:rPr>
      </w:r>
    </w:p>
    <w:p>
      <w:pPr>
        <w:spacing w:line="388" w:lineRule="exact" w:before="0"/>
        <w:ind w:left="780" w:right="68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1、曾湃先生，</w:t>
      </w:r>
      <w:r>
        <w:rPr>
          <w:rFonts w:ascii="Microsoft JhengHei" w:hAnsi="Microsoft JhengHei" w:cs="Microsoft JhengHei" w:eastAsia="Microsoft JhengHei" w:hint="default"/>
          <w:b/>
          <w:bCs/>
          <w:sz w:val="24"/>
          <w:szCs w:val="24"/>
        </w:rPr>
        <w:t>简历详见“董事简介”。</w:t>
      </w:r>
      <w:r>
        <w:rPr>
          <w:rFonts w:ascii="Microsoft JhengHei" w:hAnsi="Microsoft JhengHei" w:cs="Microsoft JhengHei" w:eastAsia="Microsoft JhengHei" w:hint="default"/>
          <w:sz w:val="24"/>
          <w:szCs w:val="24"/>
        </w:rPr>
      </w:r>
    </w:p>
    <w:p>
      <w:pPr>
        <w:spacing w:before="50"/>
        <w:ind w:left="780" w:right="68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2、胡翔海先生，</w:t>
      </w:r>
      <w:r>
        <w:rPr>
          <w:rFonts w:ascii="Microsoft JhengHei" w:hAnsi="Microsoft JhengHei" w:cs="Microsoft JhengHei" w:eastAsia="Microsoft JhengHei" w:hint="default"/>
          <w:b/>
          <w:bCs/>
          <w:sz w:val="24"/>
          <w:szCs w:val="24"/>
        </w:rPr>
        <w:t>简历详见“董事简介”。</w:t>
      </w:r>
      <w:r>
        <w:rPr>
          <w:rFonts w:ascii="Microsoft JhengHei" w:hAnsi="Microsoft JhengHei" w:cs="Microsoft JhengHei" w:eastAsia="Microsoft JhengHei" w:hint="default"/>
          <w:sz w:val="24"/>
          <w:szCs w:val="24"/>
        </w:rPr>
      </w:r>
    </w:p>
    <w:p>
      <w:pPr>
        <w:pStyle w:val="BodyText"/>
        <w:spacing w:line="357" w:lineRule="auto" w:before="126"/>
        <w:ind w:left="780" w:right="266"/>
        <w:jc w:val="left"/>
      </w:pPr>
      <w:r>
        <w:rPr/>
        <w:t>3、陈小华先生，男，1966</w:t>
      </w:r>
      <w:r>
        <w:rPr>
          <w:spacing w:val="-60"/>
        </w:rPr>
        <w:t> </w:t>
      </w:r>
      <w:r>
        <w:rPr/>
        <w:t>年</w:t>
      </w:r>
      <w:r>
        <w:rPr>
          <w:spacing w:val="-60"/>
        </w:rPr>
        <w:t> </w:t>
      </w:r>
      <w:r>
        <w:rPr/>
        <w:t>3</w:t>
      </w:r>
      <w:r>
        <w:rPr>
          <w:spacing w:val="-60"/>
        </w:rPr>
        <w:t> </w:t>
      </w:r>
      <w:r>
        <w:rPr/>
        <w:t>月生，江西人，硕士，经济师。</w:t>
      </w:r>
      <w:r>
        <w:rPr/>
        <w:t> 曾任公司秘书科科长、董事会办公室副主任、主任、董事会秘书、董事、副</w:t>
      </w:r>
    </w:p>
    <w:p>
      <w:pPr>
        <w:pStyle w:val="BodyText"/>
        <w:spacing w:line="240" w:lineRule="auto"/>
        <w:ind w:right="686"/>
        <w:jc w:val="left"/>
      </w:pPr>
      <w:r>
        <w:rPr/>
        <w:t>总经理；现任公司副总经理。</w:t>
      </w:r>
    </w:p>
    <w:p>
      <w:pPr>
        <w:pStyle w:val="BodyText"/>
        <w:spacing w:line="357" w:lineRule="auto" w:before="154"/>
        <w:ind w:left="780" w:right="86"/>
        <w:jc w:val="left"/>
      </w:pPr>
      <w:r>
        <w:rPr/>
        <w:t>4、钟辉红先生，男，1970</w:t>
      </w:r>
      <w:r>
        <w:rPr>
          <w:spacing w:val="-60"/>
        </w:rPr>
        <w:t> </w:t>
      </w:r>
      <w:r>
        <w:rPr/>
        <w:t>年</w:t>
      </w:r>
      <w:r>
        <w:rPr>
          <w:spacing w:val="-60"/>
        </w:rPr>
        <w:t> </w:t>
      </w:r>
      <w:r>
        <w:rPr/>
        <w:t>9</w:t>
      </w:r>
      <w:r>
        <w:rPr>
          <w:spacing w:val="-60"/>
        </w:rPr>
        <w:t> </w:t>
      </w:r>
      <w:r>
        <w:rPr/>
        <w:t>月生，籍贯：江西，硕士学历，高级工程师。</w:t>
      </w:r>
      <w:r>
        <w:rPr/>
        <w:t> 曾任深圳光明建筑设计室助理工程师、公司高级工程师、总经理助理、深圳</w:t>
      </w:r>
    </w:p>
    <w:p>
      <w:pPr>
        <w:pStyle w:val="BodyText"/>
        <w:spacing w:line="357" w:lineRule="auto"/>
        <w:ind w:left="780" w:right="213" w:hanging="480"/>
        <w:jc w:val="left"/>
      </w:pPr>
      <w:r>
        <w:rPr/>
        <w:t>市海吉星国际农产品物流管理有限公司董事长；现任公司副总经理。 </w:t>
      </w:r>
      <w:r>
        <w:rPr>
          <w:spacing w:val="-4"/>
        </w:rPr>
        <w:t>5、张键先生，男，1973</w:t>
      </w:r>
      <w:r>
        <w:rPr>
          <w:spacing w:val="-57"/>
        </w:rPr>
        <w:t> </w:t>
      </w:r>
      <w:r>
        <w:rPr/>
        <w:t>年</w:t>
      </w:r>
      <w:r>
        <w:rPr>
          <w:spacing w:val="-57"/>
        </w:rPr>
        <w:t> </w:t>
      </w:r>
      <w:r>
        <w:rPr/>
        <w:t>4</w:t>
      </w:r>
      <w:r>
        <w:rPr>
          <w:spacing w:val="-57"/>
        </w:rPr>
        <w:t> </w:t>
      </w:r>
      <w:r>
        <w:rPr>
          <w:spacing w:val="-4"/>
        </w:rPr>
        <w:t>月生，籍贯：福建，硕士学历，经济师，高级人</w:t>
      </w:r>
    </w:p>
    <w:p>
      <w:pPr>
        <w:pStyle w:val="BodyText"/>
        <w:spacing w:line="357" w:lineRule="auto"/>
        <w:ind w:left="780" w:right="266" w:hanging="480"/>
        <w:jc w:val="left"/>
      </w:pPr>
      <w:r>
        <w:rPr/>
        <w:t>力资源管理师。 曾任深圳市机械设备进出口公司业务主办、长驻深圳市机械设备进出口公司</w:t>
      </w:r>
    </w:p>
    <w:p>
      <w:pPr>
        <w:pStyle w:val="BodyText"/>
        <w:spacing w:line="357" w:lineRule="auto"/>
        <w:ind w:right="266"/>
        <w:jc w:val="left"/>
      </w:pPr>
      <w:r>
        <w:rPr/>
        <w:t>营业代表、深圳市逸康医疗仪器有限公司总经理助理、公司人力资源部副部长、 部长、团委书记；深圳市深宝实业股份有限公司董事，现任公司副总经理。</w:t>
      </w:r>
    </w:p>
    <w:p>
      <w:pPr>
        <w:spacing w:after="0" w:line="357" w:lineRule="auto"/>
        <w:jc w:val="left"/>
        <w:sectPr>
          <w:headerReference w:type="default" r:id="rId27"/>
          <w:footerReference w:type="default" r:id="rId28"/>
          <w:pgSz w:w="11910" w:h="16840"/>
          <w:pgMar w:header="0" w:footer="1095" w:top="1040" w:bottom="1280" w:left="1680" w:right="1240"/>
          <w:pgNumType w:start="18"/>
        </w:sectPr>
      </w:pPr>
    </w:p>
    <w:p>
      <w:pPr>
        <w:spacing w:line="354" w:lineRule="exact" w:before="0"/>
        <w:ind w:left="780" w:right="68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6、马彦钊先生，</w:t>
      </w:r>
      <w:r>
        <w:rPr>
          <w:rFonts w:ascii="Microsoft JhengHei" w:hAnsi="Microsoft JhengHei" w:cs="Microsoft JhengHei" w:eastAsia="Microsoft JhengHei" w:hint="default"/>
          <w:b/>
          <w:bCs/>
          <w:sz w:val="24"/>
          <w:szCs w:val="24"/>
        </w:rPr>
        <w:t>简历详见“董事简介”。</w:t>
      </w:r>
      <w:r>
        <w:rPr>
          <w:rFonts w:ascii="Microsoft JhengHei" w:hAnsi="Microsoft JhengHei" w:cs="Microsoft JhengHei" w:eastAsia="Microsoft JhengHei" w:hint="default"/>
          <w:sz w:val="24"/>
          <w:szCs w:val="24"/>
        </w:rPr>
      </w:r>
    </w:p>
    <w:p>
      <w:pPr>
        <w:pStyle w:val="BodyText"/>
        <w:spacing w:line="240" w:lineRule="auto" w:before="126"/>
        <w:ind w:left="780" w:right="686"/>
        <w:jc w:val="left"/>
      </w:pPr>
      <w:r>
        <w:rPr/>
        <w:t>7、刘雄佳先生，男，</w:t>
      </w:r>
      <w:r>
        <w:rPr>
          <w:rFonts w:ascii="Times New Roman" w:hAnsi="Times New Roman" w:cs="Times New Roman" w:eastAsia="Times New Roman" w:hint="default"/>
        </w:rPr>
        <w:t>1972 </w:t>
      </w:r>
      <w:r>
        <w:rPr/>
        <w:t>年</w:t>
      </w:r>
      <w:r>
        <w:rPr>
          <w:spacing w:val="-60"/>
        </w:rPr>
        <w:t> </w:t>
      </w:r>
      <w:r>
        <w:rPr>
          <w:rFonts w:ascii="Times New Roman" w:hAnsi="Times New Roman" w:cs="Times New Roman" w:eastAsia="Times New Roman" w:hint="default"/>
        </w:rPr>
        <w:t>1 </w:t>
      </w:r>
      <w:r>
        <w:rPr/>
        <w:t>月生，经济学硕士、经济师。</w:t>
      </w:r>
    </w:p>
    <w:p>
      <w:pPr>
        <w:pStyle w:val="BodyText"/>
        <w:spacing w:line="240" w:lineRule="auto" w:before="135"/>
        <w:ind w:left="780" w:right="86"/>
        <w:jc w:val="left"/>
        <w:rPr>
          <w:rFonts w:ascii="Times New Roman" w:hAnsi="Times New Roman" w:cs="Times New Roman" w:eastAsia="Times New Roman" w:hint="default"/>
        </w:rPr>
      </w:pPr>
      <w:r>
        <w:rPr>
          <w:rFonts w:ascii="Times New Roman" w:hAnsi="Times New Roman" w:cs="Times New Roman" w:eastAsia="Times New Roman" w:hint="default"/>
        </w:rPr>
        <w:t>2002 </w:t>
      </w:r>
      <w:r>
        <w:rPr/>
        <w:t>年</w:t>
      </w:r>
      <w:r>
        <w:rPr>
          <w:spacing w:val="-60"/>
        </w:rPr>
        <w:t> </w:t>
      </w:r>
      <w:r>
        <w:rPr>
          <w:rFonts w:ascii="Times New Roman" w:hAnsi="Times New Roman" w:cs="Times New Roman" w:eastAsia="Times New Roman" w:hint="default"/>
        </w:rPr>
        <w:t>2 </w:t>
      </w:r>
      <w:r>
        <w:rPr/>
        <w:t>月至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8 </w:t>
      </w:r>
      <w:r>
        <w:rPr/>
        <w:t>月任深圳市深宝实业股份有限公司董事会秘书</w:t>
      </w:r>
      <w:r>
        <w:rPr>
          <w:spacing w:val="-120"/>
        </w:rPr>
        <w:t>。</w:t>
      </w:r>
      <w:r>
        <w:rPr>
          <w:rFonts w:ascii="Times New Roman" w:hAnsi="Times New Roman" w:cs="Times New Roman" w:eastAsia="Times New Roman" w:hint="default"/>
        </w:rPr>
        <w:t>2005</w:t>
      </w:r>
    </w:p>
    <w:p>
      <w:pPr>
        <w:spacing w:line="283" w:lineRule="auto" w:before="135"/>
        <w:ind w:left="780" w:right="26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年至</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年连续四年被评选为《新财富》金牌董秘；现任公司董事会秘书。 </w:t>
      </w:r>
      <w:r>
        <w:rPr>
          <w:rFonts w:ascii="Microsoft JhengHei" w:hAnsi="Microsoft JhengHei" w:cs="Microsoft JhengHei" w:eastAsia="Microsoft JhengHei" w:hint="default"/>
          <w:b/>
          <w:bCs/>
          <w:sz w:val="24"/>
          <w:szCs w:val="24"/>
        </w:rPr>
        <w:t>四、报告期内，董事、监事及高级管理人员变更情况</w:t>
      </w:r>
      <w:r>
        <w:rPr>
          <w:rFonts w:ascii="Microsoft JhengHei" w:hAnsi="Microsoft JhengHei" w:cs="Microsoft JhengHei" w:eastAsia="Microsoft JhengHei" w:hint="default"/>
          <w:sz w:val="24"/>
          <w:szCs w:val="24"/>
        </w:rPr>
      </w:r>
    </w:p>
    <w:p>
      <w:pPr>
        <w:pStyle w:val="BodyText"/>
        <w:spacing w:line="357" w:lineRule="auto" w:before="69"/>
        <w:ind w:right="225" w:firstLine="480"/>
        <w:jc w:val="both"/>
      </w:pPr>
      <w:r>
        <w:rPr/>
        <w:t>2009</w:t>
      </w:r>
      <w:r>
        <w:rPr>
          <w:spacing w:val="-60"/>
        </w:rPr>
        <w:t> </w:t>
      </w:r>
      <w:r>
        <w:rPr/>
        <w:t>年</w:t>
      </w:r>
      <w:r>
        <w:rPr>
          <w:spacing w:val="-60"/>
        </w:rPr>
        <w:t> </w:t>
      </w:r>
      <w:r>
        <w:rPr/>
        <w:t>3</w:t>
      </w:r>
      <w:r>
        <w:rPr>
          <w:spacing w:val="-60"/>
        </w:rPr>
        <w:t> </w:t>
      </w:r>
      <w:r>
        <w:rPr/>
        <w:t>月</w:t>
      </w:r>
      <w:r>
        <w:rPr>
          <w:spacing w:val="-60"/>
        </w:rPr>
        <w:t> </w:t>
      </w:r>
      <w:r>
        <w:rPr/>
        <w:t>10</w:t>
      </w:r>
      <w:r>
        <w:rPr>
          <w:spacing w:val="-60"/>
        </w:rPr>
        <w:t> </w:t>
      </w:r>
      <w:r>
        <w:rPr/>
        <w:t>日召开的公司</w:t>
      </w:r>
      <w:r>
        <w:rPr>
          <w:spacing w:val="-60"/>
        </w:rPr>
        <w:t> </w:t>
      </w:r>
      <w:r>
        <w:rPr/>
        <w:t>2009</w:t>
      </w:r>
      <w:r>
        <w:rPr>
          <w:spacing w:val="-60"/>
        </w:rPr>
        <w:t> </w:t>
      </w:r>
      <w:r>
        <w:rPr/>
        <w:t>年度第一次临时股东大会上，选举周润国</w:t>
      </w:r>
      <w:r>
        <w:rPr/>
        <w:t> 先生为公司第五届监事会监事，并被第五届监事会监事会选为监事会主席；谢海</w:t>
      </w:r>
      <w:r>
        <w:rPr>
          <w:spacing w:val="-91"/>
        </w:rPr>
        <w:t> </w:t>
      </w:r>
      <w:r>
        <w:rPr>
          <w:spacing w:val="-91"/>
        </w:rPr>
      </w:r>
      <w:r>
        <w:rPr/>
        <w:t>明先生因退休不再任公司监事。</w:t>
      </w:r>
    </w:p>
    <w:p>
      <w:pPr>
        <w:pStyle w:val="BodyText"/>
        <w:spacing w:line="357" w:lineRule="auto"/>
        <w:ind w:right="86" w:firstLine="480"/>
        <w:jc w:val="left"/>
      </w:pPr>
      <w:r>
        <w:rPr/>
        <w:t>2009</w:t>
      </w:r>
      <w:r>
        <w:rPr>
          <w:spacing w:val="-60"/>
        </w:rPr>
        <w:t> </w:t>
      </w:r>
      <w:r>
        <w:rPr/>
        <w:t>年</w:t>
      </w:r>
      <w:r>
        <w:rPr>
          <w:spacing w:val="-60"/>
        </w:rPr>
        <w:t> </w:t>
      </w:r>
      <w:r>
        <w:rPr/>
        <w:t>3</w:t>
      </w:r>
      <w:r>
        <w:rPr>
          <w:spacing w:val="-60"/>
        </w:rPr>
        <w:t> </w:t>
      </w:r>
      <w:r>
        <w:rPr/>
        <w:t>月</w:t>
      </w:r>
      <w:r>
        <w:rPr>
          <w:spacing w:val="-60"/>
        </w:rPr>
        <w:t> </w:t>
      </w:r>
      <w:r>
        <w:rPr/>
        <w:t>30</w:t>
      </w:r>
      <w:r>
        <w:rPr>
          <w:spacing w:val="-60"/>
        </w:rPr>
        <w:t> </w:t>
      </w:r>
      <w:r>
        <w:rPr/>
        <w:t>日召开的公司第五届董事会会议上，祝俊明先生因组织调动，</w:t>
      </w:r>
      <w:r>
        <w:rPr/>
        <w:t> 提出辞去公司总经理职务，董事会经审议，同意其辞职申请。同时，同意由陈少</w:t>
      </w:r>
      <w:r>
        <w:rPr>
          <w:spacing w:val="-91"/>
        </w:rPr>
        <w:t> </w:t>
      </w:r>
      <w:r>
        <w:rPr>
          <w:spacing w:val="-91"/>
        </w:rPr>
      </w:r>
      <w:r>
        <w:rPr/>
        <w:t>群董事长兼任公司总经理职务。</w:t>
      </w:r>
    </w:p>
    <w:p>
      <w:pPr>
        <w:pStyle w:val="BodyText"/>
        <w:spacing w:line="357" w:lineRule="auto"/>
        <w:ind w:right="211" w:firstLine="480"/>
        <w:jc w:val="left"/>
      </w:pPr>
      <w:r>
        <w:rPr/>
        <w:t>2009</w:t>
      </w:r>
      <w:r>
        <w:rPr>
          <w:spacing w:val="-58"/>
        </w:rPr>
        <w:t> </w:t>
      </w:r>
      <w:r>
        <w:rPr/>
        <w:t>年</w:t>
      </w:r>
      <w:r>
        <w:rPr>
          <w:spacing w:val="-58"/>
        </w:rPr>
        <w:t> </w:t>
      </w:r>
      <w:r>
        <w:rPr/>
        <w:t>3</w:t>
      </w:r>
      <w:r>
        <w:rPr>
          <w:spacing w:val="-58"/>
        </w:rPr>
        <w:t> </w:t>
      </w:r>
      <w:r>
        <w:rPr/>
        <w:t>月</w:t>
      </w:r>
      <w:r>
        <w:rPr>
          <w:spacing w:val="-58"/>
        </w:rPr>
        <w:t> </w:t>
      </w:r>
      <w:r>
        <w:rPr/>
        <w:t>10</w:t>
      </w:r>
      <w:r>
        <w:rPr>
          <w:spacing w:val="-58"/>
        </w:rPr>
        <w:t> </w:t>
      </w:r>
      <w:r>
        <w:rPr>
          <w:spacing w:val="-5"/>
        </w:rPr>
        <w:t>日召开的公司职工代表大会上，选举高巍为第五届监事会职工</w:t>
      </w:r>
      <w:r>
        <w:rPr/>
        <w:t> 监事，陈凤琴女士因退休不再任公司职工监事。</w:t>
      </w:r>
    </w:p>
    <w:p>
      <w:pPr>
        <w:pStyle w:val="BodyText"/>
        <w:spacing w:line="357" w:lineRule="auto"/>
        <w:ind w:right="86" w:firstLine="480"/>
        <w:jc w:val="left"/>
      </w:pPr>
      <w:r>
        <w:rPr/>
        <w:t>因公司第五届董事会任期届满，根据《公司法》、《公司章程》的有关规定 </w:t>
      </w:r>
      <w:r>
        <w:rPr>
          <w:spacing w:val="-5"/>
        </w:rPr>
        <w:t>进行换届。2009</w:t>
      </w:r>
      <w:r>
        <w:rPr>
          <w:spacing w:val="-59"/>
        </w:rPr>
        <w:t> </w:t>
      </w:r>
      <w:r>
        <w:rPr/>
        <w:t>年</w:t>
      </w:r>
      <w:r>
        <w:rPr>
          <w:spacing w:val="-59"/>
        </w:rPr>
        <w:t> </w:t>
      </w:r>
      <w:r>
        <w:rPr/>
        <w:t>12</w:t>
      </w:r>
      <w:r>
        <w:rPr>
          <w:spacing w:val="-59"/>
        </w:rPr>
        <w:t> </w:t>
      </w:r>
      <w:r>
        <w:rPr/>
        <w:t>月</w:t>
      </w:r>
      <w:r>
        <w:rPr>
          <w:spacing w:val="-59"/>
        </w:rPr>
        <w:t> </w:t>
      </w:r>
      <w:r>
        <w:rPr/>
        <w:t>18</w:t>
      </w:r>
      <w:r>
        <w:rPr>
          <w:spacing w:val="-59"/>
        </w:rPr>
        <w:t> </w:t>
      </w:r>
      <w:r>
        <w:rPr>
          <w:spacing w:val="-8"/>
        </w:rPr>
        <w:t>日，经公司</w:t>
      </w:r>
      <w:r>
        <w:rPr>
          <w:spacing w:val="-59"/>
        </w:rPr>
        <w:t> </w:t>
      </w:r>
      <w:r>
        <w:rPr/>
        <w:t>2009</w:t>
      </w:r>
      <w:r>
        <w:rPr>
          <w:spacing w:val="-59"/>
        </w:rPr>
        <w:t> </w:t>
      </w:r>
      <w:r>
        <w:rPr>
          <w:spacing w:val="-3"/>
        </w:rPr>
        <w:t>年第六次临时股东大会表决通过，选</w:t>
      </w:r>
      <w:r>
        <w:rPr>
          <w:spacing w:val="-118"/>
        </w:rPr>
        <w:t> </w:t>
      </w:r>
      <w:r>
        <w:rPr>
          <w:spacing w:val="-118"/>
        </w:rPr>
      </w:r>
      <w:r>
        <w:rPr>
          <w:spacing w:val="3"/>
        </w:rPr>
        <w:t>举陈少群先生、曾湃先生、汪兴益先生、孙良媛女士、孙雄先生、肖幼美女士、</w:t>
      </w:r>
      <w:r>
        <w:rPr>
          <w:spacing w:val="-96"/>
        </w:rPr>
        <w:t> </w:t>
      </w:r>
      <w:r>
        <w:rPr>
          <w:spacing w:val="-96"/>
        </w:rPr>
      </w:r>
      <w:r>
        <w:rPr>
          <w:spacing w:val="3"/>
        </w:rPr>
        <w:t>刘震国先生、万筱宁先生、马彦钊先生、祝俊明先生、孙涛先生、徐国荣先生、</w:t>
      </w:r>
      <w:r>
        <w:rPr>
          <w:spacing w:val="-96"/>
        </w:rPr>
        <w:t> </w:t>
      </w:r>
      <w:r>
        <w:rPr>
          <w:spacing w:val="-96"/>
        </w:rPr>
      </w:r>
      <w:r>
        <w:rPr>
          <w:w w:val="95"/>
        </w:rPr>
        <w:t>胡翔海先生为公司第六届董事会董事，其中汪兴益先生、孙良媛女士、孙雄先生、</w:t>
      </w:r>
      <w:r>
        <w:rPr>
          <w:spacing w:val="23"/>
          <w:w w:val="95"/>
        </w:rPr>
        <w:t> </w:t>
      </w:r>
      <w:r>
        <w:rPr>
          <w:spacing w:val="23"/>
          <w:w w:val="95"/>
        </w:rPr>
      </w:r>
      <w:r>
        <w:rPr>
          <w:w w:val="95"/>
        </w:rPr>
        <w:t>肖幼美女士、刘震国先生等五人为公司第六届董事会独立董事；选举周润国先生、</w:t>
      </w:r>
      <w:r>
        <w:rPr>
          <w:spacing w:val="24"/>
          <w:w w:val="95"/>
        </w:rPr>
        <w:t> </w:t>
      </w:r>
      <w:r>
        <w:rPr>
          <w:spacing w:val="24"/>
          <w:w w:val="95"/>
        </w:rPr>
      </w:r>
      <w:r>
        <w:rPr/>
        <w:t>刘岁义先生、王道海先生为公司第六届监事会监事，与公司第四届职工代表大会</w:t>
      </w:r>
      <w:r>
        <w:rPr>
          <w:spacing w:val="-91"/>
        </w:rPr>
        <w:t> </w:t>
      </w:r>
      <w:r>
        <w:rPr>
          <w:spacing w:val="-91"/>
        </w:rPr>
      </w:r>
      <w:r>
        <w:rPr/>
        <w:t>第二次会议选举的职工监事高巍先生、林映文女士共同组成第六届监事会。2009</w:t>
      </w:r>
      <w:r>
        <w:rPr>
          <w:spacing w:val="-93"/>
        </w:rPr>
        <w:t> </w:t>
      </w:r>
      <w:r>
        <w:rPr>
          <w:spacing w:val="-93"/>
        </w:rPr>
      </w:r>
      <w:r>
        <w:rPr/>
        <w:t>年</w:t>
      </w:r>
      <w:r>
        <w:rPr>
          <w:spacing w:val="-57"/>
        </w:rPr>
        <w:t> </w:t>
      </w:r>
      <w:r>
        <w:rPr/>
        <w:t>12</w:t>
      </w:r>
      <w:r>
        <w:rPr>
          <w:spacing w:val="-55"/>
        </w:rPr>
        <w:t> </w:t>
      </w:r>
      <w:r>
        <w:rPr/>
        <w:t>月</w:t>
      </w:r>
      <w:r>
        <w:rPr>
          <w:spacing w:val="-57"/>
        </w:rPr>
        <w:t> </w:t>
      </w:r>
      <w:r>
        <w:rPr/>
        <w:t>18</w:t>
      </w:r>
      <w:r>
        <w:rPr>
          <w:spacing w:val="-55"/>
        </w:rPr>
        <w:t> </w:t>
      </w:r>
      <w:r>
        <w:rPr/>
        <w:t>日，经公司第六届董事会第一次会议审议通过，选举陈少群先生为公</w:t>
      </w:r>
      <w:r>
        <w:rPr>
          <w:spacing w:val="-112"/>
        </w:rPr>
        <w:t> </w:t>
      </w:r>
      <w:r>
        <w:rPr>
          <w:spacing w:val="-112"/>
        </w:rPr>
      </w:r>
      <w:r>
        <w:rPr>
          <w:w w:val="95"/>
        </w:rPr>
        <w:t>司第六届董事会董事长，聘任曾湃先生为公司总经理、胡翔海先生、陈小华先生、</w:t>
      </w:r>
      <w:r>
        <w:rPr>
          <w:spacing w:val="23"/>
          <w:w w:val="95"/>
        </w:rPr>
        <w:t> </w:t>
      </w:r>
      <w:r>
        <w:rPr>
          <w:spacing w:val="23"/>
          <w:w w:val="95"/>
        </w:rPr>
      </w:r>
      <w:r>
        <w:rPr/>
        <w:t>钟辉红先生、张键先生为公司副总经理、马彦钊先生为公司财务总监，聘任刘雄</w:t>
      </w:r>
      <w:r>
        <w:rPr>
          <w:spacing w:val="-91"/>
        </w:rPr>
        <w:t> </w:t>
      </w:r>
      <w:r>
        <w:rPr>
          <w:spacing w:val="-91"/>
        </w:rPr>
      </w:r>
      <w:r>
        <w:rPr/>
        <w:t>佳先生为公司董事会秘书。2009</w:t>
      </w:r>
      <w:r>
        <w:rPr>
          <w:spacing w:val="-60"/>
        </w:rPr>
        <w:t> </w:t>
      </w:r>
      <w:r>
        <w:rPr/>
        <w:t>年</w:t>
      </w:r>
      <w:r>
        <w:rPr>
          <w:spacing w:val="-60"/>
        </w:rPr>
        <w:t> </w:t>
      </w:r>
      <w:r>
        <w:rPr/>
        <w:t>12</w:t>
      </w:r>
      <w:r>
        <w:rPr>
          <w:spacing w:val="-60"/>
        </w:rPr>
        <w:t> </w:t>
      </w:r>
      <w:r>
        <w:rPr/>
        <w:t>月</w:t>
      </w:r>
      <w:r>
        <w:rPr>
          <w:spacing w:val="-60"/>
        </w:rPr>
        <w:t> </w:t>
      </w:r>
      <w:r>
        <w:rPr/>
        <w:t>18</w:t>
      </w:r>
      <w:r>
        <w:rPr>
          <w:spacing w:val="-60"/>
        </w:rPr>
        <w:t> </w:t>
      </w:r>
      <w:r>
        <w:rPr/>
        <w:t>日，经公司第六届监事会第一次会议</w:t>
      </w:r>
      <w:r>
        <w:rPr/>
        <w:t> 审议通过，选举周润国先生为公司第六届监事会主席。</w:t>
      </w:r>
    </w:p>
    <w:p>
      <w:pPr>
        <w:pStyle w:val="Heading5"/>
        <w:spacing w:line="378" w:lineRule="exact"/>
        <w:ind w:right="686"/>
        <w:jc w:val="left"/>
        <w:rPr>
          <w:b w:val="0"/>
          <w:bCs w:val="0"/>
        </w:rPr>
      </w:pPr>
      <w:r>
        <w:rPr>
          <w:w w:val="95"/>
        </w:rPr>
        <w:t>五、2009   </w:t>
      </w:r>
      <w:r>
        <w:rPr>
          <w:spacing w:val="30"/>
          <w:w w:val="95"/>
        </w:rPr>
        <w:t> </w:t>
      </w:r>
      <w:r>
        <w:rPr>
          <w:w w:val="95"/>
        </w:rPr>
        <w:t>年度董事、监事及高级管理人员报酬情况</w:t>
      </w:r>
      <w:r>
        <w:rPr>
          <w:b w:val="0"/>
          <w:bCs w:val="0"/>
          <w:w w:val="95"/>
        </w:rPr>
      </w:r>
    </w:p>
    <w:p>
      <w:pPr>
        <w:pStyle w:val="BodyText"/>
        <w:spacing w:line="240" w:lineRule="auto" w:before="126"/>
        <w:ind w:left="780" w:right="86"/>
        <w:jc w:val="left"/>
      </w:pPr>
      <w:r>
        <w:rPr/>
        <w:t>公司现任董事、监事及高级管理人员共</w:t>
      </w:r>
      <w:r>
        <w:rPr>
          <w:spacing w:val="-96"/>
        </w:rPr>
        <w:t> </w:t>
      </w:r>
      <w:r>
        <w:rPr/>
        <w:t>22</w:t>
      </w:r>
      <w:r>
        <w:rPr>
          <w:spacing w:val="-96"/>
        </w:rPr>
        <w:t> </w:t>
      </w:r>
      <w:r>
        <w:rPr>
          <w:spacing w:val="-3"/>
        </w:rPr>
        <w:t>人，在公司领取报酬津贴的</w:t>
      </w:r>
      <w:r>
        <w:rPr>
          <w:spacing w:val="-98"/>
        </w:rPr>
        <w:t> </w:t>
      </w:r>
      <w:r>
        <w:rPr/>
        <w:t>18</w:t>
      </w:r>
      <w:r>
        <w:rPr>
          <w:spacing w:val="-96"/>
        </w:rPr>
        <w:t> </w:t>
      </w:r>
      <w:r>
        <w:rPr/>
        <w:t>人。</w:t>
      </w:r>
    </w:p>
    <w:p>
      <w:pPr>
        <w:pStyle w:val="BodyText"/>
        <w:spacing w:line="357" w:lineRule="auto" w:before="154"/>
        <w:ind w:right="209"/>
        <w:jc w:val="left"/>
      </w:pPr>
      <w:r>
        <w:rPr/>
        <w:t>年度报酬依据公司</w:t>
      </w:r>
      <w:r>
        <w:rPr>
          <w:spacing w:val="-54"/>
        </w:rPr>
        <w:t> </w:t>
      </w:r>
      <w:r>
        <w:rPr/>
        <w:t>2008</w:t>
      </w:r>
      <w:r>
        <w:rPr>
          <w:spacing w:val="-54"/>
        </w:rPr>
        <w:t> </w:t>
      </w:r>
      <w:r>
        <w:rPr>
          <w:spacing w:val="-3"/>
        </w:rPr>
        <w:t>年第一次临时股东大会审议通过的《深圳市农产品股份有</w:t>
      </w:r>
      <w:r>
        <w:rPr/>
        <w:t> 限公司薪资管理制度》的规定发放。</w:t>
      </w:r>
    </w:p>
    <w:p>
      <w:pPr>
        <w:pStyle w:val="BodyText"/>
        <w:spacing w:line="240" w:lineRule="auto"/>
        <w:ind w:left="780" w:right="86"/>
        <w:jc w:val="left"/>
      </w:pPr>
      <w:r>
        <w:rPr>
          <w:w w:val="85"/>
        </w:rPr>
        <w:t>其</w:t>
      </w:r>
      <w:r>
        <w:rPr>
          <w:spacing w:val="-84"/>
        </w:rPr>
        <w:t> </w:t>
      </w:r>
      <w:r>
        <w:rPr>
          <w:w w:val="85"/>
        </w:rPr>
        <w:t>中</w:t>
      </w:r>
      <w:r>
        <w:rPr>
          <w:spacing w:val="-84"/>
        </w:rPr>
        <w:t> </w:t>
      </w:r>
      <w:r>
        <w:rPr>
          <w:spacing w:val="-72"/>
          <w:w w:val="85"/>
        </w:rPr>
        <w:t>，</w:t>
      </w:r>
      <w:r>
        <w:rPr/>
        <w:t>按</w:t>
      </w:r>
      <w:r>
        <w:rPr>
          <w:spacing w:val="-104"/>
        </w:rPr>
        <w:t>照</w:t>
      </w:r>
      <w:r>
        <w:rPr/>
        <w:t>《关于在上市公司建立独立董事制度的指导意见</w:t>
      </w:r>
      <w:r>
        <w:rPr>
          <w:spacing w:val="-104"/>
        </w:rPr>
        <w:t>》</w:t>
      </w:r>
      <w:r>
        <w:rPr>
          <w:spacing w:val="-3"/>
        </w:rPr>
        <w:t>的</w:t>
      </w:r>
      <w:r>
        <w:rPr/>
        <w:t>有关规定</w:t>
      </w:r>
      <w:r>
        <w:rPr>
          <w:spacing w:val="-106"/>
        </w:rPr>
        <w:t>，</w:t>
      </w:r>
      <w:r>
        <w:rPr/>
        <w:t>2009</w:t>
      </w:r>
    </w:p>
    <w:p>
      <w:pPr>
        <w:spacing w:after="0" w:line="240" w:lineRule="auto"/>
        <w:jc w:val="left"/>
        <w:sectPr>
          <w:headerReference w:type="default" r:id="rId29"/>
          <w:footerReference w:type="default" r:id="rId30"/>
          <w:pgSz w:w="11910" w:h="16840"/>
          <w:pgMar w:header="0" w:footer="1095" w:top="1100" w:bottom="1280" w:left="1680" w:right="1240"/>
          <w:pgNumType w:start="19"/>
        </w:sectPr>
      </w:pPr>
    </w:p>
    <w:p>
      <w:pPr>
        <w:pStyle w:val="BodyText"/>
        <w:spacing w:line="240" w:lineRule="auto" w:before="13"/>
        <w:ind w:right="0"/>
        <w:jc w:val="left"/>
      </w:pPr>
      <w:r>
        <w:rPr/>
        <w:t>年度</w:t>
      </w:r>
      <w:r>
        <w:rPr>
          <w:spacing w:val="-118"/>
        </w:rPr>
        <w:t>，</w:t>
      </w:r>
      <w:r>
        <w:rPr>
          <w:spacing w:val="-3"/>
        </w:rPr>
        <w:t>公</w:t>
      </w:r>
      <w:r>
        <w:rPr/>
        <w:t>司原独立董事郭晋龙先生</w:t>
      </w:r>
      <w:r>
        <w:rPr>
          <w:spacing w:val="-118"/>
        </w:rPr>
        <w:t>、</w:t>
      </w:r>
      <w:r>
        <w:rPr>
          <w:spacing w:val="-3"/>
        </w:rPr>
        <w:t>吴</w:t>
      </w:r>
      <w:r>
        <w:rPr/>
        <w:t>叔平先生</w:t>
      </w:r>
      <w:r>
        <w:rPr>
          <w:spacing w:val="-118"/>
        </w:rPr>
        <w:t>、</w:t>
      </w:r>
      <w:r>
        <w:rPr>
          <w:spacing w:val="-3"/>
        </w:rPr>
        <w:t>张</w:t>
      </w:r>
      <w:r>
        <w:rPr/>
        <w:t>勇先生分别在公司领取</w:t>
      </w:r>
      <w:r>
        <w:rPr>
          <w:spacing w:val="-60"/>
        </w:rPr>
        <w:t> </w:t>
      </w:r>
      <w:r>
        <w:rPr/>
        <w:t>100,000</w:t>
      </w:r>
    </w:p>
    <w:p>
      <w:pPr>
        <w:pStyle w:val="BodyText"/>
        <w:spacing w:line="240" w:lineRule="auto" w:before="154"/>
        <w:ind w:right="0"/>
        <w:jc w:val="left"/>
      </w:pPr>
      <w:r>
        <w:rPr>
          <w:spacing w:val="-8"/>
        </w:rPr>
        <w:t>元（含税）津贴，公司独立董事孙良媛女士、孙雄先生分别在公司领取 </w:t>
      </w:r>
      <w:r>
        <w:rPr/>
        <w:t>100,000</w:t>
      </w:r>
      <w:r>
        <w:rPr>
          <w:spacing w:val="-48"/>
        </w:rPr>
        <w:t> </w:t>
      </w:r>
      <w:r>
        <w:rPr/>
        <w:t>元</w:t>
      </w:r>
    </w:p>
    <w:p>
      <w:pPr>
        <w:pStyle w:val="BodyText"/>
        <w:spacing w:line="240" w:lineRule="auto" w:before="154"/>
        <w:ind w:left="287" w:right="0"/>
        <w:jc w:val="left"/>
      </w:pPr>
      <w:r>
        <w:rPr/>
        <w:t>（含税）津贴，公司独立董事汪兴益先生、肖幼美女士、刘震国先生均自</w:t>
      </w:r>
      <w:r>
        <w:rPr>
          <w:spacing w:val="-86"/>
        </w:rPr>
        <w:t> </w:t>
      </w:r>
      <w:r>
        <w:rPr/>
        <w:t>2010</w:t>
      </w:r>
      <w:r>
        <w:rPr>
          <w:spacing w:val="-86"/>
        </w:rPr>
        <w:t> </w:t>
      </w:r>
      <w:r>
        <w:rPr/>
        <w:t>年</w:t>
      </w:r>
    </w:p>
    <w:p>
      <w:pPr>
        <w:pStyle w:val="BodyText"/>
        <w:spacing w:line="240" w:lineRule="auto" w:before="154"/>
        <w:ind w:right="0"/>
        <w:jc w:val="left"/>
      </w:pPr>
      <w:r>
        <w:rPr/>
        <w:t>1</w:t>
      </w:r>
      <w:r>
        <w:rPr>
          <w:spacing w:val="-60"/>
        </w:rPr>
        <w:t> </w:t>
      </w:r>
      <w:r>
        <w:rPr/>
        <w:t>月起在公司领取津贴。</w:t>
      </w:r>
    </w:p>
    <w:p>
      <w:pPr>
        <w:pStyle w:val="BodyText"/>
        <w:spacing w:line="240" w:lineRule="auto" w:before="154"/>
        <w:ind w:left="760" w:right="706"/>
        <w:jc w:val="center"/>
      </w:pPr>
      <w:r>
        <w:rPr/>
        <w:t>2009</w:t>
      </w:r>
      <w:r>
        <w:rPr>
          <w:spacing w:val="-60"/>
        </w:rPr>
        <w:t> </w:t>
      </w:r>
      <w:r>
        <w:rPr/>
        <w:t>年度公司董事、监事及高级管理人员领取报酬、津贴情况如下表：</w:t>
      </w:r>
    </w:p>
    <w:p>
      <w:pPr>
        <w:spacing w:before="179"/>
        <w:ind w:left="0" w:right="301"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434"/>
        <w:gridCol w:w="960"/>
        <w:gridCol w:w="1771"/>
        <w:gridCol w:w="1260"/>
        <w:gridCol w:w="1620"/>
        <w:gridCol w:w="907"/>
        <w:gridCol w:w="1723"/>
      </w:tblGrid>
      <w:tr>
        <w:trPr>
          <w:trHeight w:val="646"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tabs>
                <w:tab w:pos="419" w:val="left" w:leader="none"/>
              </w:tabs>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tabs>
                <w:tab w:pos="981" w:val="left" w:leader="none"/>
              </w:tabs>
              <w:spacing w:line="240" w:lineRule="auto" w:before="143"/>
              <w:ind w:left="561" w:right="0"/>
              <w:jc w:val="left"/>
              <w:rPr>
                <w:rFonts w:ascii="宋体" w:hAnsi="宋体" w:cs="宋体" w:eastAsia="宋体" w:hint="default"/>
                <w:sz w:val="21"/>
                <w:szCs w:val="21"/>
              </w:rPr>
            </w:pPr>
            <w:r>
              <w:rPr>
                <w:rFonts w:ascii="宋体" w:hAnsi="宋体" w:cs="宋体" w:eastAsia="宋体" w:hint="default"/>
                <w:sz w:val="21"/>
                <w:szCs w:val="21"/>
              </w:rPr>
              <w:t>职</w:t>
              <w:tab/>
              <w:t>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hAnsi="宋体" w:cs="宋体" w:eastAsia="宋体" w:hint="default"/>
                <w:sz w:val="21"/>
                <w:szCs w:val="21"/>
              </w:rPr>
              <w:t>报酬总额</w:t>
            </w:r>
          </w:p>
          <w:p>
            <w:pPr>
              <w:pStyle w:val="TableParagraph"/>
              <w:spacing w:line="240" w:lineRule="auto" w:before="37"/>
              <w:ind w:left="199"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领取报酬期限</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340" w:right="96" w:hanging="240"/>
              <w:jc w:val="left"/>
              <w:rPr>
                <w:rFonts w:ascii="宋体" w:hAnsi="宋体" w:cs="宋体" w:eastAsia="宋体" w:hint="default"/>
                <w:sz w:val="21"/>
                <w:szCs w:val="21"/>
              </w:rPr>
            </w:pPr>
            <w:r>
              <w:rPr>
                <w:rFonts w:ascii="宋体" w:hAnsi="宋体" w:cs="宋体" w:eastAsia="宋体" w:hint="default"/>
                <w:sz w:val="21"/>
                <w:szCs w:val="21"/>
              </w:rPr>
              <w:t>现任</w:t>
            </w:r>
            <w:r>
              <w:rPr>
                <w:rFonts w:ascii="Times New Roman" w:hAnsi="Times New Roman" w:cs="Times New Roman" w:eastAsia="Times New Roman" w:hint="default"/>
                <w:sz w:val="21"/>
                <w:szCs w:val="21"/>
              </w:rPr>
              <w:t>/</w:t>
            </w:r>
            <w:r>
              <w:rPr>
                <w:rFonts w:ascii="宋体" w:hAnsi="宋体" w:cs="宋体" w:eastAsia="宋体" w:hint="default"/>
                <w:sz w:val="21"/>
                <w:szCs w:val="21"/>
              </w:rPr>
              <w:t>离</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955"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pacing w:val="9"/>
                <w:sz w:val="21"/>
                <w:szCs w:val="21"/>
              </w:rPr>
              <w:t>董事长、党委书</w:t>
            </w:r>
          </w:p>
          <w:p>
            <w:pPr>
              <w:pStyle w:val="TableParagraph"/>
              <w:spacing w:line="273" w:lineRule="auto" w:before="37"/>
              <w:ind w:left="98" w:right="103"/>
              <w:jc w:val="left"/>
              <w:rPr>
                <w:rFonts w:ascii="宋体" w:hAnsi="宋体" w:cs="宋体" w:eastAsia="宋体" w:hint="default"/>
                <w:sz w:val="21"/>
                <w:szCs w:val="21"/>
              </w:rPr>
            </w:pPr>
            <w:r>
              <w:rPr>
                <w:rFonts w:ascii="宋体" w:hAnsi="宋体" w:cs="宋体" w:eastAsia="宋体" w:hint="default"/>
                <w:spacing w:val="9"/>
                <w:sz w:val="21"/>
                <w:szCs w:val="21"/>
              </w:rPr>
              <w:t>记（原董事长兼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总经理）</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568,858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28" w:hRule="exact"/>
        </w:trPr>
        <w:tc>
          <w:tcPr>
            <w:tcW w:w="434" w:type="dxa"/>
            <w:tcBorders>
              <w:top w:val="single" w:sz="8" w:space="0" w:color="000000"/>
              <w:left w:val="single" w:sz="8" w:space="0" w:color="000000"/>
              <w:bottom w:val="nil" w:sz="6" w:space="0" w:color="auto"/>
              <w:right w:val="single" w:sz="8" w:space="0" w:color="000000"/>
            </w:tcBorders>
          </w:tcPr>
          <w:p>
            <w:pPr/>
          </w:p>
        </w:tc>
        <w:tc>
          <w:tcPr>
            <w:tcW w:w="960" w:type="dxa"/>
            <w:tcBorders>
              <w:top w:val="single" w:sz="8" w:space="0" w:color="000000"/>
              <w:left w:val="single" w:sz="8" w:space="0" w:color="000000"/>
              <w:bottom w:val="nil" w:sz="6" w:space="0" w:color="auto"/>
              <w:right w:val="single" w:sz="8" w:space="0" w:color="000000"/>
            </w:tcBorders>
          </w:tcPr>
          <w:p>
            <w:pPr/>
          </w:p>
        </w:tc>
        <w:tc>
          <w:tcPr>
            <w:tcW w:w="1771" w:type="dxa"/>
            <w:tcBorders>
              <w:top w:val="single" w:sz="8" w:space="0" w:color="000000"/>
              <w:left w:val="single" w:sz="8" w:space="0" w:color="000000"/>
              <w:bottom w:val="nil" w:sz="6" w:space="0" w:color="auto"/>
              <w:right w:val="single" w:sz="8" w:space="0" w:color="000000"/>
            </w:tcBorders>
          </w:tcPr>
          <w:p>
            <w:pPr/>
          </w:p>
        </w:tc>
        <w:tc>
          <w:tcPr>
            <w:tcW w:w="1260" w:type="dxa"/>
            <w:tcBorders>
              <w:top w:val="single" w:sz="8" w:space="0" w:color="000000"/>
              <w:left w:val="single" w:sz="8" w:space="0" w:color="000000"/>
              <w:bottom w:val="nil" w:sz="6" w:space="0" w:color="auto"/>
              <w:right w:val="single" w:sz="8" w:space="0" w:color="000000"/>
            </w:tcBorders>
          </w:tcPr>
          <w:p>
            <w:pPr/>
          </w:p>
        </w:tc>
        <w:tc>
          <w:tcPr>
            <w:tcW w:w="1620" w:type="dxa"/>
            <w:tcBorders>
              <w:top w:val="single" w:sz="8" w:space="0" w:color="000000"/>
              <w:left w:val="single" w:sz="8" w:space="0" w:color="000000"/>
              <w:bottom w:val="nil" w:sz="6" w:space="0" w:color="auto"/>
              <w:right w:val="single" w:sz="8" w:space="0" w:color="000000"/>
            </w:tcBorders>
          </w:tcPr>
          <w:p>
            <w:pPr/>
          </w:p>
        </w:tc>
        <w:tc>
          <w:tcPr>
            <w:tcW w:w="907" w:type="dxa"/>
            <w:tcBorders>
              <w:top w:val="single" w:sz="8" w:space="0" w:color="000000"/>
              <w:left w:val="single" w:sz="8" w:space="0" w:color="000000"/>
              <w:bottom w:val="nil" w:sz="6" w:space="0" w:color="auto"/>
              <w:right w:val="single" w:sz="8" w:space="0" w:color="000000"/>
            </w:tcBorders>
          </w:tcPr>
          <w:p>
            <w:pPr/>
          </w:p>
        </w:tc>
        <w:tc>
          <w:tcPr>
            <w:tcW w:w="1723" w:type="dxa"/>
            <w:tcBorders>
              <w:top w:val="single" w:sz="8" w:space="0" w:color="000000"/>
              <w:left w:val="single" w:sz="8" w:space="0" w:color="000000"/>
              <w:bottom w:val="nil" w:sz="6" w:space="0" w:color="auto"/>
              <w:right w:val="single" w:sz="8" w:space="0" w:color="000000"/>
            </w:tcBorders>
          </w:tcPr>
          <w:p>
            <w:pPr>
              <w:pStyle w:val="TableParagraph"/>
              <w:spacing w:line="278"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月起领</w:t>
            </w:r>
          </w:p>
        </w:tc>
      </w:tr>
      <w:tr>
        <w:trPr>
          <w:trHeight w:val="930" w:hRule="exact"/>
        </w:trPr>
        <w:tc>
          <w:tcPr>
            <w:tcW w:w="434" w:type="dxa"/>
            <w:tcBorders>
              <w:top w:val="nil" w:sz="6" w:space="0" w:color="auto"/>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960"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tabs>
                <w:tab w:pos="419"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曾</w:t>
              <w:tab/>
              <w:t>湃</w:t>
            </w:r>
          </w:p>
        </w:tc>
        <w:tc>
          <w:tcPr>
            <w:tcW w:w="1771" w:type="dxa"/>
            <w:tcBorders>
              <w:top w:val="nil" w:sz="6" w:space="0" w:color="auto"/>
              <w:left w:val="single" w:sz="8" w:space="0" w:color="000000"/>
              <w:bottom w:val="nil" w:sz="6" w:space="0" w:color="auto"/>
              <w:right w:val="single" w:sz="8" w:space="0" w:color="000000"/>
            </w:tcBorders>
          </w:tcPr>
          <w:p>
            <w:pPr>
              <w:pStyle w:val="TableParagraph"/>
              <w:spacing w:line="273" w:lineRule="auto" w:before="137"/>
              <w:ind w:left="98" w:right="2"/>
              <w:jc w:val="left"/>
              <w:rPr>
                <w:rFonts w:ascii="宋体" w:hAnsi="宋体" w:cs="宋体" w:eastAsia="宋体" w:hint="default"/>
                <w:sz w:val="21"/>
                <w:szCs w:val="21"/>
              </w:rPr>
            </w:pPr>
            <w:r>
              <w:rPr>
                <w:rFonts w:ascii="宋体" w:hAnsi="宋体" w:cs="宋体" w:eastAsia="宋体" w:hint="default"/>
                <w:spacing w:val="11"/>
                <w:sz w:val="21"/>
                <w:szCs w:val="21"/>
              </w:rPr>
              <w:t>董事</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总</w:t>
            </w:r>
            <w:r>
              <w:rPr>
                <w:rFonts w:ascii="宋体" w:hAnsi="宋体" w:cs="宋体" w:eastAsia="宋体" w:hint="default"/>
                <w:spacing w:val="-76"/>
                <w:sz w:val="21"/>
                <w:szCs w:val="21"/>
              </w:rPr>
              <w:t> </w:t>
            </w: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党委副书记</w:t>
            </w:r>
          </w:p>
        </w:tc>
        <w:tc>
          <w:tcPr>
            <w:tcW w:w="1260" w:type="dxa"/>
            <w:tcBorders>
              <w:top w:val="nil" w:sz="6" w:space="0" w:color="auto"/>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0" w:type="dxa"/>
            <w:tcBorders>
              <w:top w:val="nil" w:sz="6" w:space="0" w:color="auto"/>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07"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取</w:t>
            </w:r>
            <w:r>
              <w:rPr>
                <w:rFonts w:ascii="宋体" w:hAnsi="宋体" w:cs="宋体" w:eastAsia="宋体" w:hint="default"/>
                <w:spacing w:val="-61"/>
                <w:sz w:val="21"/>
                <w:szCs w:val="21"/>
              </w:rPr>
              <w:t> </w:t>
            </w:r>
            <w:r>
              <w:rPr>
                <w:rFonts w:ascii="宋体" w:hAnsi="宋体" w:cs="宋体" w:eastAsia="宋体" w:hint="default"/>
                <w:sz w:val="21"/>
                <w:szCs w:val="21"/>
              </w:rPr>
              <w:t>现</w:t>
            </w:r>
            <w:r>
              <w:rPr>
                <w:rFonts w:ascii="宋体" w:hAnsi="宋体" w:cs="宋体" w:eastAsia="宋体" w:hint="default"/>
                <w:spacing w:val="-56"/>
                <w:sz w:val="21"/>
                <w:szCs w:val="21"/>
              </w:rPr>
              <w:t> </w:t>
            </w:r>
            <w:r>
              <w:rPr>
                <w:rFonts w:ascii="宋体" w:hAnsi="宋体" w:cs="宋体" w:eastAsia="宋体" w:hint="default"/>
                <w:sz w:val="21"/>
                <w:szCs w:val="21"/>
              </w:rPr>
              <w:t>任</w:t>
            </w:r>
            <w:r>
              <w:rPr>
                <w:rFonts w:ascii="宋体" w:hAnsi="宋体" w:cs="宋体" w:eastAsia="宋体" w:hint="default"/>
                <w:spacing w:val="-59"/>
                <w:sz w:val="21"/>
                <w:szCs w:val="21"/>
              </w:rPr>
              <w:t> </w:t>
            </w:r>
            <w:r>
              <w:rPr>
                <w:rFonts w:ascii="宋体" w:hAnsi="宋体" w:cs="宋体" w:eastAsia="宋体" w:hint="default"/>
                <w:sz w:val="21"/>
                <w:szCs w:val="21"/>
              </w:rPr>
              <w:t>职</w:t>
            </w:r>
            <w:r>
              <w:rPr>
                <w:rFonts w:ascii="宋体" w:hAnsi="宋体" w:cs="宋体" w:eastAsia="宋体" w:hint="default"/>
                <w:spacing w:val="-56"/>
                <w:sz w:val="21"/>
                <w:szCs w:val="21"/>
              </w:rPr>
              <w:t> </w:t>
            </w:r>
            <w:r>
              <w:rPr>
                <w:rFonts w:ascii="宋体" w:hAnsi="宋体" w:cs="宋体" w:eastAsia="宋体" w:hint="default"/>
                <w:sz w:val="21"/>
                <w:szCs w:val="21"/>
              </w:rPr>
              <w:t>务</w:t>
            </w:r>
            <w:r>
              <w:rPr>
                <w:rFonts w:ascii="宋体" w:hAnsi="宋体" w:cs="宋体" w:eastAsia="宋体" w:hint="default"/>
                <w:spacing w:val="-56"/>
                <w:sz w:val="21"/>
                <w:szCs w:val="21"/>
              </w:rPr>
              <w:t> </w:t>
            </w:r>
            <w:r>
              <w:rPr>
                <w:rFonts w:ascii="宋体" w:hAnsi="宋体" w:cs="宋体" w:eastAsia="宋体" w:hint="default"/>
                <w:sz w:val="21"/>
                <w:szCs w:val="21"/>
              </w:rPr>
              <w:t>报</w:t>
            </w:r>
          </w:p>
          <w:p>
            <w:pPr>
              <w:pStyle w:val="TableParagraph"/>
              <w:spacing w:line="273" w:lineRule="auto" w:before="37"/>
              <w:ind w:left="98" w:right="2"/>
              <w:jc w:val="left"/>
              <w:rPr>
                <w:rFonts w:ascii="宋体" w:hAnsi="宋体" w:cs="宋体" w:eastAsia="宋体" w:hint="default"/>
                <w:sz w:val="21"/>
                <w:szCs w:val="21"/>
              </w:rPr>
            </w:pPr>
            <w:r>
              <w:rPr>
                <w:rFonts w:ascii="宋体" w:hAnsi="宋体" w:cs="宋体" w:eastAsia="宋体" w:hint="default"/>
                <w:sz w:val="21"/>
                <w:szCs w:val="21"/>
              </w:rPr>
              <w:t>酬，此前未任公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3"/>
                <w:sz w:val="21"/>
                <w:szCs w:val="21"/>
              </w:rPr>
              <w:t>司董事、</w:t>
            </w:r>
            <w:r>
              <w:rPr>
                <w:rFonts w:ascii="宋体" w:hAnsi="宋体" w:cs="宋体" w:eastAsia="宋体" w:hint="default"/>
                <w:spacing w:val="-66"/>
                <w:sz w:val="21"/>
                <w:szCs w:val="21"/>
              </w:rPr>
              <w:t> </w:t>
            </w:r>
            <w:r>
              <w:rPr>
                <w:rFonts w:ascii="宋体" w:hAnsi="宋体" w:cs="宋体" w:eastAsia="宋体" w:hint="default"/>
                <w:spacing w:val="12"/>
                <w:sz w:val="21"/>
                <w:szCs w:val="21"/>
              </w:rPr>
              <w:t>监事、</w:t>
            </w:r>
          </w:p>
        </w:tc>
      </w:tr>
      <w:tr>
        <w:trPr>
          <w:trHeight w:val="321" w:hRule="exact"/>
        </w:trPr>
        <w:tc>
          <w:tcPr>
            <w:tcW w:w="434" w:type="dxa"/>
            <w:tcBorders>
              <w:top w:val="nil" w:sz="6" w:space="0" w:color="auto"/>
              <w:left w:val="single" w:sz="8" w:space="0" w:color="000000"/>
              <w:bottom w:val="single" w:sz="8" w:space="0" w:color="000000"/>
              <w:right w:val="single" w:sz="8" w:space="0" w:color="000000"/>
            </w:tcBorders>
          </w:tcPr>
          <w:p>
            <w:pPr/>
          </w:p>
        </w:tc>
        <w:tc>
          <w:tcPr>
            <w:tcW w:w="960" w:type="dxa"/>
            <w:tcBorders>
              <w:top w:val="nil" w:sz="6" w:space="0" w:color="auto"/>
              <w:left w:val="single" w:sz="8" w:space="0" w:color="000000"/>
              <w:bottom w:val="single" w:sz="8" w:space="0" w:color="000000"/>
              <w:right w:val="single" w:sz="8" w:space="0" w:color="000000"/>
            </w:tcBorders>
          </w:tcPr>
          <w:p>
            <w:pPr/>
          </w:p>
        </w:tc>
        <w:tc>
          <w:tcPr>
            <w:tcW w:w="1771" w:type="dxa"/>
            <w:tcBorders>
              <w:top w:val="nil" w:sz="6" w:space="0" w:color="auto"/>
              <w:left w:val="single" w:sz="8" w:space="0" w:color="000000"/>
              <w:bottom w:val="single" w:sz="8" w:space="0" w:color="000000"/>
              <w:right w:val="single" w:sz="8" w:space="0" w:color="000000"/>
            </w:tcBorders>
          </w:tcPr>
          <w:p>
            <w:pPr/>
          </w:p>
        </w:tc>
        <w:tc>
          <w:tcPr>
            <w:tcW w:w="1260" w:type="dxa"/>
            <w:tcBorders>
              <w:top w:val="nil" w:sz="6" w:space="0" w:color="auto"/>
              <w:left w:val="single" w:sz="8" w:space="0" w:color="000000"/>
              <w:bottom w:val="single" w:sz="8" w:space="0" w:color="000000"/>
              <w:right w:val="single" w:sz="8" w:space="0" w:color="000000"/>
            </w:tcBorders>
          </w:tcPr>
          <w:p>
            <w:pPr/>
          </w:p>
        </w:tc>
        <w:tc>
          <w:tcPr>
            <w:tcW w:w="1620" w:type="dxa"/>
            <w:tcBorders>
              <w:top w:val="nil" w:sz="6" w:space="0" w:color="auto"/>
              <w:left w:val="single" w:sz="8" w:space="0" w:color="000000"/>
              <w:bottom w:val="single" w:sz="8" w:space="0" w:color="000000"/>
              <w:right w:val="single" w:sz="8" w:space="0" w:color="000000"/>
            </w:tcBorders>
          </w:tcPr>
          <w:p>
            <w:pPr/>
          </w:p>
        </w:tc>
        <w:tc>
          <w:tcPr>
            <w:tcW w:w="907" w:type="dxa"/>
            <w:tcBorders>
              <w:top w:val="nil" w:sz="6" w:space="0" w:color="auto"/>
              <w:left w:val="single" w:sz="8" w:space="0" w:color="000000"/>
              <w:bottom w:val="single" w:sz="8" w:space="0" w:color="000000"/>
              <w:right w:val="single" w:sz="8" w:space="0" w:color="000000"/>
            </w:tcBorders>
          </w:tcPr>
          <w:p>
            <w:pPr/>
          </w:p>
        </w:tc>
        <w:tc>
          <w:tcPr>
            <w:tcW w:w="1723" w:type="dxa"/>
            <w:tcBorders>
              <w:top w:val="nil" w:sz="6" w:space="0" w:color="auto"/>
              <w:left w:val="single" w:sz="8" w:space="0" w:color="000000"/>
              <w:bottom w:val="single" w:sz="8" w:space="0" w:color="000000"/>
              <w:right w:val="single" w:sz="8"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高级管理人员</w:t>
            </w:r>
          </w:p>
        </w:tc>
      </w:tr>
      <w:tr>
        <w:trPr>
          <w:trHeight w:val="328" w:hRule="exact"/>
        </w:trPr>
        <w:tc>
          <w:tcPr>
            <w:tcW w:w="434" w:type="dxa"/>
            <w:tcBorders>
              <w:top w:val="single" w:sz="8" w:space="0" w:color="000000"/>
              <w:left w:val="single" w:sz="8" w:space="0" w:color="000000"/>
              <w:bottom w:val="nil" w:sz="6" w:space="0" w:color="auto"/>
              <w:right w:val="single" w:sz="8" w:space="0" w:color="000000"/>
            </w:tcBorders>
          </w:tcPr>
          <w:p>
            <w:pPr/>
          </w:p>
        </w:tc>
        <w:tc>
          <w:tcPr>
            <w:tcW w:w="960" w:type="dxa"/>
            <w:tcBorders>
              <w:top w:val="single" w:sz="8" w:space="0" w:color="000000"/>
              <w:left w:val="single" w:sz="8" w:space="0" w:color="000000"/>
              <w:bottom w:val="nil" w:sz="6" w:space="0" w:color="auto"/>
              <w:right w:val="single" w:sz="8" w:space="0" w:color="000000"/>
            </w:tcBorders>
          </w:tcPr>
          <w:p>
            <w:pPr/>
          </w:p>
        </w:tc>
        <w:tc>
          <w:tcPr>
            <w:tcW w:w="1771" w:type="dxa"/>
            <w:tcBorders>
              <w:top w:val="single" w:sz="8" w:space="0" w:color="000000"/>
              <w:left w:val="single" w:sz="8" w:space="0" w:color="000000"/>
              <w:bottom w:val="nil" w:sz="6" w:space="0" w:color="auto"/>
              <w:right w:val="single" w:sz="8" w:space="0" w:color="000000"/>
            </w:tcBorders>
          </w:tcPr>
          <w:p>
            <w:pPr/>
          </w:p>
        </w:tc>
        <w:tc>
          <w:tcPr>
            <w:tcW w:w="1260" w:type="dxa"/>
            <w:tcBorders>
              <w:top w:val="single" w:sz="8" w:space="0" w:color="000000"/>
              <w:left w:val="single" w:sz="8" w:space="0" w:color="000000"/>
              <w:bottom w:val="nil" w:sz="6" w:space="0" w:color="auto"/>
              <w:right w:val="single" w:sz="8" w:space="0" w:color="000000"/>
            </w:tcBorders>
          </w:tcPr>
          <w:p>
            <w:pPr/>
          </w:p>
        </w:tc>
        <w:tc>
          <w:tcPr>
            <w:tcW w:w="1620" w:type="dxa"/>
            <w:tcBorders>
              <w:top w:val="single" w:sz="8" w:space="0" w:color="000000"/>
              <w:left w:val="single" w:sz="8" w:space="0" w:color="000000"/>
              <w:bottom w:val="nil" w:sz="6" w:space="0" w:color="auto"/>
              <w:right w:val="single" w:sz="8" w:space="0" w:color="000000"/>
            </w:tcBorders>
          </w:tcPr>
          <w:p>
            <w:pPr/>
          </w:p>
        </w:tc>
        <w:tc>
          <w:tcPr>
            <w:tcW w:w="907" w:type="dxa"/>
            <w:tcBorders>
              <w:top w:val="single" w:sz="8" w:space="0" w:color="000000"/>
              <w:left w:val="single" w:sz="8" w:space="0" w:color="000000"/>
              <w:bottom w:val="nil" w:sz="6" w:space="0" w:color="auto"/>
              <w:right w:val="single" w:sz="8" w:space="0" w:color="000000"/>
            </w:tcBorders>
          </w:tcPr>
          <w:p>
            <w:pPr/>
          </w:p>
        </w:tc>
        <w:tc>
          <w:tcPr>
            <w:tcW w:w="1723" w:type="dxa"/>
            <w:tcBorders>
              <w:top w:val="single" w:sz="8" w:space="0" w:color="000000"/>
              <w:left w:val="single" w:sz="8" w:space="0" w:color="000000"/>
              <w:bottom w:val="nil" w:sz="6" w:space="0" w:color="auto"/>
              <w:right w:val="single" w:sz="8" w:space="0" w:color="000000"/>
            </w:tcBorders>
          </w:tcPr>
          <w:p>
            <w:pPr>
              <w:pStyle w:val="TableParagraph"/>
              <w:spacing w:line="278"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月起在</w:t>
            </w:r>
          </w:p>
        </w:tc>
      </w:tr>
      <w:tr>
        <w:trPr>
          <w:trHeight w:val="312" w:hRule="exact"/>
        </w:trPr>
        <w:tc>
          <w:tcPr>
            <w:tcW w:w="434"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960" w:type="dxa"/>
            <w:tcBorders>
              <w:top w:val="nil" w:sz="6" w:space="0" w:color="auto"/>
              <w:left w:val="single" w:sz="8" w:space="0" w:color="000000"/>
              <w:bottom w:val="nil" w:sz="6" w:space="0" w:color="auto"/>
              <w:right w:val="single" w:sz="8"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177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60"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0"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07"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公司领取独立董</w:t>
            </w:r>
          </w:p>
        </w:tc>
      </w:tr>
      <w:tr>
        <w:trPr>
          <w:trHeight w:val="317" w:hRule="exact"/>
        </w:trPr>
        <w:tc>
          <w:tcPr>
            <w:tcW w:w="434" w:type="dxa"/>
            <w:tcBorders>
              <w:top w:val="nil" w:sz="6" w:space="0" w:color="auto"/>
              <w:left w:val="single" w:sz="8" w:space="0" w:color="000000"/>
              <w:bottom w:val="single" w:sz="8" w:space="0" w:color="000000"/>
              <w:right w:val="single" w:sz="8" w:space="0" w:color="000000"/>
            </w:tcBorders>
          </w:tcPr>
          <w:p>
            <w:pPr/>
          </w:p>
        </w:tc>
        <w:tc>
          <w:tcPr>
            <w:tcW w:w="960" w:type="dxa"/>
            <w:tcBorders>
              <w:top w:val="nil" w:sz="6" w:space="0" w:color="auto"/>
              <w:left w:val="single" w:sz="8" w:space="0" w:color="000000"/>
              <w:bottom w:val="single" w:sz="8" w:space="0" w:color="000000"/>
              <w:right w:val="single" w:sz="8" w:space="0" w:color="000000"/>
            </w:tcBorders>
          </w:tcPr>
          <w:p>
            <w:pPr/>
          </w:p>
        </w:tc>
        <w:tc>
          <w:tcPr>
            <w:tcW w:w="1771" w:type="dxa"/>
            <w:tcBorders>
              <w:top w:val="nil" w:sz="6" w:space="0" w:color="auto"/>
              <w:left w:val="single" w:sz="8" w:space="0" w:color="000000"/>
              <w:bottom w:val="single" w:sz="8" w:space="0" w:color="000000"/>
              <w:right w:val="single" w:sz="8" w:space="0" w:color="000000"/>
            </w:tcBorders>
          </w:tcPr>
          <w:p>
            <w:pPr/>
          </w:p>
        </w:tc>
        <w:tc>
          <w:tcPr>
            <w:tcW w:w="1260" w:type="dxa"/>
            <w:tcBorders>
              <w:top w:val="nil" w:sz="6" w:space="0" w:color="auto"/>
              <w:left w:val="single" w:sz="8" w:space="0" w:color="000000"/>
              <w:bottom w:val="single" w:sz="8" w:space="0" w:color="000000"/>
              <w:right w:val="single" w:sz="8" w:space="0" w:color="000000"/>
            </w:tcBorders>
          </w:tcPr>
          <w:p>
            <w:pPr/>
          </w:p>
        </w:tc>
        <w:tc>
          <w:tcPr>
            <w:tcW w:w="1620" w:type="dxa"/>
            <w:tcBorders>
              <w:top w:val="nil" w:sz="6" w:space="0" w:color="auto"/>
              <w:left w:val="single" w:sz="8" w:space="0" w:color="000000"/>
              <w:bottom w:val="single" w:sz="8" w:space="0" w:color="000000"/>
              <w:right w:val="single" w:sz="8" w:space="0" w:color="000000"/>
            </w:tcBorders>
          </w:tcPr>
          <w:p>
            <w:pPr/>
          </w:p>
        </w:tc>
        <w:tc>
          <w:tcPr>
            <w:tcW w:w="907" w:type="dxa"/>
            <w:tcBorders>
              <w:top w:val="nil" w:sz="6" w:space="0" w:color="auto"/>
              <w:left w:val="single" w:sz="8" w:space="0" w:color="000000"/>
              <w:bottom w:val="single" w:sz="8" w:space="0" w:color="000000"/>
              <w:right w:val="single" w:sz="8" w:space="0" w:color="000000"/>
            </w:tcBorders>
          </w:tcPr>
          <w:p>
            <w:pPr/>
          </w:p>
        </w:tc>
        <w:tc>
          <w:tcPr>
            <w:tcW w:w="1723" w:type="dxa"/>
            <w:tcBorders>
              <w:top w:val="nil" w:sz="6" w:space="0" w:color="auto"/>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事津贴</w:t>
            </w:r>
          </w:p>
        </w:tc>
      </w:tr>
      <w:tr>
        <w:trPr>
          <w:trHeight w:val="389"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100,000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89"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孙</w:t>
              <w:tab/>
              <w:t>雄</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100,000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26" w:hRule="exact"/>
        </w:trPr>
        <w:tc>
          <w:tcPr>
            <w:tcW w:w="434" w:type="dxa"/>
            <w:tcBorders>
              <w:top w:val="single" w:sz="8" w:space="0" w:color="000000"/>
              <w:left w:val="single" w:sz="8" w:space="0" w:color="000000"/>
              <w:bottom w:val="nil" w:sz="6" w:space="0" w:color="auto"/>
              <w:right w:val="single" w:sz="8" w:space="0" w:color="000000"/>
            </w:tcBorders>
          </w:tcPr>
          <w:p>
            <w:pPr/>
          </w:p>
        </w:tc>
        <w:tc>
          <w:tcPr>
            <w:tcW w:w="960" w:type="dxa"/>
            <w:tcBorders>
              <w:top w:val="single" w:sz="8" w:space="0" w:color="000000"/>
              <w:left w:val="single" w:sz="8" w:space="0" w:color="000000"/>
              <w:bottom w:val="nil" w:sz="6" w:space="0" w:color="auto"/>
              <w:right w:val="single" w:sz="8" w:space="0" w:color="000000"/>
            </w:tcBorders>
          </w:tcPr>
          <w:p>
            <w:pPr/>
          </w:p>
        </w:tc>
        <w:tc>
          <w:tcPr>
            <w:tcW w:w="1771" w:type="dxa"/>
            <w:tcBorders>
              <w:top w:val="single" w:sz="8" w:space="0" w:color="000000"/>
              <w:left w:val="single" w:sz="8" w:space="0" w:color="000000"/>
              <w:bottom w:val="nil" w:sz="6" w:space="0" w:color="auto"/>
              <w:right w:val="single" w:sz="8" w:space="0" w:color="000000"/>
            </w:tcBorders>
          </w:tcPr>
          <w:p>
            <w:pPr/>
          </w:p>
        </w:tc>
        <w:tc>
          <w:tcPr>
            <w:tcW w:w="1260" w:type="dxa"/>
            <w:tcBorders>
              <w:top w:val="single" w:sz="8" w:space="0" w:color="000000"/>
              <w:left w:val="single" w:sz="8" w:space="0" w:color="000000"/>
              <w:bottom w:val="nil" w:sz="6" w:space="0" w:color="auto"/>
              <w:right w:val="single" w:sz="8" w:space="0" w:color="000000"/>
            </w:tcBorders>
          </w:tcPr>
          <w:p>
            <w:pPr/>
          </w:p>
        </w:tc>
        <w:tc>
          <w:tcPr>
            <w:tcW w:w="1620" w:type="dxa"/>
            <w:tcBorders>
              <w:top w:val="single" w:sz="8" w:space="0" w:color="000000"/>
              <w:left w:val="single" w:sz="8" w:space="0" w:color="000000"/>
              <w:bottom w:val="nil" w:sz="6" w:space="0" w:color="auto"/>
              <w:right w:val="single" w:sz="8" w:space="0" w:color="000000"/>
            </w:tcBorders>
          </w:tcPr>
          <w:p>
            <w:pPr/>
          </w:p>
        </w:tc>
        <w:tc>
          <w:tcPr>
            <w:tcW w:w="907" w:type="dxa"/>
            <w:tcBorders>
              <w:top w:val="single" w:sz="8" w:space="0" w:color="000000"/>
              <w:left w:val="single" w:sz="8" w:space="0" w:color="000000"/>
              <w:bottom w:val="nil" w:sz="6" w:space="0" w:color="auto"/>
              <w:right w:val="single" w:sz="8" w:space="0" w:color="000000"/>
            </w:tcBorders>
          </w:tcPr>
          <w:p>
            <w:pPr/>
          </w:p>
        </w:tc>
        <w:tc>
          <w:tcPr>
            <w:tcW w:w="1723" w:type="dxa"/>
            <w:tcBorders>
              <w:top w:val="single" w:sz="8" w:space="0" w:color="000000"/>
              <w:left w:val="single" w:sz="8" w:space="0" w:color="000000"/>
              <w:bottom w:val="nil" w:sz="6" w:space="0" w:color="auto"/>
              <w:right w:val="single" w:sz="8" w:space="0" w:color="000000"/>
            </w:tcBorders>
          </w:tcPr>
          <w:p>
            <w:pPr>
              <w:pStyle w:val="TableParagraph"/>
              <w:spacing w:line="276"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月起在</w:t>
            </w:r>
          </w:p>
        </w:tc>
      </w:tr>
      <w:tr>
        <w:trPr>
          <w:trHeight w:val="312" w:hRule="exact"/>
        </w:trPr>
        <w:tc>
          <w:tcPr>
            <w:tcW w:w="434"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960" w:type="dxa"/>
            <w:tcBorders>
              <w:top w:val="nil" w:sz="6" w:space="0" w:color="auto"/>
              <w:left w:val="single" w:sz="8" w:space="0" w:color="000000"/>
              <w:bottom w:val="nil" w:sz="6" w:space="0" w:color="auto"/>
              <w:right w:val="single" w:sz="8"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177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60"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0"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07"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公司领取独立董</w:t>
            </w:r>
          </w:p>
        </w:tc>
      </w:tr>
      <w:tr>
        <w:trPr>
          <w:trHeight w:val="317" w:hRule="exact"/>
        </w:trPr>
        <w:tc>
          <w:tcPr>
            <w:tcW w:w="434" w:type="dxa"/>
            <w:tcBorders>
              <w:top w:val="nil" w:sz="6" w:space="0" w:color="auto"/>
              <w:left w:val="single" w:sz="8" w:space="0" w:color="000000"/>
              <w:bottom w:val="single" w:sz="8" w:space="0" w:color="000000"/>
              <w:right w:val="single" w:sz="8" w:space="0" w:color="000000"/>
            </w:tcBorders>
          </w:tcPr>
          <w:p>
            <w:pPr/>
          </w:p>
        </w:tc>
        <w:tc>
          <w:tcPr>
            <w:tcW w:w="960" w:type="dxa"/>
            <w:tcBorders>
              <w:top w:val="nil" w:sz="6" w:space="0" w:color="auto"/>
              <w:left w:val="single" w:sz="8" w:space="0" w:color="000000"/>
              <w:bottom w:val="single" w:sz="8" w:space="0" w:color="000000"/>
              <w:right w:val="single" w:sz="8" w:space="0" w:color="000000"/>
            </w:tcBorders>
          </w:tcPr>
          <w:p>
            <w:pPr/>
          </w:p>
        </w:tc>
        <w:tc>
          <w:tcPr>
            <w:tcW w:w="1771" w:type="dxa"/>
            <w:tcBorders>
              <w:top w:val="nil" w:sz="6" w:space="0" w:color="auto"/>
              <w:left w:val="single" w:sz="8" w:space="0" w:color="000000"/>
              <w:bottom w:val="single" w:sz="8" w:space="0" w:color="000000"/>
              <w:right w:val="single" w:sz="8" w:space="0" w:color="000000"/>
            </w:tcBorders>
          </w:tcPr>
          <w:p>
            <w:pPr/>
          </w:p>
        </w:tc>
        <w:tc>
          <w:tcPr>
            <w:tcW w:w="1260" w:type="dxa"/>
            <w:tcBorders>
              <w:top w:val="nil" w:sz="6" w:space="0" w:color="auto"/>
              <w:left w:val="single" w:sz="8" w:space="0" w:color="000000"/>
              <w:bottom w:val="single" w:sz="8" w:space="0" w:color="000000"/>
              <w:right w:val="single" w:sz="8" w:space="0" w:color="000000"/>
            </w:tcBorders>
          </w:tcPr>
          <w:p>
            <w:pPr/>
          </w:p>
        </w:tc>
        <w:tc>
          <w:tcPr>
            <w:tcW w:w="1620" w:type="dxa"/>
            <w:tcBorders>
              <w:top w:val="nil" w:sz="6" w:space="0" w:color="auto"/>
              <w:left w:val="single" w:sz="8" w:space="0" w:color="000000"/>
              <w:bottom w:val="single" w:sz="8" w:space="0" w:color="000000"/>
              <w:right w:val="single" w:sz="8" w:space="0" w:color="000000"/>
            </w:tcBorders>
          </w:tcPr>
          <w:p>
            <w:pPr/>
          </w:p>
        </w:tc>
        <w:tc>
          <w:tcPr>
            <w:tcW w:w="907" w:type="dxa"/>
            <w:tcBorders>
              <w:top w:val="nil" w:sz="6" w:space="0" w:color="auto"/>
              <w:left w:val="single" w:sz="8" w:space="0" w:color="000000"/>
              <w:bottom w:val="single" w:sz="8" w:space="0" w:color="000000"/>
              <w:right w:val="single" w:sz="8" w:space="0" w:color="000000"/>
            </w:tcBorders>
          </w:tcPr>
          <w:p>
            <w:pPr/>
          </w:p>
        </w:tc>
        <w:tc>
          <w:tcPr>
            <w:tcW w:w="1723" w:type="dxa"/>
            <w:tcBorders>
              <w:top w:val="nil" w:sz="6" w:space="0" w:color="auto"/>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事津贴</w:t>
            </w:r>
          </w:p>
        </w:tc>
      </w:tr>
      <w:tr>
        <w:trPr>
          <w:trHeight w:val="328" w:hRule="exact"/>
        </w:trPr>
        <w:tc>
          <w:tcPr>
            <w:tcW w:w="434" w:type="dxa"/>
            <w:tcBorders>
              <w:top w:val="single" w:sz="8" w:space="0" w:color="000000"/>
              <w:left w:val="single" w:sz="8" w:space="0" w:color="000000"/>
              <w:bottom w:val="nil" w:sz="6" w:space="0" w:color="auto"/>
              <w:right w:val="single" w:sz="8" w:space="0" w:color="000000"/>
            </w:tcBorders>
          </w:tcPr>
          <w:p>
            <w:pPr/>
          </w:p>
        </w:tc>
        <w:tc>
          <w:tcPr>
            <w:tcW w:w="960" w:type="dxa"/>
            <w:tcBorders>
              <w:top w:val="single" w:sz="8" w:space="0" w:color="000000"/>
              <w:left w:val="single" w:sz="8" w:space="0" w:color="000000"/>
              <w:bottom w:val="nil" w:sz="6" w:space="0" w:color="auto"/>
              <w:right w:val="single" w:sz="8" w:space="0" w:color="000000"/>
            </w:tcBorders>
          </w:tcPr>
          <w:p>
            <w:pPr/>
          </w:p>
        </w:tc>
        <w:tc>
          <w:tcPr>
            <w:tcW w:w="1771" w:type="dxa"/>
            <w:tcBorders>
              <w:top w:val="single" w:sz="8" w:space="0" w:color="000000"/>
              <w:left w:val="single" w:sz="8" w:space="0" w:color="000000"/>
              <w:bottom w:val="nil" w:sz="6" w:space="0" w:color="auto"/>
              <w:right w:val="single" w:sz="8" w:space="0" w:color="000000"/>
            </w:tcBorders>
          </w:tcPr>
          <w:p>
            <w:pPr/>
          </w:p>
        </w:tc>
        <w:tc>
          <w:tcPr>
            <w:tcW w:w="1260" w:type="dxa"/>
            <w:tcBorders>
              <w:top w:val="single" w:sz="8" w:space="0" w:color="000000"/>
              <w:left w:val="single" w:sz="8" w:space="0" w:color="000000"/>
              <w:bottom w:val="nil" w:sz="6" w:space="0" w:color="auto"/>
              <w:right w:val="single" w:sz="8" w:space="0" w:color="000000"/>
            </w:tcBorders>
          </w:tcPr>
          <w:p>
            <w:pPr/>
          </w:p>
        </w:tc>
        <w:tc>
          <w:tcPr>
            <w:tcW w:w="1620" w:type="dxa"/>
            <w:tcBorders>
              <w:top w:val="single" w:sz="8" w:space="0" w:color="000000"/>
              <w:left w:val="single" w:sz="8" w:space="0" w:color="000000"/>
              <w:bottom w:val="nil" w:sz="6" w:space="0" w:color="auto"/>
              <w:right w:val="single" w:sz="8" w:space="0" w:color="000000"/>
            </w:tcBorders>
          </w:tcPr>
          <w:p>
            <w:pPr/>
          </w:p>
        </w:tc>
        <w:tc>
          <w:tcPr>
            <w:tcW w:w="907" w:type="dxa"/>
            <w:tcBorders>
              <w:top w:val="single" w:sz="8" w:space="0" w:color="000000"/>
              <w:left w:val="single" w:sz="8" w:space="0" w:color="000000"/>
              <w:bottom w:val="nil" w:sz="6" w:space="0" w:color="auto"/>
              <w:right w:val="single" w:sz="8" w:space="0" w:color="000000"/>
            </w:tcBorders>
          </w:tcPr>
          <w:p>
            <w:pPr/>
          </w:p>
        </w:tc>
        <w:tc>
          <w:tcPr>
            <w:tcW w:w="1723" w:type="dxa"/>
            <w:tcBorders>
              <w:top w:val="single" w:sz="8" w:space="0" w:color="000000"/>
              <w:left w:val="single" w:sz="8" w:space="0" w:color="000000"/>
              <w:bottom w:val="nil" w:sz="6" w:space="0" w:color="auto"/>
              <w:right w:val="single" w:sz="8" w:space="0" w:color="000000"/>
            </w:tcBorders>
          </w:tcPr>
          <w:p>
            <w:pPr>
              <w:pStyle w:val="TableParagraph"/>
              <w:spacing w:line="278"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月起在</w:t>
            </w:r>
          </w:p>
        </w:tc>
      </w:tr>
      <w:tr>
        <w:trPr>
          <w:trHeight w:val="312" w:hRule="exact"/>
        </w:trPr>
        <w:tc>
          <w:tcPr>
            <w:tcW w:w="434"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960" w:type="dxa"/>
            <w:tcBorders>
              <w:top w:val="nil" w:sz="6" w:space="0" w:color="auto"/>
              <w:left w:val="single" w:sz="8" w:space="0" w:color="000000"/>
              <w:bottom w:val="nil" w:sz="6" w:space="0" w:color="auto"/>
              <w:right w:val="single" w:sz="8"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177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60"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0"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07"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公司领取独立董</w:t>
            </w:r>
          </w:p>
        </w:tc>
      </w:tr>
      <w:tr>
        <w:trPr>
          <w:trHeight w:val="315" w:hRule="exact"/>
        </w:trPr>
        <w:tc>
          <w:tcPr>
            <w:tcW w:w="434" w:type="dxa"/>
            <w:tcBorders>
              <w:top w:val="nil" w:sz="6" w:space="0" w:color="auto"/>
              <w:left w:val="single" w:sz="8" w:space="0" w:color="000000"/>
              <w:bottom w:val="single" w:sz="8" w:space="0" w:color="000000"/>
              <w:right w:val="single" w:sz="8" w:space="0" w:color="000000"/>
            </w:tcBorders>
          </w:tcPr>
          <w:p>
            <w:pPr/>
          </w:p>
        </w:tc>
        <w:tc>
          <w:tcPr>
            <w:tcW w:w="960" w:type="dxa"/>
            <w:tcBorders>
              <w:top w:val="nil" w:sz="6" w:space="0" w:color="auto"/>
              <w:left w:val="single" w:sz="8" w:space="0" w:color="000000"/>
              <w:bottom w:val="single" w:sz="8" w:space="0" w:color="000000"/>
              <w:right w:val="single" w:sz="8" w:space="0" w:color="000000"/>
            </w:tcBorders>
          </w:tcPr>
          <w:p>
            <w:pPr/>
          </w:p>
        </w:tc>
        <w:tc>
          <w:tcPr>
            <w:tcW w:w="1771" w:type="dxa"/>
            <w:tcBorders>
              <w:top w:val="nil" w:sz="6" w:space="0" w:color="auto"/>
              <w:left w:val="single" w:sz="8" w:space="0" w:color="000000"/>
              <w:bottom w:val="single" w:sz="8" w:space="0" w:color="000000"/>
              <w:right w:val="single" w:sz="8" w:space="0" w:color="000000"/>
            </w:tcBorders>
          </w:tcPr>
          <w:p>
            <w:pPr/>
          </w:p>
        </w:tc>
        <w:tc>
          <w:tcPr>
            <w:tcW w:w="1260" w:type="dxa"/>
            <w:tcBorders>
              <w:top w:val="nil" w:sz="6" w:space="0" w:color="auto"/>
              <w:left w:val="single" w:sz="8" w:space="0" w:color="000000"/>
              <w:bottom w:val="single" w:sz="8" w:space="0" w:color="000000"/>
              <w:right w:val="single" w:sz="8" w:space="0" w:color="000000"/>
            </w:tcBorders>
          </w:tcPr>
          <w:p>
            <w:pPr/>
          </w:p>
        </w:tc>
        <w:tc>
          <w:tcPr>
            <w:tcW w:w="1620" w:type="dxa"/>
            <w:tcBorders>
              <w:top w:val="nil" w:sz="6" w:space="0" w:color="auto"/>
              <w:left w:val="single" w:sz="8" w:space="0" w:color="000000"/>
              <w:bottom w:val="single" w:sz="8" w:space="0" w:color="000000"/>
              <w:right w:val="single" w:sz="8" w:space="0" w:color="000000"/>
            </w:tcBorders>
          </w:tcPr>
          <w:p>
            <w:pPr/>
          </w:p>
        </w:tc>
        <w:tc>
          <w:tcPr>
            <w:tcW w:w="907" w:type="dxa"/>
            <w:tcBorders>
              <w:top w:val="nil" w:sz="6" w:space="0" w:color="auto"/>
              <w:left w:val="single" w:sz="8" w:space="0" w:color="000000"/>
              <w:bottom w:val="single" w:sz="8" w:space="0" w:color="000000"/>
              <w:right w:val="single" w:sz="8" w:space="0" w:color="000000"/>
            </w:tcBorders>
          </w:tcPr>
          <w:p>
            <w:pPr/>
          </w:p>
        </w:tc>
        <w:tc>
          <w:tcPr>
            <w:tcW w:w="1723" w:type="dxa"/>
            <w:tcBorders>
              <w:top w:val="nil" w:sz="6" w:space="0" w:color="auto"/>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事津贴</w:t>
            </w:r>
          </w:p>
        </w:tc>
      </w:tr>
      <w:tr>
        <w:trPr>
          <w:trHeight w:val="958"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pacing w:val="9"/>
                <w:sz w:val="21"/>
                <w:szCs w:val="21"/>
              </w:rPr>
              <w:t>董事、党委副书</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w w:val="95"/>
                <w:sz w:val="21"/>
                <w:szCs w:val="21"/>
              </w:rPr>
              <w:t>记</w:t>
            </w:r>
            <w:r>
              <w:rPr>
                <w:rFonts w:ascii="宋体" w:hAnsi="宋体" w:cs="宋体" w:eastAsia="宋体" w:hint="default"/>
                <w:spacing w:val="-88"/>
                <w:w w:val="95"/>
                <w:sz w:val="21"/>
                <w:szCs w:val="21"/>
              </w:rPr>
              <w:t> </w:t>
            </w:r>
            <w:r>
              <w:rPr>
                <w:rFonts w:ascii="宋体" w:hAnsi="宋体" w:cs="宋体" w:eastAsia="宋体" w:hint="default"/>
                <w:spacing w:val="-25"/>
                <w:w w:val="95"/>
                <w:sz w:val="21"/>
                <w:szCs w:val="21"/>
              </w:rPr>
              <w:t>、纪</w:t>
            </w:r>
            <w:r>
              <w:rPr>
                <w:rFonts w:ascii="宋体" w:hAnsi="宋体" w:cs="宋体" w:eastAsia="宋体" w:hint="default"/>
                <w:spacing w:val="-90"/>
                <w:w w:val="95"/>
                <w:sz w:val="21"/>
                <w:szCs w:val="21"/>
              </w:rPr>
              <w:t> </w:t>
            </w:r>
            <w:r>
              <w:rPr>
                <w:rFonts w:ascii="宋体" w:hAnsi="宋体" w:cs="宋体" w:eastAsia="宋体" w:hint="default"/>
                <w:spacing w:val="10"/>
                <w:w w:val="95"/>
                <w:sz w:val="21"/>
                <w:szCs w:val="21"/>
              </w:rPr>
              <w:t>委书</w:t>
            </w:r>
            <w:r>
              <w:rPr>
                <w:rFonts w:ascii="宋体" w:hAnsi="宋体" w:cs="宋体" w:eastAsia="宋体" w:hint="default"/>
                <w:spacing w:val="-90"/>
                <w:w w:val="95"/>
                <w:sz w:val="21"/>
                <w:szCs w:val="21"/>
              </w:rPr>
              <w:t> </w:t>
            </w:r>
            <w:r>
              <w:rPr>
                <w:rFonts w:ascii="宋体" w:hAnsi="宋体" w:cs="宋体" w:eastAsia="宋体" w:hint="default"/>
                <w:spacing w:val="-12"/>
                <w:w w:val="95"/>
                <w:sz w:val="21"/>
                <w:szCs w:val="21"/>
              </w:rPr>
              <w:t>记（原</w:t>
            </w:r>
            <w:r>
              <w:rPr>
                <w:rFonts w:ascii="宋体" w:hAnsi="宋体" w:cs="宋体" w:eastAsia="宋体" w:hint="default"/>
                <w:w w:val="100"/>
                <w:sz w:val="21"/>
                <w:szCs w:val="21"/>
              </w:rPr>
              <w:t> </w:t>
            </w:r>
            <w:r>
              <w:rPr>
                <w:rFonts w:ascii="宋体" w:hAnsi="宋体" w:cs="宋体" w:eastAsia="宋体" w:hint="default"/>
                <w:sz w:val="21"/>
                <w:szCs w:val="21"/>
              </w:rPr>
              <w:t>副总经理）</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530,253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before="143"/>
              <w:ind w:left="98"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年全年领取</w:t>
            </w:r>
            <w:r>
              <w:rPr>
                <w:rFonts w:ascii="宋体" w:hAnsi="宋体" w:cs="宋体" w:eastAsia="宋体" w:hint="default"/>
                <w:w w:val="100"/>
                <w:sz w:val="21"/>
                <w:szCs w:val="21"/>
              </w:rPr>
              <w:t> </w:t>
            </w:r>
            <w:r>
              <w:rPr>
                <w:rFonts w:ascii="宋体" w:hAnsi="宋体" w:cs="宋体" w:eastAsia="宋体" w:hint="default"/>
                <w:sz w:val="21"/>
                <w:szCs w:val="21"/>
              </w:rPr>
              <w:t>原职务报酬</w:t>
            </w:r>
          </w:p>
        </w:tc>
      </w:tr>
      <w:tr>
        <w:trPr>
          <w:trHeight w:val="389"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马彦钊</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董事、财务总监</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300,000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89"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pacing w:val="-4"/>
                <w:w w:val="95"/>
                <w:sz w:val="21"/>
                <w:szCs w:val="21"/>
              </w:rPr>
              <w:t>董事（原总经理）</w:t>
            </w:r>
            <w:r>
              <w:rPr>
                <w:rFonts w:ascii="宋体" w:hAnsi="宋体" w:cs="宋体" w:eastAsia="宋体" w:hint="default"/>
                <w:spacing w:val="-4"/>
                <w:sz w:val="21"/>
                <w:szCs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232,904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月</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pacing w:val="9"/>
                <w:sz w:val="21"/>
                <w:szCs w:val="21"/>
              </w:rPr>
              <w:t>董事、副总经理</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（原副总经理）</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539,387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98"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年全年领取</w:t>
            </w:r>
            <w:r>
              <w:rPr>
                <w:rFonts w:ascii="宋体" w:hAnsi="宋体" w:cs="宋体" w:eastAsia="宋体" w:hint="default"/>
                <w:w w:val="100"/>
                <w:sz w:val="21"/>
                <w:szCs w:val="21"/>
              </w:rPr>
              <w:t> </w:t>
            </w:r>
            <w:r>
              <w:rPr>
                <w:rFonts w:ascii="宋体" w:hAnsi="宋体" w:cs="宋体" w:eastAsia="宋体" w:hint="default"/>
                <w:sz w:val="21"/>
                <w:szCs w:val="21"/>
              </w:rPr>
              <w:t>原职务报酬</w:t>
            </w:r>
          </w:p>
        </w:tc>
      </w:tr>
      <w:tr>
        <w:trPr>
          <w:trHeight w:val="328" w:hRule="exact"/>
        </w:trPr>
        <w:tc>
          <w:tcPr>
            <w:tcW w:w="434" w:type="dxa"/>
            <w:tcBorders>
              <w:top w:val="single" w:sz="8" w:space="0" w:color="000000"/>
              <w:left w:val="single" w:sz="8" w:space="0" w:color="000000"/>
              <w:bottom w:val="nil" w:sz="6" w:space="0" w:color="auto"/>
              <w:right w:val="single" w:sz="8" w:space="0" w:color="000000"/>
            </w:tcBorders>
          </w:tcPr>
          <w:p>
            <w:pPr/>
          </w:p>
        </w:tc>
        <w:tc>
          <w:tcPr>
            <w:tcW w:w="960" w:type="dxa"/>
            <w:tcBorders>
              <w:top w:val="single" w:sz="8" w:space="0" w:color="000000"/>
              <w:left w:val="single" w:sz="8" w:space="0" w:color="000000"/>
              <w:bottom w:val="nil" w:sz="6" w:space="0" w:color="auto"/>
              <w:right w:val="single" w:sz="8" w:space="0" w:color="000000"/>
            </w:tcBorders>
          </w:tcPr>
          <w:p>
            <w:pPr/>
          </w:p>
        </w:tc>
        <w:tc>
          <w:tcPr>
            <w:tcW w:w="1771" w:type="dxa"/>
            <w:tcBorders>
              <w:top w:val="single" w:sz="8" w:space="0" w:color="000000"/>
              <w:left w:val="single" w:sz="8" w:space="0" w:color="000000"/>
              <w:bottom w:val="nil" w:sz="6" w:space="0" w:color="auto"/>
              <w:right w:val="single" w:sz="8" w:space="0" w:color="000000"/>
            </w:tcBorders>
          </w:tcPr>
          <w:p>
            <w:pPr/>
          </w:p>
        </w:tc>
        <w:tc>
          <w:tcPr>
            <w:tcW w:w="1260" w:type="dxa"/>
            <w:tcBorders>
              <w:top w:val="single" w:sz="8" w:space="0" w:color="000000"/>
              <w:left w:val="single" w:sz="8" w:space="0" w:color="000000"/>
              <w:bottom w:val="nil" w:sz="6" w:space="0" w:color="auto"/>
              <w:right w:val="single" w:sz="8" w:space="0" w:color="000000"/>
            </w:tcBorders>
          </w:tcPr>
          <w:p>
            <w:pPr/>
          </w:p>
        </w:tc>
        <w:tc>
          <w:tcPr>
            <w:tcW w:w="1620" w:type="dxa"/>
            <w:tcBorders>
              <w:top w:val="single" w:sz="8" w:space="0" w:color="000000"/>
              <w:left w:val="single" w:sz="8" w:space="0" w:color="000000"/>
              <w:bottom w:val="nil" w:sz="6" w:space="0" w:color="auto"/>
              <w:right w:val="single" w:sz="8" w:space="0" w:color="000000"/>
            </w:tcBorders>
          </w:tcPr>
          <w:p>
            <w:pPr/>
          </w:p>
        </w:tc>
        <w:tc>
          <w:tcPr>
            <w:tcW w:w="907" w:type="dxa"/>
            <w:tcBorders>
              <w:top w:val="single" w:sz="8" w:space="0" w:color="000000"/>
              <w:left w:val="single" w:sz="8" w:space="0" w:color="000000"/>
              <w:bottom w:val="nil" w:sz="6" w:space="0" w:color="auto"/>
              <w:right w:val="single" w:sz="8" w:space="0" w:color="000000"/>
            </w:tcBorders>
          </w:tcPr>
          <w:p>
            <w:pPr/>
          </w:p>
        </w:tc>
        <w:tc>
          <w:tcPr>
            <w:tcW w:w="1723" w:type="dxa"/>
            <w:tcBorders>
              <w:top w:val="single" w:sz="8" w:space="0" w:color="000000"/>
              <w:left w:val="single" w:sz="8" w:space="0" w:color="000000"/>
              <w:bottom w:val="nil" w:sz="6" w:space="0" w:color="auto"/>
              <w:right w:val="single" w:sz="8" w:space="0" w:color="000000"/>
            </w:tcBorders>
          </w:tcPr>
          <w:p>
            <w:pPr>
              <w:pStyle w:val="TableParagraph"/>
              <w:spacing w:line="278"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月起任</w:t>
            </w:r>
          </w:p>
        </w:tc>
      </w:tr>
      <w:tr>
        <w:trPr>
          <w:trHeight w:val="312" w:hRule="exact"/>
        </w:trPr>
        <w:tc>
          <w:tcPr>
            <w:tcW w:w="434"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sz w:val="21"/>
              </w:rPr>
              <w:t>12</w:t>
            </w:r>
          </w:p>
        </w:tc>
        <w:tc>
          <w:tcPr>
            <w:tcW w:w="960" w:type="dxa"/>
            <w:tcBorders>
              <w:top w:val="nil" w:sz="6" w:space="0" w:color="auto"/>
              <w:left w:val="single" w:sz="8" w:space="0" w:color="000000"/>
              <w:bottom w:val="nil" w:sz="6" w:space="0" w:color="auto"/>
              <w:right w:val="single" w:sz="8"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周润国</w:t>
            </w:r>
          </w:p>
        </w:tc>
        <w:tc>
          <w:tcPr>
            <w:tcW w:w="177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260"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sz w:val="21"/>
              </w:rPr>
              <w:t>300,000</w:t>
            </w:r>
          </w:p>
        </w:tc>
        <w:tc>
          <w:tcPr>
            <w:tcW w:w="1620" w:type="dxa"/>
            <w:tcBorders>
              <w:top w:val="nil" w:sz="6" w:space="0" w:color="auto"/>
              <w:left w:val="single" w:sz="8" w:space="0" w:color="000000"/>
              <w:bottom w:val="nil" w:sz="6" w:space="0" w:color="auto"/>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7"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监事会主席并在</w:t>
            </w:r>
          </w:p>
        </w:tc>
      </w:tr>
      <w:tr>
        <w:trPr>
          <w:trHeight w:val="317" w:hRule="exact"/>
        </w:trPr>
        <w:tc>
          <w:tcPr>
            <w:tcW w:w="434" w:type="dxa"/>
            <w:tcBorders>
              <w:top w:val="nil" w:sz="6" w:space="0" w:color="auto"/>
              <w:left w:val="single" w:sz="8" w:space="0" w:color="000000"/>
              <w:bottom w:val="single" w:sz="8" w:space="0" w:color="000000"/>
              <w:right w:val="single" w:sz="8" w:space="0" w:color="000000"/>
            </w:tcBorders>
          </w:tcPr>
          <w:p>
            <w:pPr/>
          </w:p>
        </w:tc>
        <w:tc>
          <w:tcPr>
            <w:tcW w:w="960" w:type="dxa"/>
            <w:tcBorders>
              <w:top w:val="nil" w:sz="6" w:space="0" w:color="auto"/>
              <w:left w:val="single" w:sz="8" w:space="0" w:color="000000"/>
              <w:bottom w:val="single" w:sz="8" w:space="0" w:color="000000"/>
              <w:right w:val="single" w:sz="8" w:space="0" w:color="000000"/>
            </w:tcBorders>
          </w:tcPr>
          <w:p>
            <w:pPr/>
          </w:p>
        </w:tc>
        <w:tc>
          <w:tcPr>
            <w:tcW w:w="1771" w:type="dxa"/>
            <w:tcBorders>
              <w:top w:val="nil" w:sz="6" w:space="0" w:color="auto"/>
              <w:left w:val="single" w:sz="8" w:space="0" w:color="000000"/>
              <w:bottom w:val="single" w:sz="8" w:space="0" w:color="000000"/>
              <w:right w:val="single" w:sz="8" w:space="0" w:color="000000"/>
            </w:tcBorders>
          </w:tcPr>
          <w:p>
            <w:pPr/>
          </w:p>
        </w:tc>
        <w:tc>
          <w:tcPr>
            <w:tcW w:w="1260" w:type="dxa"/>
            <w:tcBorders>
              <w:top w:val="nil" w:sz="6" w:space="0" w:color="auto"/>
              <w:left w:val="single" w:sz="8" w:space="0" w:color="000000"/>
              <w:bottom w:val="single" w:sz="8" w:space="0" w:color="000000"/>
              <w:right w:val="single" w:sz="8" w:space="0" w:color="000000"/>
            </w:tcBorders>
          </w:tcPr>
          <w:p>
            <w:pPr/>
          </w:p>
        </w:tc>
        <w:tc>
          <w:tcPr>
            <w:tcW w:w="1620" w:type="dxa"/>
            <w:tcBorders>
              <w:top w:val="nil" w:sz="6" w:space="0" w:color="auto"/>
              <w:left w:val="single" w:sz="8" w:space="0" w:color="000000"/>
              <w:bottom w:val="single" w:sz="8" w:space="0" w:color="000000"/>
              <w:right w:val="single" w:sz="8" w:space="0" w:color="000000"/>
            </w:tcBorders>
          </w:tcPr>
          <w:p>
            <w:pPr/>
          </w:p>
        </w:tc>
        <w:tc>
          <w:tcPr>
            <w:tcW w:w="907" w:type="dxa"/>
            <w:tcBorders>
              <w:top w:val="nil" w:sz="6" w:space="0" w:color="auto"/>
              <w:left w:val="single" w:sz="8" w:space="0" w:color="000000"/>
              <w:bottom w:val="single" w:sz="8" w:space="0" w:color="000000"/>
              <w:right w:val="single" w:sz="8" w:space="0" w:color="000000"/>
            </w:tcBorders>
          </w:tcPr>
          <w:p>
            <w:pPr/>
          </w:p>
        </w:tc>
        <w:tc>
          <w:tcPr>
            <w:tcW w:w="1723" w:type="dxa"/>
            <w:tcBorders>
              <w:top w:val="nil" w:sz="6" w:space="0" w:color="auto"/>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公司领取报酬</w:t>
            </w:r>
          </w:p>
        </w:tc>
      </w:tr>
      <w:tr>
        <w:trPr>
          <w:trHeight w:val="389"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13</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289,384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26" w:hRule="exact"/>
        </w:trPr>
        <w:tc>
          <w:tcPr>
            <w:tcW w:w="434" w:type="dxa"/>
            <w:tcBorders>
              <w:top w:val="single" w:sz="8" w:space="0" w:color="000000"/>
              <w:left w:val="single" w:sz="8" w:space="0" w:color="000000"/>
              <w:bottom w:val="nil" w:sz="6" w:space="0" w:color="auto"/>
              <w:right w:val="single" w:sz="8" w:space="0" w:color="000000"/>
            </w:tcBorders>
          </w:tcPr>
          <w:p>
            <w:pPr/>
          </w:p>
        </w:tc>
        <w:tc>
          <w:tcPr>
            <w:tcW w:w="960" w:type="dxa"/>
            <w:tcBorders>
              <w:top w:val="single" w:sz="8" w:space="0" w:color="000000"/>
              <w:left w:val="single" w:sz="8" w:space="0" w:color="000000"/>
              <w:bottom w:val="nil" w:sz="6" w:space="0" w:color="auto"/>
              <w:right w:val="single" w:sz="8" w:space="0" w:color="000000"/>
            </w:tcBorders>
          </w:tcPr>
          <w:p>
            <w:pPr/>
          </w:p>
        </w:tc>
        <w:tc>
          <w:tcPr>
            <w:tcW w:w="1771" w:type="dxa"/>
            <w:tcBorders>
              <w:top w:val="single" w:sz="8" w:space="0" w:color="000000"/>
              <w:left w:val="single" w:sz="8" w:space="0" w:color="000000"/>
              <w:bottom w:val="nil" w:sz="6" w:space="0" w:color="auto"/>
              <w:right w:val="single" w:sz="8" w:space="0" w:color="000000"/>
            </w:tcBorders>
          </w:tcPr>
          <w:p>
            <w:pPr/>
          </w:p>
        </w:tc>
        <w:tc>
          <w:tcPr>
            <w:tcW w:w="1260" w:type="dxa"/>
            <w:tcBorders>
              <w:top w:val="single" w:sz="8" w:space="0" w:color="000000"/>
              <w:left w:val="single" w:sz="8" w:space="0" w:color="000000"/>
              <w:bottom w:val="nil" w:sz="6" w:space="0" w:color="auto"/>
              <w:right w:val="single" w:sz="8" w:space="0" w:color="000000"/>
            </w:tcBorders>
          </w:tcPr>
          <w:p>
            <w:pPr/>
          </w:p>
        </w:tc>
        <w:tc>
          <w:tcPr>
            <w:tcW w:w="1620" w:type="dxa"/>
            <w:tcBorders>
              <w:top w:val="single" w:sz="8" w:space="0" w:color="000000"/>
              <w:left w:val="single" w:sz="8" w:space="0" w:color="000000"/>
              <w:bottom w:val="nil" w:sz="6" w:space="0" w:color="auto"/>
              <w:right w:val="single" w:sz="8" w:space="0" w:color="000000"/>
            </w:tcBorders>
          </w:tcPr>
          <w:p>
            <w:pPr/>
          </w:p>
        </w:tc>
        <w:tc>
          <w:tcPr>
            <w:tcW w:w="907" w:type="dxa"/>
            <w:tcBorders>
              <w:top w:val="single" w:sz="8" w:space="0" w:color="000000"/>
              <w:left w:val="single" w:sz="8" w:space="0" w:color="000000"/>
              <w:bottom w:val="nil" w:sz="6" w:space="0" w:color="auto"/>
              <w:right w:val="single" w:sz="8" w:space="0" w:color="000000"/>
            </w:tcBorders>
          </w:tcPr>
          <w:p>
            <w:pPr/>
          </w:p>
        </w:tc>
        <w:tc>
          <w:tcPr>
            <w:tcW w:w="1723" w:type="dxa"/>
            <w:tcBorders>
              <w:top w:val="single" w:sz="8" w:space="0" w:color="000000"/>
              <w:left w:val="single" w:sz="8" w:space="0" w:color="000000"/>
              <w:bottom w:val="nil" w:sz="6" w:space="0" w:color="auto"/>
              <w:right w:val="single" w:sz="8" w:space="0" w:color="000000"/>
            </w:tcBorders>
          </w:tcPr>
          <w:p>
            <w:pPr>
              <w:pStyle w:val="TableParagraph"/>
              <w:spacing w:line="276"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月起任</w:t>
            </w:r>
          </w:p>
        </w:tc>
      </w:tr>
      <w:tr>
        <w:trPr>
          <w:trHeight w:val="312" w:hRule="exact"/>
        </w:trPr>
        <w:tc>
          <w:tcPr>
            <w:tcW w:w="434"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sz w:val="21"/>
              </w:rPr>
              <w:t>14</w:t>
            </w:r>
          </w:p>
        </w:tc>
        <w:tc>
          <w:tcPr>
            <w:tcW w:w="960" w:type="dxa"/>
            <w:tcBorders>
              <w:top w:val="nil" w:sz="6" w:space="0" w:color="auto"/>
              <w:left w:val="single" w:sz="8" w:space="0" w:color="000000"/>
              <w:bottom w:val="nil" w:sz="6" w:space="0" w:color="auto"/>
              <w:right w:val="single" w:sz="8" w:space="0" w:color="000000"/>
            </w:tcBorders>
          </w:tcPr>
          <w:p>
            <w:pPr>
              <w:pStyle w:val="TableParagraph"/>
              <w:tabs>
                <w:tab w:pos="419" w:val="left" w:leader="none"/>
              </w:tabs>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高</w:t>
              <w:tab/>
              <w:t>巍</w:t>
            </w:r>
          </w:p>
        </w:tc>
        <w:tc>
          <w:tcPr>
            <w:tcW w:w="1771"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0" w:type="dxa"/>
            <w:tcBorders>
              <w:top w:val="nil" w:sz="6" w:space="0" w:color="auto"/>
              <w:left w:val="single" w:sz="8" w:space="0" w:color="000000"/>
              <w:bottom w:val="nil" w:sz="6" w:space="0" w:color="auto"/>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1"/>
                <w:szCs w:val="21"/>
              </w:rPr>
            </w:pPr>
            <w:r>
              <w:rPr>
                <w:rFonts w:ascii="Times New Roman"/>
                <w:sz w:val="21"/>
              </w:rPr>
              <w:t>250,645</w:t>
            </w:r>
          </w:p>
        </w:tc>
        <w:tc>
          <w:tcPr>
            <w:tcW w:w="1620" w:type="dxa"/>
            <w:tcBorders>
              <w:top w:val="nil" w:sz="6" w:space="0" w:color="auto"/>
              <w:left w:val="single" w:sz="8" w:space="0" w:color="000000"/>
              <w:bottom w:val="nil" w:sz="6" w:space="0" w:color="auto"/>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7"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监事，此前未任</w:t>
            </w:r>
          </w:p>
        </w:tc>
      </w:tr>
      <w:tr>
        <w:trPr>
          <w:trHeight w:val="337" w:hRule="exact"/>
        </w:trPr>
        <w:tc>
          <w:tcPr>
            <w:tcW w:w="434" w:type="dxa"/>
            <w:tcBorders>
              <w:top w:val="nil" w:sz="6" w:space="0" w:color="auto"/>
              <w:left w:val="single" w:sz="8" w:space="0" w:color="000000"/>
              <w:bottom w:val="single" w:sz="8" w:space="0" w:color="000000"/>
              <w:right w:val="single" w:sz="8" w:space="0" w:color="000000"/>
            </w:tcBorders>
          </w:tcPr>
          <w:p>
            <w:pPr/>
          </w:p>
        </w:tc>
        <w:tc>
          <w:tcPr>
            <w:tcW w:w="960" w:type="dxa"/>
            <w:tcBorders>
              <w:top w:val="nil" w:sz="6" w:space="0" w:color="auto"/>
              <w:left w:val="single" w:sz="8" w:space="0" w:color="000000"/>
              <w:bottom w:val="single" w:sz="8" w:space="0" w:color="000000"/>
              <w:right w:val="single" w:sz="8" w:space="0" w:color="000000"/>
            </w:tcBorders>
          </w:tcPr>
          <w:p>
            <w:pPr/>
          </w:p>
        </w:tc>
        <w:tc>
          <w:tcPr>
            <w:tcW w:w="1771" w:type="dxa"/>
            <w:tcBorders>
              <w:top w:val="nil" w:sz="6" w:space="0" w:color="auto"/>
              <w:left w:val="single" w:sz="8" w:space="0" w:color="000000"/>
              <w:bottom w:val="single" w:sz="8" w:space="0" w:color="000000"/>
              <w:right w:val="single" w:sz="8" w:space="0" w:color="000000"/>
            </w:tcBorders>
          </w:tcPr>
          <w:p>
            <w:pPr/>
          </w:p>
        </w:tc>
        <w:tc>
          <w:tcPr>
            <w:tcW w:w="1260" w:type="dxa"/>
            <w:tcBorders>
              <w:top w:val="nil" w:sz="6" w:space="0" w:color="auto"/>
              <w:left w:val="single" w:sz="8" w:space="0" w:color="000000"/>
              <w:bottom w:val="single" w:sz="8" w:space="0" w:color="000000"/>
              <w:right w:val="single" w:sz="8" w:space="0" w:color="000000"/>
            </w:tcBorders>
          </w:tcPr>
          <w:p>
            <w:pPr/>
          </w:p>
        </w:tc>
        <w:tc>
          <w:tcPr>
            <w:tcW w:w="1620" w:type="dxa"/>
            <w:tcBorders>
              <w:top w:val="nil" w:sz="6" w:space="0" w:color="auto"/>
              <w:left w:val="single" w:sz="8" w:space="0" w:color="000000"/>
              <w:bottom w:val="single" w:sz="8" w:space="0" w:color="000000"/>
              <w:right w:val="single" w:sz="8" w:space="0" w:color="000000"/>
            </w:tcBorders>
          </w:tcPr>
          <w:p>
            <w:pPr/>
          </w:p>
        </w:tc>
        <w:tc>
          <w:tcPr>
            <w:tcW w:w="907" w:type="dxa"/>
            <w:tcBorders>
              <w:top w:val="nil" w:sz="6" w:space="0" w:color="auto"/>
              <w:left w:val="single" w:sz="8" w:space="0" w:color="000000"/>
              <w:bottom w:val="single" w:sz="8" w:space="0" w:color="000000"/>
              <w:right w:val="single" w:sz="8" w:space="0" w:color="000000"/>
            </w:tcBorders>
          </w:tcPr>
          <w:p>
            <w:pPr/>
          </w:p>
        </w:tc>
        <w:tc>
          <w:tcPr>
            <w:tcW w:w="1723" w:type="dxa"/>
            <w:tcBorders>
              <w:top w:val="nil" w:sz="6" w:space="0" w:color="auto"/>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w w:val="90"/>
                <w:sz w:val="21"/>
                <w:szCs w:val="21"/>
              </w:rPr>
              <w:t>公司董事、监事、</w:t>
            </w:r>
            <w:r>
              <w:rPr>
                <w:rFonts w:ascii="宋体" w:hAnsi="宋体" w:cs="宋体" w:eastAsia="宋体" w:hint="default"/>
                <w:sz w:val="21"/>
                <w:szCs w:val="21"/>
              </w:rPr>
            </w:r>
          </w:p>
        </w:tc>
      </w:tr>
    </w:tbl>
    <w:p>
      <w:pPr>
        <w:spacing w:after="0" w:line="256" w:lineRule="exact"/>
        <w:jc w:val="left"/>
        <w:rPr>
          <w:rFonts w:ascii="宋体" w:hAnsi="宋体" w:cs="宋体" w:eastAsia="宋体" w:hint="default"/>
          <w:sz w:val="21"/>
          <w:szCs w:val="21"/>
        </w:rPr>
        <w:sectPr>
          <w:headerReference w:type="default" r:id="rId31"/>
          <w:footerReference w:type="default" r:id="rId32"/>
          <w:pgSz w:w="11910" w:h="16840"/>
          <w:pgMar w:header="0" w:footer="1095" w:top="1100" w:bottom="1280" w:left="1680" w:right="1220"/>
          <w:pgNumType w:start="20"/>
        </w:sectPr>
      </w:pPr>
    </w:p>
    <w:p>
      <w:pPr>
        <w:spacing w:line="240" w:lineRule="auto" w:before="6"/>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434"/>
        <w:gridCol w:w="960"/>
        <w:gridCol w:w="1771"/>
        <w:gridCol w:w="1260"/>
        <w:gridCol w:w="1620"/>
        <w:gridCol w:w="907"/>
        <w:gridCol w:w="1723"/>
      </w:tblGrid>
      <w:tr>
        <w:trPr>
          <w:trHeight w:val="389" w:hRule="exact"/>
        </w:trPr>
        <w:tc>
          <w:tcPr>
            <w:tcW w:w="434"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07"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高级管理人员</w:t>
            </w:r>
          </w:p>
        </w:tc>
      </w:tr>
      <w:tr>
        <w:trPr>
          <w:trHeight w:val="1894"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林映文</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64" w:lineRule="auto"/>
              <w:ind w:left="98" w:right="94"/>
              <w:jc w:val="both"/>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pacing w:val="7"/>
                <w:sz w:val="21"/>
                <w:szCs w:val="21"/>
              </w:rPr>
              <w:t>月起</w:t>
            </w:r>
            <w:r>
              <w:rPr>
                <w:rFonts w:ascii="宋体" w:hAnsi="宋体" w:cs="宋体" w:eastAsia="宋体" w:hint="default"/>
                <w:w w:val="100"/>
                <w:sz w:val="21"/>
                <w:szCs w:val="21"/>
              </w:rPr>
              <w:t> </w:t>
            </w:r>
            <w:r>
              <w:rPr>
                <w:rFonts w:ascii="宋体" w:hAnsi="宋体" w:cs="宋体" w:eastAsia="宋体" w:hint="default"/>
                <w:spacing w:val="-3"/>
                <w:sz w:val="21"/>
                <w:szCs w:val="21"/>
              </w:rPr>
              <w:t>任监事（</w:t>
            </w:r>
            <w:r>
              <w:rPr>
                <w:rFonts w:ascii="Times New Roman" w:hAnsi="Times New Roman" w:cs="Times New Roman" w:eastAsia="Times New Roman" w:hint="default"/>
                <w:spacing w:val="-3"/>
                <w:sz w:val="21"/>
                <w:szCs w:val="21"/>
              </w:rPr>
              <w:t>2010 </w:t>
            </w:r>
            <w:r>
              <w:rPr>
                <w:rFonts w:ascii="宋体" w:hAnsi="宋体" w:cs="宋体" w:eastAsia="宋体" w:hint="default"/>
                <w:sz w:val="21"/>
                <w:szCs w:val="21"/>
              </w:rPr>
              <w:t>年</w:t>
            </w:r>
            <w:r>
              <w:rPr>
                <w:rFonts w:ascii="宋体" w:hAnsi="宋体" w:cs="宋体" w:eastAsia="宋体" w:hint="default"/>
                <w:spacing w:val="-9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起</w:t>
            </w:r>
            <w:r>
              <w:rPr>
                <w:rFonts w:ascii="宋体" w:hAnsi="宋体" w:cs="宋体" w:eastAsia="宋体" w:hint="default"/>
                <w:spacing w:val="-47"/>
                <w:sz w:val="21"/>
                <w:szCs w:val="21"/>
              </w:rPr>
              <w:t> </w:t>
            </w:r>
            <w:r>
              <w:rPr>
                <w:rFonts w:ascii="宋体" w:hAnsi="宋体" w:cs="宋体" w:eastAsia="宋体" w:hint="default"/>
                <w:sz w:val="21"/>
                <w:szCs w:val="21"/>
              </w:rPr>
              <w:t>统</w:t>
            </w:r>
            <w:r>
              <w:rPr>
                <w:rFonts w:ascii="宋体" w:hAnsi="宋体" w:cs="宋体" w:eastAsia="宋体" w:hint="default"/>
                <w:spacing w:val="-47"/>
                <w:sz w:val="21"/>
                <w:szCs w:val="21"/>
              </w:rPr>
              <w:t> </w:t>
            </w:r>
            <w:r>
              <w:rPr>
                <w:rFonts w:ascii="宋体" w:hAnsi="宋体" w:cs="宋体" w:eastAsia="宋体" w:hint="default"/>
                <w:sz w:val="21"/>
                <w:szCs w:val="21"/>
              </w:rPr>
              <w:t>计</w:t>
            </w:r>
            <w:r>
              <w:rPr>
                <w:rFonts w:ascii="宋体" w:hAnsi="宋体" w:cs="宋体" w:eastAsia="宋体" w:hint="default"/>
                <w:spacing w:val="-49"/>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酬），此前未任</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w w:val="90"/>
                <w:sz w:val="21"/>
                <w:szCs w:val="21"/>
              </w:rPr>
              <w:t>公司董事、监事、</w:t>
            </w:r>
            <w:r>
              <w:rPr>
                <w:rFonts w:ascii="宋体" w:hAnsi="宋体" w:cs="宋体" w:eastAsia="宋体" w:hint="default"/>
                <w:w w:val="51"/>
                <w:sz w:val="21"/>
                <w:szCs w:val="21"/>
              </w:rPr>
              <w:t> </w:t>
            </w:r>
            <w:r>
              <w:rPr>
                <w:rFonts w:ascii="宋体" w:hAnsi="宋体" w:cs="宋体" w:eastAsia="宋体" w:hint="default"/>
                <w:sz w:val="21"/>
                <w:szCs w:val="21"/>
              </w:rPr>
              <w:t>高级管理人员</w:t>
            </w:r>
          </w:p>
        </w:tc>
      </w:tr>
      <w:tr>
        <w:trPr>
          <w:trHeight w:val="643"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pacing w:val="9"/>
                <w:sz w:val="21"/>
                <w:szCs w:val="21"/>
              </w:rPr>
              <w:t>副总经理（原董</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pacing w:val="-4"/>
                <w:w w:val="95"/>
                <w:sz w:val="21"/>
                <w:szCs w:val="21"/>
              </w:rPr>
              <w:t>事、董事会秘书）</w:t>
            </w:r>
            <w:r>
              <w:rPr>
                <w:rFonts w:ascii="宋体" w:hAnsi="宋体" w:cs="宋体" w:eastAsia="宋体" w:hint="default"/>
                <w:spacing w:val="-4"/>
                <w:sz w:val="21"/>
                <w:szCs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539,387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年全年领取</w:t>
            </w:r>
          </w:p>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原职务报酬</w:t>
            </w:r>
          </w:p>
        </w:tc>
      </w:tr>
      <w:tr>
        <w:trPr>
          <w:trHeight w:val="1579"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 w:right="0"/>
              <w:jc w:val="center"/>
              <w:rPr>
                <w:rFonts w:ascii="Times New Roman" w:hAnsi="Times New Roman" w:cs="Times New Roman" w:eastAsia="Times New Roman" w:hint="default"/>
                <w:sz w:val="21"/>
                <w:szCs w:val="21"/>
              </w:rPr>
            </w:pPr>
            <w:r>
              <w:rPr>
                <w:rFonts w:ascii="Times New Roman"/>
                <w:sz w:val="21"/>
              </w:rPr>
              <w:t>17</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钟辉红</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68" w:lineRule="auto"/>
              <w:ind w:left="98"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取</w:t>
            </w:r>
            <w:r>
              <w:rPr>
                <w:rFonts w:ascii="宋体" w:hAnsi="宋体" w:cs="宋体" w:eastAsia="宋体" w:hint="default"/>
                <w:spacing w:val="-62"/>
                <w:sz w:val="21"/>
                <w:szCs w:val="21"/>
              </w:rPr>
              <w:t> </w:t>
            </w:r>
            <w:r>
              <w:rPr>
                <w:rFonts w:ascii="宋体" w:hAnsi="宋体" w:cs="宋体" w:eastAsia="宋体" w:hint="default"/>
                <w:sz w:val="21"/>
                <w:szCs w:val="21"/>
              </w:rPr>
              <w:t>现</w:t>
            </w:r>
            <w:r>
              <w:rPr>
                <w:rFonts w:ascii="宋体" w:hAnsi="宋体" w:cs="宋体" w:eastAsia="宋体" w:hint="default"/>
                <w:spacing w:val="-57"/>
                <w:sz w:val="21"/>
                <w:szCs w:val="21"/>
              </w:rPr>
              <w:t> </w:t>
            </w:r>
            <w:r>
              <w:rPr>
                <w:rFonts w:ascii="宋体" w:hAnsi="宋体" w:cs="宋体" w:eastAsia="宋体" w:hint="default"/>
                <w:sz w:val="21"/>
                <w:szCs w:val="21"/>
              </w:rPr>
              <w:t>任</w:t>
            </w:r>
            <w:r>
              <w:rPr>
                <w:rFonts w:ascii="宋体" w:hAnsi="宋体" w:cs="宋体" w:eastAsia="宋体" w:hint="default"/>
                <w:spacing w:val="-60"/>
                <w:sz w:val="21"/>
                <w:szCs w:val="21"/>
              </w:rPr>
              <w:t> </w:t>
            </w:r>
            <w:r>
              <w:rPr>
                <w:rFonts w:ascii="宋体" w:hAnsi="宋体" w:cs="宋体" w:eastAsia="宋体" w:hint="default"/>
                <w:sz w:val="21"/>
                <w:szCs w:val="21"/>
              </w:rPr>
              <w:t>职</w:t>
            </w:r>
            <w:r>
              <w:rPr>
                <w:rFonts w:ascii="宋体" w:hAnsi="宋体" w:cs="宋体" w:eastAsia="宋体" w:hint="default"/>
                <w:spacing w:val="-57"/>
                <w:sz w:val="21"/>
                <w:szCs w:val="21"/>
              </w:rPr>
              <w:t> </w:t>
            </w:r>
            <w:r>
              <w:rPr>
                <w:rFonts w:ascii="宋体" w:hAnsi="宋体" w:cs="宋体" w:eastAsia="宋体" w:hint="default"/>
                <w:sz w:val="21"/>
                <w:szCs w:val="21"/>
              </w:rPr>
              <w:t>务</w:t>
            </w:r>
            <w:r>
              <w:rPr>
                <w:rFonts w:ascii="宋体" w:hAnsi="宋体" w:cs="宋体" w:eastAsia="宋体" w:hint="default"/>
                <w:spacing w:val="-57"/>
                <w:sz w:val="21"/>
                <w:szCs w:val="21"/>
              </w:rPr>
              <w:t> </w:t>
            </w:r>
            <w:r>
              <w:rPr>
                <w:rFonts w:ascii="宋体" w:hAnsi="宋体" w:cs="宋体" w:eastAsia="宋体" w:hint="default"/>
                <w:sz w:val="21"/>
                <w:szCs w:val="21"/>
              </w:rPr>
              <w:t>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酬，此前未任公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3"/>
                <w:sz w:val="21"/>
                <w:szCs w:val="21"/>
              </w:rPr>
              <w:t>司董事、</w:t>
            </w:r>
            <w:r>
              <w:rPr>
                <w:rFonts w:ascii="宋体" w:hAnsi="宋体" w:cs="宋体" w:eastAsia="宋体" w:hint="default"/>
                <w:spacing w:val="-76"/>
                <w:sz w:val="21"/>
                <w:szCs w:val="21"/>
              </w:rPr>
              <w:t> </w:t>
            </w:r>
            <w:r>
              <w:rPr>
                <w:rFonts w:ascii="宋体" w:hAnsi="宋体" w:cs="宋体" w:eastAsia="宋体" w:hint="default"/>
                <w:spacing w:val="12"/>
                <w:sz w:val="21"/>
                <w:szCs w:val="21"/>
              </w:rPr>
              <w:t>监事、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高级管理人员</w:t>
            </w:r>
          </w:p>
        </w:tc>
      </w:tr>
      <w:tr>
        <w:trPr>
          <w:trHeight w:val="1582"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 w:right="0"/>
              <w:jc w:val="center"/>
              <w:rPr>
                <w:rFonts w:ascii="Times New Roman" w:hAnsi="Times New Roman" w:cs="Times New Roman" w:eastAsia="Times New Roman" w:hint="default"/>
                <w:sz w:val="21"/>
                <w:szCs w:val="21"/>
              </w:rPr>
            </w:pPr>
            <w:r>
              <w:rPr>
                <w:rFonts w:ascii="Times New Roman"/>
                <w:sz w:val="21"/>
              </w:rPr>
              <w:t>18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tabs>
                <w:tab w:pos="419"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w:t>
              <w:tab/>
              <w:t>键</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68" w:lineRule="auto"/>
              <w:ind w:left="98"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取</w:t>
            </w:r>
            <w:r>
              <w:rPr>
                <w:rFonts w:ascii="宋体" w:hAnsi="宋体" w:cs="宋体" w:eastAsia="宋体" w:hint="default"/>
                <w:spacing w:val="-62"/>
                <w:sz w:val="21"/>
                <w:szCs w:val="21"/>
              </w:rPr>
              <w:t> </w:t>
            </w:r>
            <w:r>
              <w:rPr>
                <w:rFonts w:ascii="宋体" w:hAnsi="宋体" w:cs="宋体" w:eastAsia="宋体" w:hint="default"/>
                <w:sz w:val="21"/>
                <w:szCs w:val="21"/>
              </w:rPr>
              <w:t>现</w:t>
            </w:r>
            <w:r>
              <w:rPr>
                <w:rFonts w:ascii="宋体" w:hAnsi="宋体" w:cs="宋体" w:eastAsia="宋体" w:hint="default"/>
                <w:spacing w:val="-57"/>
                <w:sz w:val="21"/>
                <w:szCs w:val="21"/>
              </w:rPr>
              <w:t> </w:t>
            </w:r>
            <w:r>
              <w:rPr>
                <w:rFonts w:ascii="宋体" w:hAnsi="宋体" w:cs="宋体" w:eastAsia="宋体" w:hint="default"/>
                <w:sz w:val="21"/>
                <w:szCs w:val="21"/>
              </w:rPr>
              <w:t>任</w:t>
            </w:r>
            <w:r>
              <w:rPr>
                <w:rFonts w:ascii="宋体" w:hAnsi="宋体" w:cs="宋体" w:eastAsia="宋体" w:hint="default"/>
                <w:spacing w:val="-60"/>
                <w:sz w:val="21"/>
                <w:szCs w:val="21"/>
              </w:rPr>
              <w:t> </w:t>
            </w:r>
            <w:r>
              <w:rPr>
                <w:rFonts w:ascii="宋体" w:hAnsi="宋体" w:cs="宋体" w:eastAsia="宋体" w:hint="default"/>
                <w:sz w:val="21"/>
                <w:szCs w:val="21"/>
              </w:rPr>
              <w:t>职</w:t>
            </w:r>
            <w:r>
              <w:rPr>
                <w:rFonts w:ascii="宋体" w:hAnsi="宋体" w:cs="宋体" w:eastAsia="宋体" w:hint="default"/>
                <w:spacing w:val="-57"/>
                <w:sz w:val="21"/>
                <w:szCs w:val="21"/>
              </w:rPr>
              <w:t> </w:t>
            </w:r>
            <w:r>
              <w:rPr>
                <w:rFonts w:ascii="宋体" w:hAnsi="宋体" w:cs="宋体" w:eastAsia="宋体" w:hint="default"/>
                <w:sz w:val="21"/>
                <w:szCs w:val="21"/>
              </w:rPr>
              <w:t>务</w:t>
            </w:r>
            <w:r>
              <w:rPr>
                <w:rFonts w:ascii="宋体" w:hAnsi="宋体" w:cs="宋体" w:eastAsia="宋体" w:hint="default"/>
                <w:spacing w:val="-57"/>
                <w:sz w:val="21"/>
                <w:szCs w:val="21"/>
              </w:rPr>
              <w:t> </w:t>
            </w:r>
            <w:r>
              <w:rPr>
                <w:rFonts w:ascii="宋体" w:hAnsi="宋体" w:cs="宋体" w:eastAsia="宋体" w:hint="default"/>
                <w:sz w:val="21"/>
                <w:szCs w:val="21"/>
              </w:rPr>
              <w:t>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酬，此前未任公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3"/>
                <w:sz w:val="21"/>
                <w:szCs w:val="21"/>
              </w:rPr>
              <w:t>司董事、</w:t>
            </w:r>
            <w:r>
              <w:rPr>
                <w:rFonts w:ascii="宋体" w:hAnsi="宋体" w:cs="宋体" w:eastAsia="宋体" w:hint="default"/>
                <w:spacing w:val="-76"/>
                <w:sz w:val="21"/>
                <w:szCs w:val="21"/>
              </w:rPr>
              <w:t> </w:t>
            </w:r>
            <w:r>
              <w:rPr>
                <w:rFonts w:ascii="宋体" w:hAnsi="宋体" w:cs="宋体" w:eastAsia="宋体" w:hint="default"/>
                <w:spacing w:val="12"/>
                <w:sz w:val="21"/>
                <w:szCs w:val="21"/>
              </w:rPr>
              <w:t>监事、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高级管理人员</w:t>
            </w:r>
          </w:p>
        </w:tc>
      </w:tr>
      <w:tr>
        <w:trPr>
          <w:trHeight w:val="1579"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sz w:val="21"/>
              </w:rPr>
              <w:t>19</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刘雄佳</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月起领</w:t>
            </w:r>
          </w:p>
          <w:p>
            <w:pPr>
              <w:pStyle w:val="TableParagraph"/>
              <w:spacing w:line="273" w:lineRule="auto" w:before="21"/>
              <w:ind w:left="98" w:right="2"/>
              <w:jc w:val="left"/>
              <w:rPr>
                <w:rFonts w:ascii="宋体" w:hAnsi="宋体" w:cs="宋体" w:eastAsia="宋体" w:hint="default"/>
                <w:sz w:val="21"/>
                <w:szCs w:val="21"/>
              </w:rPr>
            </w:pPr>
            <w:r>
              <w:rPr>
                <w:rFonts w:ascii="宋体" w:hAnsi="宋体" w:cs="宋体" w:eastAsia="宋体" w:hint="default"/>
                <w:sz w:val="21"/>
                <w:szCs w:val="21"/>
              </w:rPr>
              <w:t>取</w:t>
            </w:r>
            <w:r>
              <w:rPr>
                <w:rFonts w:ascii="宋体" w:hAnsi="宋体" w:cs="宋体" w:eastAsia="宋体" w:hint="default"/>
                <w:spacing w:val="-62"/>
                <w:sz w:val="21"/>
                <w:szCs w:val="21"/>
              </w:rPr>
              <w:t> </w:t>
            </w:r>
            <w:r>
              <w:rPr>
                <w:rFonts w:ascii="宋体" w:hAnsi="宋体" w:cs="宋体" w:eastAsia="宋体" w:hint="default"/>
                <w:sz w:val="21"/>
                <w:szCs w:val="21"/>
              </w:rPr>
              <w:t>现</w:t>
            </w:r>
            <w:r>
              <w:rPr>
                <w:rFonts w:ascii="宋体" w:hAnsi="宋体" w:cs="宋体" w:eastAsia="宋体" w:hint="default"/>
                <w:spacing w:val="-57"/>
                <w:sz w:val="21"/>
                <w:szCs w:val="21"/>
              </w:rPr>
              <w:t> </w:t>
            </w:r>
            <w:r>
              <w:rPr>
                <w:rFonts w:ascii="宋体" w:hAnsi="宋体" w:cs="宋体" w:eastAsia="宋体" w:hint="default"/>
                <w:sz w:val="21"/>
                <w:szCs w:val="21"/>
              </w:rPr>
              <w:t>任</w:t>
            </w:r>
            <w:r>
              <w:rPr>
                <w:rFonts w:ascii="宋体" w:hAnsi="宋体" w:cs="宋体" w:eastAsia="宋体" w:hint="default"/>
                <w:spacing w:val="-60"/>
                <w:sz w:val="21"/>
                <w:szCs w:val="21"/>
              </w:rPr>
              <w:t> </w:t>
            </w:r>
            <w:r>
              <w:rPr>
                <w:rFonts w:ascii="宋体" w:hAnsi="宋体" w:cs="宋体" w:eastAsia="宋体" w:hint="default"/>
                <w:sz w:val="21"/>
                <w:szCs w:val="21"/>
              </w:rPr>
              <w:t>职</w:t>
            </w:r>
            <w:r>
              <w:rPr>
                <w:rFonts w:ascii="宋体" w:hAnsi="宋体" w:cs="宋体" w:eastAsia="宋体" w:hint="default"/>
                <w:spacing w:val="-57"/>
                <w:sz w:val="21"/>
                <w:szCs w:val="21"/>
              </w:rPr>
              <w:t> </w:t>
            </w:r>
            <w:r>
              <w:rPr>
                <w:rFonts w:ascii="宋体" w:hAnsi="宋体" w:cs="宋体" w:eastAsia="宋体" w:hint="default"/>
                <w:sz w:val="21"/>
                <w:szCs w:val="21"/>
              </w:rPr>
              <w:t>务</w:t>
            </w:r>
            <w:r>
              <w:rPr>
                <w:rFonts w:ascii="宋体" w:hAnsi="宋体" w:cs="宋体" w:eastAsia="宋体" w:hint="default"/>
                <w:spacing w:val="-57"/>
                <w:sz w:val="21"/>
                <w:szCs w:val="21"/>
              </w:rPr>
              <w:t> </w:t>
            </w:r>
            <w:r>
              <w:rPr>
                <w:rFonts w:ascii="宋体" w:hAnsi="宋体" w:cs="宋体" w:eastAsia="宋体" w:hint="default"/>
                <w:sz w:val="21"/>
                <w:szCs w:val="21"/>
              </w:rPr>
              <w:t>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酬，此前未任公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3"/>
                <w:sz w:val="21"/>
                <w:szCs w:val="21"/>
              </w:rPr>
              <w:t>司董事、</w:t>
            </w:r>
            <w:r>
              <w:rPr>
                <w:rFonts w:ascii="宋体" w:hAnsi="宋体" w:cs="宋体" w:eastAsia="宋体" w:hint="default"/>
                <w:spacing w:val="-76"/>
                <w:sz w:val="21"/>
                <w:szCs w:val="21"/>
              </w:rPr>
              <w:t> </w:t>
            </w:r>
            <w:r>
              <w:rPr>
                <w:rFonts w:ascii="宋体" w:hAnsi="宋体" w:cs="宋体" w:eastAsia="宋体" w:hint="default"/>
                <w:spacing w:val="12"/>
                <w:sz w:val="21"/>
                <w:szCs w:val="21"/>
              </w:rPr>
              <w:t>监事、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高级管理人员</w:t>
            </w:r>
          </w:p>
        </w:tc>
      </w:tr>
      <w:tr>
        <w:trPr>
          <w:trHeight w:val="643"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冯儒林</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pacing w:val="9"/>
                <w:sz w:val="21"/>
                <w:szCs w:val="21"/>
              </w:rPr>
              <w:t>工会主席（原董</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事）</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530,253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98"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年全年领取</w:t>
            </w:r>
            <w:r>
              <w:rPr>
                <w:rFonts w:ascii="宋体" w:hAnsi="宋体" w:cs="宋体" w:eastAsia="宋体" w:hint="default"/>
                <w:w w:val="100"/>
                <w:sz w:val="21"/>
                <w:szCs w:val="21"/>
              </w:rPr>
              <w:t> </w:t>
            </w:r>
            <w:r>
              <w:rPr>
                <w:rFonts w:ascii="宋体" w:hAnsi="宋体" w:cs="宋体" w:eastAsia="宋体" w:hint="default"/>
                <w:sz w:val="21"/>
                <w:szCs w:val="21"/>
              </w:rPr>
              <w:t>原职务报酬</w:t>
            </w:r>
          </w:p>
        </w:tc>
      </w:tr>
      <w:tr>
        <w:trPr>
          <w:trHeight w:val="646"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林锡彬</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pacing w:val="9"/>
                <w:sz w:val="21"/>
                <w:szCs w:val="21"/>
              </w:rPr>
              <w:t>党委委员（原副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总经理）</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548,521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98"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年全年领取</w:t>
            </w:r>
            <w:r>
              <w:rPr>
                <w:rFonts w:ascii="宋体" w:hAnsi="宋体" w:cs="宋体" w:eastAsia="宋体" w:hint="default"/>
                <w:w w:val="100"/>
                <w:sz w:val="21"/>
                <w:szCs w:val="21"/>
              </w:rPr>
              <w:t> </w:t>
            </w:r>
            <w:r>
              <w:rPr>
                <w:rFonts w:ascii="宋体" w:hAnsi="宋体" w:cs="宋体" w:eastAsia="宋体" w:hint="default"/>
                <w:sz w:val="21"/>
                <w:szCs w:val="21"/>
              </w:rPr>
              <w:t>原职务报酬</w:t>
            </w:r>
          </w:p>
        </w:tc>
      </w:tr>
      <w:tr>
        <w:trPr>
          <w:trHeight w:val="643"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tabs>
                <w:tab w:pos="419" w:val="left" w:leader="none"/>
              </w:tabs>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马</w:t>
              <w:tab/>
              <w:t>坚</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pacing w:val="9"/>
                <w:sz w:val="21"/>
                <w:szCs w:val="21"/>
              </w:rPr>
              <w:t>原董事、副总经</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489,077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23</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郭晋龙</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吴叔平</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tabs>
                <w:tab w:pos="419"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张</w:t>
              <w:tab/>
              <w:t>勇</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100,000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谢海明</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原监事会主席</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60,000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月</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27</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陈凤琴</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原监事、工会主</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120,744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月</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4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28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tabs>
                <w:tab w:pos="419"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w:t>
              <w:tab/>
              <w:t>芳</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原监事、监事会</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办公室主任</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244,366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723" w:type="dxa"/>
            <w:tcBorders>
              <w:top w:val="single" w:sz="8" w:space="0" w:color="000000"/>
              <w:left w:val="single" w:sz="8" w:space="0" w:color="000000"/>
              <w:bottom w:val="single" w:sz="8" w:space="0" w:color="000000"/>
              <w:right w:val="single" w:sz="8" w:space="0" w:color="000000"/>
            </w:tcBorders>
          </w:tcPr>
          <w:p>
            <w:pPr/>
          </w:p>
        </w:tc>
      </w:tr>
      <w:tr>
        <w:trPr>
          <w:trHeight w:val="346" w:hRule="exact"/>
        </w:trPr>
        <w:tc>
          <w:tcPr>
            <w:tcW w:w="434"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6,043,779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
        <w:rPr>
          <w:rFonts w:ascii="宋体" w:hAnsi="宋体" w:cs="宋体" w:eastAsia="宋体" w:hint="default"/>
          <w:sz w:val="13"/>
          <w:szCs w:val="13"/>
        </w:rPr>
      </w:pPr>
    </w:p>
    <w:p>
      <w:pPr>
        <w:pStyle w:val="BodyText"/>
        <w:spacing w:line="240" w:lineRule="auto" w:before="26"/>
        <w:ind w:left="780" w:right="0"/>
        <w:jc w:val="left"/>
      </w:pPr>
      <w:r>
        <w:rPr/>
        <w:t>不在公司领取报酬津贴的现任董事、监事情况如下表：</w:t>
      </w:r>
    </w:p>
    <w:p>
      <w:pPr>
        <w:spacing w:line="240" w:lineRule="auto" w:before="6"/>
        <w:rPr>
          <w:rFonts w:ascii="宋体" w:hAnsi="宋体" w:cs="宋体" w:eastAsia="宋体" w:hint="default"/>
          <w:sz w:val="20"/>
          <w:szCs w:val="20"/>
        </w:rPr>
      </w:pPr>
    </w:p>
    <w:tbl>
      <w:tblPr>
        <w:tblW w:w="0" w:type="auto"/>
        <w:jc w:val="left"/>
        <w:tblInd w:w="185" w:type="dxa"/>
        <w:tblLayout w:type="fixed"/>
        <w:tblCellMar>
          <w:top w:w="0" w:type="dxa"/>
          <w:left w:w="0" w:type="dxa"/>
          <w:bottom w:w="0" w:type="dxa"/>
          <w:right w:w="0" w:type="dxa"/>
        </w:tblCellMar>
        <w:tblLook w:val="01E0"/>
      </w:tblPr>
      <w:tblGrid>
        <w:gridCol w:w="593"/>
        <w:gridCol w:w="2640"/>
        <w:gridCol w:w="1375"/>
        <w:gridCol w:w="4068"/>
      </w:tblGrid>
      <w:tr>
        <w:trPr>
          <w:trHeight w:val="636" w:hRule="exact"/>
        </w:trPr>
        <w:tc>
          <w:tcPr>
            <w:tcW w:w="593"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186"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40" w:lineRule="auto" w:before="37"/>
              <w:ind w:left="186"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640"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不在公司领取报酬津贴的</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董事、监事姓名</w:t>
            </w:r>
          </w:p>
        </w:tc>
        <w:tc>
          <w:tcPr>
            <w:tcW w:w="13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406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是否在股东单位或关联单位领取报酬津贴</w:t>
            </w:r>
          </w:p>
        </w:tc>
      </w:tr>
      <w:tr>
        <w:trPr>
          <w:trHeight w:val="336" w:hRule="exact"/>
        </w:trPr>
        <w:tc>
          <w:tcPr>
            <w:tcW w:w="593"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w w:val="100"/>
                <w:sz w:val="21"/>
              </w:rPr>
              <w:t>1</w:t>
            </w:r>
          </w:p>
        </w:tc>
        <w:tc>
          <w:tcPr>
            <w:tcW w:w="2640"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1375"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068"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66" w:lineRule="exact"/>
        <w:jc w:val="center"/>
        <w:rPr>
          <w:rFonts w:ascii="宋体" w:hAnsi="宋体" w:cs="宋体" w:eastAsia="宋体" w:hint="default"/>
          <w:sz w:val="21"/>
          <w:szCs w:val="21"/>
        </w:rPr>
        <w:sectPr>
          <w:headerReference w:type="default" r:id="rId33"/>
          <w:footerReference w:type="default" r:id="rId34"/>
          <w:pgSz w:w="11910" w:h="16840"/>
          <w:pgMar w:header="0" w:footer="1095" w:top="1000" w:bottom="1280" w:left="1680" w:right="1220"/>
          <w:pgNumType w:start="21"/>
        </w:sectPr>
      </w:pPr>
    </w:p>
    <w:p>
      <w:pPr>
        <w:spacing w:line="240" w:lineRule="auto" w:before="7"/>
        <w:rPr>
          <w:rFonts w:ascii="宋体" w:hAnsi="宋体" w:cs="宋体" w:eastAsia="宋体" w:hint="default"/>
          <w:sz w:val="5"/>
          <w:szCs w:val="5"/>
        </w:rPr>
      </w:pPr>
    </w:p>
    <w:tbl>
      <w:tblPr>
        <w:tblW w:w="0" w:type="auto"/>
        <w:jc w:val="left"/>
        <w:tblInd w:w="185" w:type="dxa"/>
        <w:tblLayout w:type="fixed"/>
        <w:tblCellMar>
          <w:top w:w="0" w:type="dxa"/>
          <w:left w:w="0" w:type="dxa"/>
          <w:bottom w:w="0" w:type="dxa"/>
          <w:right w:w="0" w:type="dxa"/>
        </w:tblCellMar>
        <w:tblLook w:val="01E0"/>
      </w:tblPr>
      <w:tblGrid>
        <w:gridCol w:w="593"/>
        <w:gridCol w:w="2640"/>
        <w:gridCol w:w="1375"/>
        <w:gridCol w:w="4068"/>
      </w:tblGrid>
      <w:tr>
        <w:trPr>
          <w:trHeight w:val="334" w:hRule="exact"/>
        </w:trPr>
        <w:tc>
          <w:tcPr>
            <w:tcW w:w="593"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w w:val="100"/>
                <w:sz w:val="21"/>
              </w:rPr>
              <w:t>2</w:t>
            </w:r>
          </w:p>
        </w:tc>
        <w:tc>
          <w:tcPr>
            <w:tcW w:w="2640" w:type="dxa"/>
            <w:tcBorders>
              <w:top w:val="single" w:sz="5" w:space="0" w:color="000000"/>
              <w:left w:val="single" w:sz="5" w:space="0" w:color="000000"/>
              <w:bottom w:val="single" w:sz="5" w:space="0" w:color="000000"/>
              <w:right w:val="single" w:sz="5" w:space="0" w:color="000000"/>
            </w:tcBorders>
          </w:tcPr>
          <w:p>
            <w:pPr>
              <w:pStyle w:val="TableParagraph"/>
              <w:tabs>
                <w:tab w:pos="1419" w:val="left" w:leader="none"/>
              </w:tabs>
              <w:spacing w:line="266" w:lineRule="exact"/>
              <w:ind w:left="999" w:right="0"/>
              <w:jc w:val="left"/>
              <w:rPr>
                <w:rFonts w:ascii="宋体" w:hAnsi="宋体" w:cs="宋体" w:eastAsia="宋体" w:hint="default"/>
                <w:sz w:val="21"/>
                <w:szCs w:val="21"/>
              </w:rPr>
            </w:pPr>
            <w:r>
              <w:rPr>
                <w:rFonts w:ascii="宋体" w:hAnsi="宋体" w:cs="宋体" w:eastAsia="宋体" w:hint="default"/>
                <w:sz w:val="21"/>
                <w:szCs w:val="21"/>
              </w:rPr>
              <w:t>孙</w:t>
              <w:tab/>
              <w:t>涛</w:t>
            </w:r>
          </w:p>
        </w:tc>
        <w:tc>
          <w:tcPr>
            <w:tcW w:w="1375"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068"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38" w:hRule="exact"/>
        </w:trPr>
        <w:tc>
          <w:tcPr>
            <w:tcW w:w="593"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w w:val="100"/>
                <w:sz w:val="21"/>
              </w:rPr>
              <w:t>3</w:t>
            </w:r>
          </w:p>
        </w:tc>
        <w:tc>
          <w:tcPr>
            <w:tcW w:w="2640" w:type="dxa"/>
            <w:tcBorders>
              <w:top w:val="single" w:sz="5" w:space="0" w:color="000000"/>
              <w:left w:val="single" w:sz="5" w:space="0" w:color="000000"/>
              <w:bottom w:val="single" w:sz="5" w:space="0" w:color="000000"/>
              <w:right w:val="single" w:sz="5" w:space="0" w:color="000000"/>
            </w:tcBorders>
          </w:tcPr>
          <w:p>
            <w:pPr>
              <w:pStyle w:val="TableParagraph"/>
              <w:spacing w:line="268" w:lineRule="exact"/>
              <w:ind w:left="999" w:right="0"/>
              <w:jc w:val="left"/>
              <w:rPr>
                <w:rFonts w:ascii="宋体" w:hAnsi="宋体" w:cs="宋体" w:eastAsia="宋体" w:hint="default"/>
                <w:sz w:val="21"/>
                <w:szCs w:val="21"/>
              </w:rPr>
            </w:pPr>
            <w:r>
              <w:rPr>
                <w:rFonts w:ascii="宋体" w:hAnsi="宋体" w:cs="宋体" w:eastAsia="宋体" w:hint="default"/>
                <w:sz w:val="21"/>
                <w:szCs w:val="21"/>
              </w:rPr>
              <w:t>徐国荣</w:t>
            </w:r>
          </w:p>
        </w:tc>
        <w:tc>
          <w:tcPr>
            <w:tcW w:w="1375" w:type="dxa"/>
            <w:tcBorders>
              <w:top w:val="single" w:sz="5" w:space="0" w:color="000000"/>
              <w:left w:val="single" w:sz="5" w:space="0" w:color="000000"/>
              <w:bottom w:val="single" w:sz="5" w:space="0" w:color="000000"/>
              <w:right w:val="single" w:sz="5"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068" w:type="dxa"/>
            <w:tcBorders>
              <w:top w:val="single" w:sz="5" w:space="0" w:color="000000"/>
              <w:left w:val="single" w:sz="5" w:space="0" w:color="000000"/>
              <w:bottom w:val="single" w:sz="5" w:space="0" w:color="000000"/>
              <w:right w:val="single" w:sz="5"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36" w:hRule="exact"/>
        </w:trPr>
        <w:tc>
          <w:tcPr>
            <w:tcW w:w="593"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w w:val="100"/>
                <w:sz w:val="21"/>
              </w:rPr>
              <w:t>4</w:t>
            </w:r>
          </w:p>
        </w:tc>
        <w:tc>
          <w:tcPr>
            <w:tcW w:w="2640"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999" w:right="0"/>
              <w:jc w:val="left"/>
              <w:rPr>
                <w:rFonts w:ascii="宋体" w:hAnsi="宋体" w:cs="宋体" w:eastAsia="宋体" w:hint="default"/>
                <w:sz w:val="21"/>
                <w:szCs w:val="21"/>
              </w:rPr>
            </w:pPr>
            <w:r>
              <w:rPr>
                <w:rFonts w:ascii="宋体" w:hAnsi="宋体" w:cs="宋体" w:eastAsia="宋体" w:hint="default"/>
                <w:sz w:val="21"/>
                <w:szCs w:val="21"/>
              </w:rPr>
              <w:t>王道海</w:t>
            </w:r>
          </w:p>
        </w:tc>
        <w:tc>
          <w:tcPr>
            <w:tcW w:w="1375"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068"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5"/>
        <w:spacing w:line="367" w:lineRule="exact"/>
        <w:ind w:right="686"/>
        <w:jc w:val="left"/>
        <w:rPr>
          <w:b w:val="0"/>
          <w:bCs w:val="0"/>
        </w:rPr>
      </w:pPr>
      <w:bookmarkStart w:name="第二节公司员工的数量和专业构成情况" w:id="8"/>
      <w:bookmarkEnd w:id="8"/>
      <w:r>
        <w:rPr>
          <w:b w:val="0"/>
          <w:bCs w:val="0"/>
        </w:rPr>
      </w:r>
      <w:r>
        <w:rPr/>
        <w:t>第二节 </w:t>
      </w:r>
      <w:r>
        <w:rPr>
          <w:spacing w:val="13"/>
        </w:rPr>
        <w:t> </w:t>
      </w:r>
      <w:r>
        <w:rPr/>
        <w:t>公司员工的数量和专业构成情况</w:t>
      </w:r>
      <w:r>
        <w:rPr>
          <w:b w:val="0"/>
          <w:bCs w:val="0"/>
        </w:rPr>
      </w:r>
    </w:p>
    <w:p>
      <w:pPr>
        <w:spacing w:before="50"/>
        <w:ind w:left="780" w:right="68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一、员工数量</w:t>
      </w:r>
      <w:r>
        <w:rPr>
          <w:rFonts w:ascii="Microsoft JhengHei" w:hAnsi="Microsoft JhengHei" w:cs="Microsoft JhengHei" w:eastAsia="Microsoft JhengHei" w:hint="default"/>
          <w:sz w:val="24"/>
          <w:szCs w:val="24"/>
        </w:rPr>
      </w:r>
    </w:p>
    <w:p>
      <w:pPr>
        <w:pStyle w:val="BodyText"/>
        <w:spacing w:line="300" w:lineRule="auto" w:before="126"/>
        <w:ind w:left="780" w:right="212"/>
        <w:jc w:val="left"/>
        <w:rPr>
          <w:rFonts w:ascii="Microsoft JhengHei" w:hAnsi="Microsoft JhengHei" w:cs="Microsoft JhengHei" w:eastAsia="Microsoft JhengHei" w:hint="default"/>
        </w:rPr>
      </w:pPr>
      <w:r>
        <w:rPr/>
        <w:pict>
          <v:shape style="position:absolute;margin-left:93.239998pt;margin-top:51.035641pt;width:434.9pt;height:151.1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7"/>
                    <w:gridCol w:w="2074"/>
                    <w:gridCol w:w="1738"/>
                    <w:gridCol w:w="1738"/>
                  </w:tblGrid>
                  <w:tr>
                    <w:trPr>
                      <w:trHeight w:val="6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专业构成类别</w:t>
                        </w:r>
                        <w:r>
                          <w:rPr>
                            <w:rFonts w:ascii="Microsoft JhengHei" w:hAnsi="Microsoft JhengHei" w:cs="Microsoft JhengHei" w:eastAsia="Microsoft JhengHei" w:hint="default"/>
                            <w:sz w:val="21"/>
                            <w:szCs w:val="21"/>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w:t>
                        </w:r>
                        <w:r>
                          <w:rPr>
                            <w:rFonts w:ascii="Microsoft JhengHei" w:hAnsi="Microsoft JhengHei" w:cs="Microsoft JhengHei" w:eastAsia="Microsoft JhengHei" w:hint="default"/>
                            <w:sz w:val="21"/>
                            <w:szCs w:val="21"/>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所占比例（％）</w:t>
                        </w:r>
                        <w:r>
                          <w:rPr>
                            <w:rFonts w:ascii="Microsoft JhengHei" w:hAnsi="Microsoft JhengHei" w:cs="Microsoft JhengHei" w:eastAsia="Microsoft JhengHei" w:hint="default"/>
                            <w:sz w:val="21"/>
                            <w:szCs w:val="21"/>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所占比例同期增</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w:t>
                        </w:r>
                        <w:r>
                          <w:rPr>
                            <w:rFonts w:ascii="Times New Roman" w:hAnsi="Times New Roman" w:cs="Times New Roman" w:eastAsia="Times New Roman" w:hint="default"/>
                            <w:b/>
                            <w:bCs/>
                            <w:sz w:val="21"/>
                            <w:szCs w:val="21"/>
                          </w:rPr>
                          <w:t>+ - </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1090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20.30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+8.22</w:t>
                        </w:r>
                      </w:p>
                    </w:tc>
                  </w:tr>
                  <w:tr>
                    <w:trPr>
                      <w:trHeight w:val="3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487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9.07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center"/>
                          <w:rPr>
                            <w:rFonts w:ascii="Times New Roman" w:hAnsi="Times New Roman" w:cs="Times New Roman" w:eastAsia="Times New Roman" w:hint="default"/>
                            <w:sz w:val="21"/>
                            <w:szCs w:val="21"/>
                          </w:rPr>
                        </w:pPr>
                        <w:r>
                          <w:rPr>
                            <w:rFonts w:ascii="Times New Roman"/>
                            <w:sz w:val="21"/>
                          </w:rPr>
                          <w:t>-2.17</w:t>
                        </w:r>
                      </w:p>
                    </w:tc>
                  </w:tr>
                  <w:tr>
                    <w:trPr>
                      <w:trHeight w:val="3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320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5.96</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
                          <w:jc w:val="center"/>
                          <w:rPr>
                            <w:rFonts w:ascii="Times New Roman" w:hAnsi="Times New Roman" w:cs="Times New Roman" w:eastAsia="Times New Roman" w:hint="default"/>
                            <w:sz w:val="21"/>
                            <w:szCs w:val="21"/>
                          </w:rPr>
                        </w:pPr>
                        <w:r>
                          <w:rPr>
                            <w:rFonts w:ascii="Times New Roman"/>
                            <w:sz w:val="21"/>
                          </w:rPr>
                          <w:t>-2.07</w:t>
                        </w:r>
                      </w:p>
                    </w:tc>
                  </w:tr>
                  <w:tr>
                    <w:trPr>
                      <w:trHeight w:val="3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244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4.54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
                          <w:jc w:val="center"/>
                          <w:rPr>
                            <w:rFonts w:ascii="Times New Roman" w:hAnsi="Times New Roman" w:cs="Times New Roman" w:eastAsia="Times New Roman" w:hint="default"/>
                            <w:sz w:val="21"/>
                            <w:szCs w:val="21"/>
                          </w:rPr>
                        </w:pPr>
                        <w:r>
                          <w:rPr>
                            <w:rFonts w:ascii="Times New Roman"/>
                            <w:sz w:val="21"/>
                          </w:rPr>
                          <w:t>-0.91</w:t>
                        </w:r>
                      </w:p>
                    </w:tc>
                  </w:tr>
                  <w:tr>
                    <w:trPr>
                      <w:trHeight w:val="3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354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6.59</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
                          <w:jc w:val="center"/>
                          <w:rPr>
                            <w:rFonts w:ascii="Times New Roman" w:hAnsi="Times New Roman" w:cs="Times New Roman" w:eastAsia="Times New Roman" w:hint="default"/>
                            <w:sz w:val="21"/>
                            <w:szCs w:val="21"/>
                          </w:rPr>
                        </w:pPr>
                        <w:r>
                          <w:rPr>
                            <w:rFonts w:ascii="Times New Roman"/>
                            <w:sz w:val="21"/>
                          </w:rPr>
                          <w:t>-0.47</w:t>
                        </w:r>
                      </w:p>
                    </w:tc>
                  </w:tr>
                  <w:tr>
                    <w:trPr>
                      <w:trHeight w:val="3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管理人员（含市场管理人员）</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2875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53.54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
                          <w:jc w:val="center"/>
                          <w:rPr>
                            <w:rFonts w:ascii="Times New Roman" w:hAnsi="Times New Roman" w:cs="Times New Roman" w:eastAsia="Times New Roman" w:hint="default"/>
                            <w:sz w:val="21"/>
                            <w:szCs w:val="21"/>
                          </w:rPr>
                        </w:pPr>
                        <w:r>
                          <w:rPr>
                            <w:rFonts w:ascii="Times New Roman"/>
                            <w:sz w:val="21"/>
                          </w:rPr>
                          <w:t>-2.60</w:t>
                        </w:r>
                      </w:p>
                    </w:tc>
                  </w:tr>
                  <w:tr>
                    <w:trPr>
                      <w:trHeight w:val="3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tabs>
                            <w:tab w:pos="525"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5370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p>
              </w:txbxContent>
            </v:textbox>
            <w10:wrap type="none"/>
          </v:shape>
        </w:pict>
      </w:r>
      <w:r>
        <w:rPr/>
        <w:t>截至</w:t>
      </w:r>
      <w:r>
        <w:rPr>
          <w:spacing w:val="-82"/>
        </w:rPr>
        <w:t> </w:t>
      </w:r>
      <w:r>
        <w:rPr/>
        <w:t>2009</w:t>
      </w:r>
      <w:r>
        <w:rPr>
          <w:spacing w:val="7"/>
        </w:rPr>
        <w:t> </w:t>
      </w:r>
      <w:r>
        <w:rPr/>
        <w:t>年</w:t>
      </w:r>
      <w:r>
        <w:rPr>
          <w:spacing w:val="-82"/>
        </w:rPr>
        <w:t> </w:t>
      </w:r>
      <w:r>
        <w:rPr/>
        <w:t>12</w:t>
      </w:r>
      <w:r>
        <w:rPr>
          <w:spacing w:val="7"/>
        </w:rPr>
        <w:t> </w:t>
      </w:r>
      <w:r>
        <w:rPr/>
        <w:t>月</w:t>
      </w:r>
      <w:r>
        <w:rPr>
          <w:spacing w:val="-82"/>
        </w:rPr>
        <w:t> </w:t>
      </w:r>
      <w:r>
        <w:rPr/>
        <w:t>31</w:t>
      </w:r>
      <w:r>
        <w:rPr>
          <w:spacing w:val="7"/>
        </w:rPr>
        <w:t> </w:t>
      </w:r>
      <w:r>
        <w:rPr>
          <w:w w:val="91"/>
        </w:rPr>
        <w:t>日</w:t>
      </w:r>
      <w:r>
        <w:rPr>
          <w:spacing w:val="-87"/>
          <w:w w:val="91"/>
        </w:rPr>
        <w:t> </w:t>
      </w:r>
      <w:r>
        <w:rPr>
          <w:spacing w:val="-54"/>
          <w:w w:val="91"/>
        </w:rPr>
        <w:t>，公</w:t>
      </w:r>
      <w:r>
        <w:rPr>
          <w:spacing w:val="-90"/>
          <w:w w:val="91"/>
        </w:rPr>
        <w:t> </w:t>
      </w:r>
      <w:r>
        <w:rPr>
          <w:spacing w:val="13"/>
          <w:w w:val="94"/>
        </w:rPr>
        <w:t>司在册员工</w:t>
      </w:r>
      <w:r>
        <w:rPr>
          <w:spacing w:val="-76"/>
          <w:w w:val="94"/>
        </w:rPr>
        <w:t> </w:t>
      </w:r>
      <w:r>
        <w:rPr/>
        <w:t>5370</w:t>
      </w:r>
      <w:r>
        <w:rPr>
          <w:spacing w:val="-82"/>
        </w:rPr>
        <w:t> </w:t>
      </w:r>
      <w:r>
        <w:rPr>
          <w:spacing w:val="-1"/>
          <w:w w:val="94"/>
        </w:rPr>
        <w:t>人（含合并报表企业员工人数</w:t>
      </w:r>
      <w:r>
        <w:rPr>
          <w:spacing w:val="-51"/>
          <w:w w:val="94"/>
        </w:rPr>
        <w:t> </w:t>
      </w:r>
      <w:r>
        <w:rPr>
          <w:spacing w:val="-40"/>
          <w:w w:val="63"/>
        </w:rPr>
        <w:t>）。</w:t>
      </w:r>
      <w:r>
        <w:rPr>
          <w:w w:val="51"/>
        </w:rPr>
        <w:t> </w:t>
      </w:r>
      <w:r>
        <w:rPr>
          <w:rFonts w:ascii="Microsoft JhengHei" w:hAnsi="Microsoft JhengHei" w:cs="Microsoft JhengHei" w:eastAsia="Microsoft JhengHei" w:hint="default"/>
          <w:b/>
          <w:bCs/>
        </w:rPr>
        <w:t>二、专业构成情况</w:t>
      </w:r>
      <w:r>
        <w:rPr>
          <w:rFonts w:ascii="Microsoft JhengHei" w:hAnsi="Microsoft JhengHei" w:cs="Microsoft JhengHei" w:eastAsia="Microsoft JhengHei" w:hint="default"/>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6"/>
        <w:rPr>
          <w:rFonts w:ascii="Microsoft JhengHei" w:hAnsi="Microsoft JhengHei" w:cs="Microsoft JhengHei" w:eastAsia="Microsoft JhengHei" w:hint="default"/>
          <w:b/>
          <w:bCs/>
          <w:sz w:val="27"/>
          <w:szCs w:val="27"/>
        </w:rPr>
      </w:pPr>
    </w:p>
    <w:p>
      <w:pPr>
        <w:pStyle w:val="Heading5"/>
        <w:spacing w:line="240" w:lineRule="auto"/>
        <w:ind w:right="686"/>
        <w:jc w:val="left"/>
        <w:rPr>
          <w:b w:val="0"/>
          <w:bCs w:val="0"/>
        </w:rPr>
      </w:pPr>
      <w:r>
        <w:rPr/>
        <w:t>三、教育程度情况</w:t>
      </w:r>
      <w:r>
        <w:rPr>
          <w:b w:val="0"/>
          <w:bCs w:val="0"/>
        </w:rPr>
      </w:r>
    </w:p>
    <w:p>
      <w:pPr>
        <w:spacing w:line="240" w:lineRule="auto" w:before="15"/>
        <w:rPr>
          <w:rFonts w:ascii="Microsoft JhengHei" w:hAnsi="Microsoft JhengHei" w:cs="Microsoft JhengHei" w:eastAsia="Microsoft JhengHei" w:hint="default"/>
          <w:b/>
          <w:bCs/>
          <w:sz w:val="4"/>
          <w:szCs w:val="4"/>
        </w:rPr>
      </w:pPr>
    </w:p>
    <w:tbl>
      <w:tblPr>
        <w:tblW w:w="0" w:type="auto"/>
        <w:jc w:val="left"/>
        <w:tblInd w:w="185" w:type="dxa"/>
        <w:tblLayout w:type="fixed"/>
        <w:tblCellMar>
          <w:top w:w="0" w:type="dxa"/>
          <w:left w:w="0" w:type="dxa"/>
          <w:bottom w:w="0" w:type="dxa"/>
          <w:right w:w="0" w:type="dxa"/>
        </w:tblCellMar>
        <w:tblLook w:val="01E0"/>
      </w:tblPr>
      <w:tblGrid>
        <w:gridCol w:w="3103"/>
        <w:gridCol w:w="1987"/>
        <w:gridCol w:w="1793"/>
        <w:gridCol w:w="1793"/>
      </w:tblGrid>
      <w:tr>
        <w:trPr>
          <w:trHeight w:val="636" w:hRule="exact"/>
        </w:trPr>
        <w:tc>
          <w:tcPr>
            <w:tcW w:w="31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5"/>
              <w:ind w:left="9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教育程度类别</w:t>
            </w:r>
            <w:r>
              <w:rPr>
                <w:rFonts w:ascii="Microsoft JhengHei" w:hAnsi="Microsoft JhengHei" w:cs="Microsoft JhengHei" w:eastAsia="Microsoft JhengHei" w:hint="default"/>
                <w:sz w:val="21"/>
                <w:szCs w:val="21"/>
              </w:rPr>
            </w:r>
          </w:p>
        </w:tc>
        <w:tc>
          <w:tcPr>
            <w:tcW w:w="19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5"/>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w:t>
            </w:r>
            <w:r>
              <w:rPr>
                <w:rFonts w:ascii="Microsoft JhengHei" w:hAnsi="Microsoft JhengHei" w:cs="Microsoft JhengHei" w:eastAsia="Microsoft JhengHei" w:hint="default"/>
                <w:sz w:val="21"/>
                <w:szCs w:val="21"/>
              </w:rPr>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5"/>
              <w:ind w:left="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所占比例（％）</w:t>
            </w:r>
            <w:r>
              <w:rPr>
                <w:rFonts w:ascii="Microsoft JhengHei" w:hAnsi="Microsoft JhengHei" w:cs="Microsoft JhengHei" w:eastAsia="Microsoft JhengHei" w:hint="default"/>
                <w:sz w:val="21"/>
                <w:szCs w:val="21"/>
              </w:rPr>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58"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所占比例同期增</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w:t>
            </w:r>
            <w:r>
              <w:rPr>
                <w:rFonts w:ascii="Times New Roman" w:hAnsi="Times New Roman" w:cs="Times New Roman" w:eastAsia="Times New Roman" w:hint="default"/>
                <w:b/>
                <w:bCs/>
                <w:sz w:val="21"/>
                <w:szCs w:val="21"/>
              </w:rPr>
              <w:t>+ - </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36" w:hRule="exact"/>
        </w:trPr>
        <w:tc>
          <w:tcPr>
            <w:tcW w:w="3103"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大、中专学历以上人员</w:t>
            </w:r>
          </w:p>
        </w:tc>
        <w:tc>
          <w:tcPr>
            <w:tcW w:w="19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4" w:right="0"/>
              <w:jc w:val="center"/>
              <w:rPr>
                <w:rFonts w:ascii="Times New Roman" w:hAnsi="Times New Roman" w:cs="Times New Roman" w:eastAsia="Times New Roman" w:hint="default"/>
                <w:sz w:val="21"/>
                <w:szCs w:val="21"/>
              </w:rPr>
            </w:pPr>
            <w:r>
              <w:rPr>
                <w:rFonts w:ascii="Times New Roman"/>
                <w:sz w:val="21"/>
              </w:rPr>
              <w:t>2358</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2" w:right="0"/>
              <w:jc w:val="center"/>
              <w:rPr>
                <w:rFonts w:ascii="Times New Roman" w:hAnsi="Times New Roman" w:cs="Times New Roman" w:eastAsia="Times New Roman" w:hint="default"/>
                <w:sz w:val="21"/>
                <w:szCs w:val="21"/>
              </w:rPr>
            </w:pPr>
            <w:r>
              <w:rPr>
                <w:rFonts w:ascii="Times New Roman"/>
                <w:sz w:val="21"/>
              </w:rPr>
              <w:t>43.91</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sz w:val="21"/>
              </w:rPr>
              <w:t>-2.05</w:t>
            </w:r>
          </w:p>
        </w:tc>
      </w:tr>
      <w:tr>
        <w:trPr>
          <w:trHeight w:val="336" w:hRule="exact"/>
        </w:trPr>
        <w:tc>
          <w:tcPr>
            <w:tcW w:w="3103" w:type="dxa"/>
            <w:tcBorders>
              <w:top w:val="single" w:sz="5" w:space="0" w:color="000000"/>
              <w:left w:val="single" w:sz="5" w:space="0" w:color="000000"/>
              <w:bottom w:val="single" w:sz="5" w:space="0" w:color="000000"/>
              <w:right w:val="single" w:sz="5" w:space="0" w:color="000000"/>
            </w:tcBorders>
          </w:tcPr>
          <w:p>
            <w:pPr>
              <w:pStyle w:val="TableParagraph"/>
              <w:spacing w:line="282"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、博士、硕士</w:t>
            </w:r>
          </w:p>
        </w:tc>
        <w:tc>
          <w:tcPr>
            <w:tcW w:w="19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4" w:right="0"/>
              <w:jc w:val="center"/>
              <w:rPr>
                <w:rFonts w:ascii="Times New Roman" w:hAnsi="Times New Roman" w:cs="Times New Roman" w:eastAsia="Times New Roman" w:hint="default"/>
                <w:sz w:val="21"/>
                <w:szCs w:val="21"/>
              </w:rPr>
            </w:pPr>
            <w:r>
              <w:rPr>
                <w:rFonts w:ascii="Times New Roman"/>
                <w:sz w:val="21"/>
              </w:rPr>
              <w:t>133</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2" w:right="0"/>
              <w:jc w:val="center"/>
              <w:rPr>
                <w:rFonts w:ascii="Times New Roman" w:hAnsi="Times New Roman" w:cs="Times New Roman" w:eastAsia="Times New Roman" w:hint="default"/>
                <w:sz w:val="21"/>
                <w:szCs w:val="21"/>
              </w:rPr>
            </w:pPr>
            <w:r>
              <w:rPr>
                <w:rFonts w:ascii="Times New Roman"/>
                <w:sz w:val="21"/>
              </w:rPr>
              <w:t>2.48</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sz w:val="21"/>
              </w:rPr>
              <w:t>+0.10</w:t>
            </w:r>
          </w:p>
        </w:tc>
      </w:tr>
      <w:tr>
        <w:trPr>
          <w:trHeight w:val="334" w:hRule="exact"/>
        </w:trPr>
        <w:tc>
          <w:tcPr>
            <w:tcW w:w="3103" w:type="dxa"/>
            <w:tcBorders>
              <w:top w:val="single" w:sz="5" w:space="0" w:color="000000"/>
              <w:left w:val="single" w:sz="5" w:space="0" w:color="000000"/>
              <w:bottom w:val="single" w:sz="5" w:space="0" w:color="000000"/>
              <w:right w:val="single" w:sz="5" w:space="0" w:color="000000"/>
            </w:tcBorders>
          </w:tcPr>
          <w:p>
            <w:pPr>
              <w:pStyle w:val="TableParagraph"/>
              <w:spacing w:line="279" w:lineRule="exact"/>
              <w:ind w:left="7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、本科及大、中专学历</w:t>
            </w:r>
          </w:p>
        </w:tc>
        <w:tc>
          <w:tcPr>
            <w:tcW w:w="19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left="4" w:right="0"/>
              <w:jc w:val="center"/>
              <w:rPr>
                <w:rFonts w:ascii="Times New Roman" w:hAnsi="Times New Roman" w:cs="Times New Roman" w:eastAsia="Times New Roman" w:hint="default"/>
                <w:sz w:val="21"/>
                <w:szCs w:val="21"/>
              </w:rPr>
            </w:pPr>
            <w:r>
              <w:rPr>
                <w:rFonts w:ascii="Times New Roman"/>
                <w:sz w:val="21"/>
              </w:rPr>
              <w:t>2225</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left="2" w:right="0"/>
              <w:jc w:val="center"/>
              <w:rPr>
                <w:rFonts w:ascii="Times New Roman" w:hAnsi="Times New Roman" w:cs="Times New Roman" w:eastAsia="Times New Roman" w:hint="default"/>
                <w:sz w:val="21"/>
                <w:szCs w:val="21"/>
              </w:rPr>
            </w:pPr>
            <w:r>
              <w:rPr>
                <w:rFonts w:ascii="Times New Roman"/>
                <w:sz w:val="21"/>
              </w:rPr>
              <w:t>41.43</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sz w:val="21"/>
              </w:rPr>
              <w:t>-2.15</w:t>
            </w:r>
          </w:p>
        </w:tc>
      </w:tr>
      <w:tr>
        <w:trPr>
          <w:trHeight w:val="336" w:hRule="exact"/>
        </w:trPr>
        <w:tc>
          <w:tcPr>
            <w:tcW w:w="3103"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高中及以下学历</w:t>
            </w:r>
          </w:p>
        </w:tc>
        <w:tc>
          <w:tcPr>
            <w:tcW w:w="19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4" w:right="0"/>
              <w:jc w:val="center"/>
              <w:rPr>
                <w:rFonts w:ascii="Times New Roman" w:hAnsi="Times New Roman" w:cs="Times New Roman" w:eastAsia="Times New Roman" w:hint="default"/>
                <w:sz w:val="21"/>
                <w:szCs w:val="21"/>
              </w:rPr>
            </w:pPr>
            <w:r>
              <w:rPr>
                <w:rFonts w:ascii="Times New Roman"/>
                <w:sz w:val="21"/>
              </w:rPr>
              <w:t>3012</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2" w:right="0"/>
              <w:jc w:val="center"/>
              <w:rPr>
                <w:rFonts w:ascii="Times New Roman" w:hAnsi="Times New Roman" w:cs="Times New Roman" w:eastAsia="Times New Roman" w:hint="default"/>
                <w:sz w:val="21"/>
                <w:szCs w:val="21"/>
              </w:rPr>
            </w:pPr>
            <w:r>
              <w:rPr>
                <w:rFonts w:ascii="Times New Roman"/>
                <w:sz w:val="21"/>
              </w:rPr>
              <w:t>56.09</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sz w:val="21"/>
              </w:rPr>
              <w:t>+2.05</w:t>
            </w:r>
          </w:p>
        </w:tc>
      </w:tr>
      <w:tr>
        <w:trPr>
          <w:trHeight w:val="334" w:hRule="exact"/>
        </w:trPr>
        <w:tc>
          <w:tcPr>
            <w:tcW w:w="3103" w:type="dxa"/>
            <w:tcBorders>
              <w:top w:val="single" w:sz="5" w:space="0" w:color="000000"/>
              <w:left w:val="single" w:sz="5" w:space="0" w:color="000000"/>
              <w:bottom w:val="single" w:sz="5" w:space="0" w:color="000000"/>
              <w:right w:val="single" w:sz="5" w:space="0" w:color="000000"/>
            </w:tcBorders>
          </w:tcPr>
          <w:p>
            <w:pPr>
              <w:pStyle w:val="TableParagraph"/>
              <w:tabs>
                <w:tab w:pos="525" w:val="left" w:leader="none"/>
              </w:tabs>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4" w:right="0"/>
              <w:jc w:val="center"/>
              <w:rPr>
                <w:rFonts w:ascii="Times New Roman" w:hAnsi="Times New Roman" w:cs="Times New Roman" w:eastAsia="Times New Roman" w:hint="default"/>
                <w:sz w:val="21"/>
                <w:szCs w:val="21"/>
              </w:rPr>
            </w:pPr>
            <w:r>
              <w:rPr>
                <w:rFonts w:ascii="Times New Roman"/>
                <w:sz w:val="21"/>
              </w:rPr>
              <w:t>5370</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2" w:right="0"/>
              <w:jc w:val="center"/>
              <w:rPr>
                <w:rFonts w:ascii="Times New Roman" w:hAnsi="Times New Roman" w:cs="Times New Roman" w:eastAsia="Times New Roman" w:hint="default"/>
                <w:sz w:val="21"/>
                <w:szCs w:val="21"/>
              </w:rPr>
            </w:pPr>
            <w:r>
              <w:rPr>
                <w:rFonts w:ascii="Times New Roman"/>
                <w:sz w:val="21"/>
              </w:rPr>
              <w:t>100</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3103"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高级职称</w:t>
            </w:r>
          </w:p>
        </w:tc>
        <w:tc>
          <w:tcPr>
            <w:tcW w:w="19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sz w:val="21"/>
              </w:rPr>
              <w:t>77</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left="2" w:right="0"/>
              <w:jc w:val="center"/>
              <w:rPr>
                <w:rFonts w:ascii="Times New Roman" w:hAnsi="Times New Roman" w:cs="Times New Roman" w:eastAsia="Times New Roman" w:hint="default"/>
                <w:sz w:val="21"/>
                <w:szCs w:val="21"/>
              </w:rPr>
            </w:pPr>
            <w:r>
              <w:rPr>
                <w:rFonts w:ascii="Times New Roman"/>
                <w:sz w:val="21"/>
              </w:rPr>
              <w:t>1.43</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sz w:val="21"/>
              </w:rPr>
              <w:t>+0.32</w:t>
            </w:r>
          </w:p>
        </w:tc>
      </w:tr>
      <w:tr>
        <w:trPr>
          <w:trHeight w:val="341" w:hRule="exact"/>
        </w:trPr>
        <w:tc>
          <w:tcPr>
            <w:tcW w:w="3103" w:type="dxa"/>
            <w:tcBorders>
              <w:top w:val="single" w:sz="5" w:space="0" w:color="000000"/>
              <w:left w:val="single" w:sz="5" w:space="0" w:color="000000"/>
              <w:bottom w:val="single" w:sz="5" w:space="0" w:color="000000"/>
              <w:right w:val="single" w:sz="5"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中级职称</w:t>
            </w:r>
          </w:p>
        </w:tc>
        <w:tc>
          <w:tcPr>
            <w:tcW w:w="19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2"/>
              <w:ind w:left="4" w:right="0"/>
              <w:jc w:val="center"/>
              <w:rPr>
                <w:rFonts w:ascii="Times New Roman" w:hAnsi="Times New Roman" w:cs="Times New Roman" w:eastAsia="Times New Roman" w:hint="default"/>
                <w:sz w:val="21"/>
                <w:szCs w:val="21"/>
              </w:rPr>
            </w:pPr>
            <w:r>
              <w:rPr>
                <w:rFonts w:ascii="Times New Roman"/>
                <w:sz w:val="21"/>
              </w:rPr>
              <w:t>314</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5.85</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+0.36</w:t>
            </w:r>
          </w:p>
        </w:tc>
      </w:tr>
      <w:tr>
        <w:trPr>
          <w:trHeight w:val="338" w:hRule="exact"/>
        </w:trPr>
        <w:tc>
          <w:tcPr>
            <w:tcW w:w="3103" w:type="dxa"/>
            <w:tcBorders>
              <w:top w:val="single" w:sz="5" w:space="0" w:color="000000"/>
              <w:left w:val="single" w:sz="5" w:space="0" w:color="000000"/>
              <w:bottom w:val="single" w:sz="5" w:space="0" w:color="000000"/>
              <w:right w:val="single" w:sz="5"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初级职称</w:t>
            </w:r>
          </w:p>
        </w:tc>
        <w:tc>
          <w:tcPr>
            <w:tcW w:w="19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2"/>
              <w:ind w:left="4" w:right="0"/>
              <w:jc w:val="center"/>
              <w:rPr>
                <w:rFonts w:ascii="Times New Roman" w:hAnsi="Times New Roman" w:cs="Times New Roman" w:eastAsia="Times New Roman" w:hint="default"/>
                <w:sz w:val="21"/>
                <w:szCs w:val="21"/>
              </w:rPr>
            </w:pPr>
            <w:r>
              <w:rPr>
                <w:rFonts w:ascii="Times New Roman"/>
                <w:sz w:val="21"/>
              </w:rPr>
              <w:t>297</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5.53</w:t>
            </w:r>
          </w:p>
        </w:tc>
        <w:tc>
          <w:tcPr>
            <w:tcW w:w="17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-2.13</w:t>
            </w:r>
          </w:p>
        </w:tc>
      </w:tr>
    </w:tbl>
    <w:p>
      <w:pPr>
        <w:spacing w:line="240" w:lineRule="auto" w:before="5"/>
        <w:rPr>
          <w:rFonts w:ascii="Microsoft JhengHei" w:hAnsi="Microsoft JhengHei" w:cs="Microsoft JhengHei" w:eastAsia="Microsoft JhengHei" w:hint="default"/>
          <w:b/>
          <w:bCs/>
          <w:sz w:val="33"/>
          <w:szCs w:val="33"/>
        </w:rPr>
      </w:pPr>
    </w:p>
    <w:p>
      <w:pPr>
        <w:spacing w:before="0"/>
        <w:ind w:left="3183" w:right="3095" w:firstLine="0"/>
        <w:jc w:val="center"/>
        <w:rPr>
          <w:rFonts w:ascii="宋体" w:hAnsi="宋体" w:cs="宋体" w:eastAsia="宋体" w:hint="default"/>
          <w:sz w:val="28"/>
          <w:szCs w:val="28"/>
        </w:rPr>
      </w:pPr>
      <w:r>
        <w:rPr>
          <w:rFonts w:ascii="宋体" w:hAnsi="宋体" w:cs="宋体" w:eastAsia="宋体" w:hint="default"/>
          <w:sz w:val="28"/>
          <w:szCs w:val="28"/>
        </w:rPr>
        <w:t>第五章</w:t>
      </w:r>
      <w:r>
        <w:rPr>
          <w:rFonts w:ascii="宋体" w:hAnsi="宋体" w:cs="宋体" w:eastAsia="宋体" w:hint="default"/>
          <w:spacing w:val="8"/>
          <w:sz w:val="28"/>
          <w:szCs w:val="28"/>
        </w:rPr>
        <w:t> </w:t>
      </w:r>
      <w:r>
        <w:rPr>
          <w:rFonts w:ascii="宋体" w:hAnsi="宋体" w:cs="宋体" w:eastAsia="宋体" w:hint="default"/>
          <w:sz w:val="28"/>
          <w:szCs w:val="28"/>
        </w:rPr>
        <w:t>公司治理结构</w:t>
      </w:r>
    </w:p>
    <w:p>
      <w:pPr>
        <w:spacing w:line="312" w:lineRule="auto" w:before="187"/>
        <w:ind w:left="780" w:right="86" w:firstLine="0"/>
        <w:jc w:val="left"/>
        <w:rPr>
          <w:rFonts w:ascii="宋体" w:hAnsi="宋体" w:cs="宋体" w:eastAsia="宋体" w:hint="default"/>
          <w:sz w:val="24"/>
          <w:szCs w:val="24"/>
        </w:rPr>
      </w:pPr>
      <w:bookmarkStart w:name="第一节公司治理情况" w:id="9"/>
      <w:bookmarkEnd w:id="9"/>
      <w:r>
        <w:rPr/>
      </w:r>
      <w:r>
        <w:rPr>
          <w:rFonts w:ascii="Microsoft JhengHei" w:hAnsi="Microsoft JhengHei" w:cs="Microsoft JhengHei" w:eastAsia="Microsoft JhengHei" w:hint="default"/>
          <w:b/>
          <w:bCs/>
          <w:sz w:val="24"/>
          <w:szCs w:val="24"/>
        </w:rPr>
        <w:t>第一节 公司治理情况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公司严格按照《公司法》、《证券法》、《上市公司治理准则》等法律、法</w:t>
      </w:r>
    </w:p>
    <w:p>
      <w:pPr>
        <w:pStyle w:val="BodyText"/>
        <w:spacing w:line="357" w:lineRule="auto" w:before="82"/>
        <w:ind w:left="780" w:right="208" w:hanging="480"/>
        <w:jc w:val="left"/>
      </w:pPr>
      <w:r>
        <w:rPr>
          <w:spacing w:val="-2"/>
          <w:w w:val="95"/>
        </w:rPr>
        <w:t>规及证券监管部门有关文件的要求，不断完善公司法人治理结构，规范公司运作。</w:t>
      </w:r>
      <w:r>
        <w:rPr>
          <w:spacing w:val="96"/>
          <w:w w:val="95"/>
        </w:rPr>
        <w:t> </w:t>
      </w:r>
      <w:r>
        <w:rPr>
          <w:spacing w:val="96"/>
          <w:w w:val="95"/>
        </w:rPr>
      </w:r>
      <w:r>
        <w:rPr>
          <w:spacing w:val="-5"/>
        </w:rPr>
        <w:t>根据行业及自身特点，公司科学运用战略分解、项目化管理、KPI</w:t>
      </w:r>
      <w:r>
        <w:rPr>
          <w:spacing w:val="-32"/>
        </w:rPr>
        <w:t> </w:t>
      </w:r>
      <w:r>
        <w:rPr/>
        <w:t>等先进管理</w:t>
      </w:r>
    </w:p>
    <w:p>
      <w:pPr>
        <w:spacing w:line="300" w:lineRule="auto" w:before="36"/>
        <w:ind w:left="780" w:right="386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工具，使公司各项管理活动日趋高效、规范。 </w:t>
      </w:r>
      <w:r>
        <w:rPr>
          <w:rFonts w:ascii="Microsoft JhengHei" w:hAnsi="Microsoft JhengHei" w:cs="Microsoft JhengHei" w:eastAsia="Microsoft JhengHei" w:hint="default"/>
          <w:b/>
          <w:bCs/>
          <w:sz w:val="24"/>
          <w:szCs w:val="24"/>
        </w:rPr>
        <w:t>一、法人治理结构运作情况</w:t>
      </w:r>
      <w:r>
        <w:rPr>
          <w:rFonts w:ascii="Microsoft JhengHei" w:hAnsi="Microsoft JhengHei" w:cs="Microsoft JhengHei" w:eastAsia="Microsoft JhengHei" w:hint="default"/>
          <w:sz w:val="24"/>
          <w:szCs w:val="24"/>
        </w:rPr>
      </w:r>
    </w:p>
    <w:p>
      <w:pPr>
        <w:spacing w:after="0" w:line="300" w:lineRule="auto"/>
        <w:jc w:val="left"/>
        <w:rPr>
          <w:rFonts w:ascii="Microsoft JhengHei" w:hAnsi="Microsoft JhengHei" w:cs="Microsoft JhengHei" w:eastAsia="Microsoft JhengHei" w:hint="default"/>
          <w:sz w:val="24"/>
          <w:szCs w:val="24"/>
        </w:rPr>
        <w:sectPr>
          <w:headerReference w:type="default" r:id="rId35"/>
          <w:footerReference w:type="default" r:id="rId36"/>
          <w:pgSz w:w="11910" w:h="16840"/>
          <w:pgMar w:header="0" w:footer="1095" w:top="1000" w:bottom="1280" w:left="1680" w:right="1240"/>
          <w:pgNumType w:start="22"/>
        </w:sectPr>
      </w:pPr>
    </w:p>
    <w:p>
      <w:pPr>
        <w:pStyle w:val="BodyText"/>
        <w:spacing w:line="357" w:lineRule="auto" w:before="13"/>
        <w:ind w:right="0" w:firstLine="480"/>
        <w:jc w:val="left"/>
      </w:pPr>
      <w:r>
        <w:rPr/>
        <w:t>1、关于股东与股东大会：公司充分尊重并切实维护股东权益，积极开展各种 交流活动，与广大股东特别是中小投资者广泛沟通，确保所有股东享有平等的权</w:t>
      </w:r>
      <w:r>
        <w:rPr>
          <w:spacing w:val="-91"/>
        </w:rPr>
        <w:t> </w:t>
      </w:r>
      <w:r>
        <w:rPr>
          <w:spacing w:val="-91"/>
        </w:rPr>
      </w:r>
      <w:r>
        <w:rPr>
          <w:spacing w:val="3"/>
        </w:rPr>
        <w:t>利。公司严格按照《章程》，《股东大会议事规则》规定召集、召开股东大会，</w:t>
      </w:r>
      <w:r>
        <w:rPr>
          <w:spacing w:val="-96"/>
        </w:rPr>
        <w:t> </w:t>
      </w:r>
      <w:r>
        <w:rPr>
          <w:spacing w:val="-96"/>
        </w:rPr>
      </w:r>
      <w:r>
        <w:rPr/>
        <w:t>并认真落实股东大会的各项决议。</w:t>
      </w:r>
    </w:p>
    <w:p>
      <w:pPr>
        <w:pStyle w:val="BodyText"/>
        <w:spacing w:line="357" w:lineRule="auto"/>
        <w:ind w:right="0" w:firstLine="480"/>
        <w:jc w:val="left"/>
      </w:pPr>
      <w:r>
        <w:rPr/>
        <w:t>2、关于董事和董事会：公司董事会严格按照《章程》、《董事会议事规则》 规定召集召开董事会会议，报告期内，公司共召开十六次董事会会议。董事会成</w:t>
      </w:r>
      <w:r>
        <w:rPr>
          <w:spacing w:val="-91"/>
        </w:rPr>
        <w:t> </w:t>
      </w:r>
      <w:r>
        <w:rPr>
          <w:spacing w:val="-91"/>
        </w:rPr>
      </w:r>
      <w:r>
        <w:rPr/>
        <w:t>员忠实、诚信、勤勉地履行工作职责，维护全体股东利益。</w:t>
      </w:r>
    </w:p>
    <w:p>
      <w:pPr>
        <w:pStyle w:val="BodyText"/>
        <w:spacing w:line="357" w:lineRule="auto"/>
        <w:ind w:right="0" w:firstLine="480"/>
        <w:jc w:val="left"/>
      </w:pPr>
      <w:r>
        <w:rPr/>
        <w:t>3、关于监事和监事会：公司监事会严格按照《章程》、《监事会议事规则》 规定召集召开监事会会议。报告期内，公司共召开八次监事会会议。公司监事本</w:t>
      </w:r>
      <w:r>
        <w:rPr>
          <w:spacing w:val="-97"/>
        </w:rPr>
        <w:t> </w:t>
      </w:r>
      <w:r>
        <w:rPr>
          <w:spacing w:val="-97"/>
        </w:rPr>
      </w:r>
      <w:r>
        <w:rPr/>
        <w:t>着对全体股东负责的态度，认真履行职责，对公司董事、高管人员履行职责的情</w:t>
      </w:r>
      <w:r>
        <w:rPr>
          <w:spacing w:val="-91"/>
        </w:rPr>
        <w:t> </w:t>
      </w:r>
      <w:r>
        <w:rPr>
          <w:spacing w:val="-91"/>
        </w:rPr>
      </w:r>
      <w:r>
        <w:rPr/>
        <w:t>况进行监督和检查，有效地促进了公司的规范运作。</w:t>
      </w:r>
    </w:p>
    <w:p>
      <w:pPr>
        <w:pStyle w:val="BodyText"/>
        <w:spacing w:line="357" w:lineRule="auto"/>
        <w:ind w:right="205" w:firstLine="480"/>
        <w:jc w:val="both"/>
      </w:pPr>
      <w:r>
        <w:rPr>
          <w:spacing w:val="-2"/>
        </w:rPr>
        <w:t>4、关于信息披露：公司充分履行上市公司信息披露义务，严格按照有关法律</w:t>
      </w:r>
      <w:r>
        <w:rPr/>
        <w:t> 法规的要求，真实、准确、完整、及时地披露有关信息，并确保所有股东和投资</w:t>
      </w:r>
      <w:r>
        <w:rPr>
          <w:spacing w:val="-91"/>
        </w:rPr>
        <w:t> </w:t>
      </w:r>
      <w:r>
        <w:rPr>
          <w:spacing w:val="-91"/>
        </w:rPr>
      </w:r>
      <w:r>
        <w:rPr/>
        <w:t>者具有平等获取信息的权利和机会。</w:t>
      </w:r>
    </w:p>
    <w:p>
      <w:pPr>
        <w:pStyle w:val="BodyText"/>
        <w:spacing w:line="357" w:lineRule="auto"/>
        <w:ind w:right="194" w:firstLine="480"/>
        <w:jc w:val="left"/>
      </w:pPr>
      <w:r>
        <w:rPr>
          <w:spacing w:val="-2"/>
        </w:rPr>
        <w:t>5、关于利益相关者：公司能够充分尊重和维护利益相关者的合法权益，实现</w:t>
      </w:r>
      <w:r>
        <w:rPr/>
        <w:t> </w:t>
      </w:r>
      <w:r>
        <w:rPr>
          <w:spacing w:val="-2"/>
          <w:w w:val="95"/>
        </w:rPr>
        <w:t>股东、员工、社会、客户等各方利益的协调平衡，共同推动公司持续、稳定发展。</w:t>
      </w:r>
      <w:r>
        <w:rPr>
          <w:spacing w:val="-2"/>
        </w:rPr>
      </w:r>
    </w:p>
    <w:p>
      <w:pPr>
        <w:pStyle w:val="Heading5"/>
        <w:spacing w:line="378" w:lineRule="exact"/>
        <w:ind w:right="0"/>
        <w:jc w:val="left"/>
        <w:rPr>
          <w:b w:val="0"/>
          <w:bCs w:val="0"/>
        </w:rPr>
      </w:pPr>
      <w:r>
        <w:rPr/>
        <w:t>二、 </w:t>
      </w:r>
      <w:r>
        <w:rPr>
          <w:spacing w:val="15"/>
        </w:rPr>
        <w:t> </w:t>
      </w:r>
      <w:r>
        <w:rPr/>
        <w:t>报告期内公司治理专项活动的情况</w:t>
      </w:r>
      <w:r>
        <w:rPr>
          <w:b w:val="0"/>
          <w:bCs w:val="0"/>
        </w:rPr>
      </w:r>
    </w:p>
    <w:p>
      <w:pPr>
        <w:pStyle w:val="BodyText"/>
        <w:spacing w:line="357" w:lineRule="auto" w:before="126"/>
        <w:ind w:right="205" w:firstLine="480"/>
        <w:jc w:val="both"/>
      </w:pPr>
      <w:r>
        <w:rPr/>
        <w:t>报告期内，公司一如既往继续依照中国证监会相关要求，做好公司治理自查 </w:t>
      </w:r>
      <w:r>
        <w:rPr>
          <w:spacing w:val="-3"/>
        </w:rPr>
        <w:t>和成果巩固工作，还根据深圳证监局《关于做好</w:t>
      </w:r>
      <w:r>
        <w:rPr>
          <w:spacing w:val="-60"/>
        </w:rPr>
        <w:t> </w:t>
      </w:r>
      <w:r>
        <w:rPr/>
        <w:t>2009</w:t>
      </w:r>
      <w:r>
        <w:rPr>
          <w:spacing w:val="-60"/>
        </w:rPr>
        <w:t> </w:t>
      </w:r>
      <w:r>
        <w:rPr/>
        <w:t>年上市公司治理相关工作的</w:t>
      </w:r>
      <w:r>
        <w:rPr/>
        <w:t> 通知》等文件的要求，组织全体董事、监事和高管人员认真学习文件精神，进行</w:t>
      </w:r>
      <w:r>
        <w:rPr>
          <w:spacing w:val="-91"/>
        </w:rPr>
        <w:t> </w:t>
      </w:r>
      <w:r>
        <w:rPr>
          <w:spacing w:val="-91"/>
        </w:rPr>
      </w:r>
      <w:r>
        <w:rPr/>
        <w:t>自查。</w:t>
      </w:r>
    </w:p>
    <w:p>
      <w:pPr>
        <w:pStyle w:val="BodyText"/>
        <w:spacing w:line="240" w:lineRule="auto"/>
        <w:ind w:left="780" w:right="0"/>
        <w:jc w:val="left"/>
      </w:pPr>
      <w:r>
        <w:rPr>
          <w:spacing w:val="3"/>
        </w:rPr>
        <w:t>报告期内，公司修订了《章程》，制定了《会计师事务所选聘管理办法》、</w:t>
      </w:r>
    </w:p>
    <w:p>
      <w:pPr>
        <w:pStyle w:val="BodyText"/>
        <w:spacing w:line="300" w:lineRule="auto" w:before="154"/>
        <w:ind w:left="780" w:right="0" w:hanging="480"/>
        <w:jc w:val="left"/>
      </w:pPr>
      <w:r>
        <w:rPr/>
        <w:t>《内幕信息知情人登记制度》，进一步完善了公司内部管理制度。 本年度报告披露前，根据中国证监会及深圳证监局的部署，为了进一步提高</w:t>
      </w:r>
    </w:p>
    <w:p>
      <w:pPr>
        <w:pStyle w:val="BodyText"/>
        <w:spacing w:line="357" w:lineRule="auto" w:before="94"/>
        <w:ind w:right="0"/>
        <w:jc w:val="left"/>
      </w:pPr>
      <w:r>
        <w:rPr/>
        <w:t>公司规范运作水平，提高年报信息披露的质量和透明度，增强年报信息披露的真</w:t>
      </w:r>
      <w:r>
        <w:rPr>
          <w:spacing w:val="-91"/>
        </w:rPr>
        <w:t> </w:t>
      </w:r>
      <w:r>
        <w:rPr>
          <w:spacing w:val="-91"/>
        </w:rPr>
      </w:r>
      <w:r>
        <w:rPr>
          <w:spacing w:val="-5"/>
          <w:w w:val="95"/>
        </w:rPr>
        <w:t>实性、准确性、完整性和及时性，制定了《年报信息披露重大差错责任追究制度》。</w:t>
      </w:r>
      <w:r>
        <w:rPr>
          <w:spacing w:val="-5"/>
        </w:rPr>
      </w:r>
    </w:p>
    <w:p>
      <w:pPr>
        <w:spacing w:line="240" w:lineRule="auto" w:before="0"/>
        <w:rPr>
          <w:rFonts w:ascii="宋体" w:hAnsi="宋体" w:cs="宋体" w:eastAsia="宋体" w:hint="default"/>
          <w:sz w:val="24"/>
          <w:szCs w:val="24"/>
        </w:rPr>
      </w:pPr>
    </w:p>
    <w:p>
      <w:pPr>
        <w:spacing w:line="312" w:lineRule="auto" w:before="190"/>
        <w:ind w:left="780" w:right="0" w:firstLine="0"/>
        <w:jc w:val="left"/>
        <w:rPr>
          <w:rFonts w:ascii="宋体" w:hAnsi="宋体" w:cs="宋体" w:eastAsia="宋体" w:hint="default"/>
          <w:sz w:val="24"/>
          <w:szCs w:val="24"/>
        </w:rPr>
      </w:pPr>
      <w:bookmarkStart w:name="第二节独立董事履行职责情况" w:id="10"/>
      <w:bookmarkEnd w:id="10"/>
      <w:r>
        <w:rPr/>
      </w:r>
      <w:r>
        <w:rPr>
          <w:rFonts w:ascii="Microsoft JhengHei" w:hAnsi="Microsoft JhengHei" w:cs="Microsoft JhengHei" w:eastAsia="Microsoft JhengHei" w:hint="default"/>
          <w:b/>
          <w:bCs/>
          <w:sz w:val="24"/>
          <w:szCs w:val="24"/>
        </w:rPr>
        <w:t>第二节 独立董事履行职责情况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公司第六届董事会独立董事五人：汪兴益先生、孙良媛女士、孙雄先生、肖</w:t>
      </w:r>
    </w:p>
    <w:p>
      <w:pPr>
        <w:pStyle w:val="BodyText"/>
        <w:spacing w:line="240" w:lineRule="auto" w:before="82"/>
        <w:ind w:right="0"/>
        <w:jc w:val="left"/>
      </w:pPr>
      <w:r>
        <w:rPr>
          <w:spacing w:val="-4"/>
        </w:rPr>
        <w:t>幼美女士、刘震国先生，任期三年，从</w:t>
      </w:r>
      <w:r>
        <w:rPr>
          <w:spacing w:val="-74"/>
        </w:rPr>
        <w:t> </w:t>
      </w:r>
      <w:r>
        <w:rPr/>
        <w:t>2009</w:t>
      </w:r>
      <w:r>
        <w:rPr>
          <w:spacing w:val="-69"/>
        </w:rPr>
        <w:t> </w:t>
      </w:r>
      <w:r>
        <w:rPr/>
        <w:t>年</w:t>
      </w:r>
      <w:r>
        <w:rPr>
          <w:spacing w:val="-69"/>
        </w:rPr>
        <w:t> </w:t>
      </w:r>
      <w:r>
        <w:rPr/>
        <w:t>12</w:t>
      </w:r>
      <w:r>
        <w:rPr>
          <w:spacing w:val="-69"/>
        </w:rPr>
        <w:t> </w:t>
      </w:r>
      <w:r>
        <w:rPr/>
        <w:t>月</w:t>
      </w:r>
      <w:r>
        <w:rPr>
          <w:spacing w:val="-69"/>
        </w:rPr>
        <w:t> </w:t>
      </w:r>
      <w:r>
        <w:rPr/>
        <w:t>18</w:t>
      </w:r>
      <w:r>
        <w:rPr>
          <w:spacing w:val="-69"/>
        </w:rPr>
        <w:t> </w:t>
      </w:r>
      <w:r>
        <w:rPr/>
        <w:t>日至</w:t>
      </w:r>
      <w:r>
        <w:rPr>
          <w:spacing w:val="-69"/>
        </w:rPr>
        <w:t> </w:t>
      </w:r>
      <w:r>
        <w:rPr/>
        <w:t>2012</w:t>
      </w:r>
      <w:r>
        <w:rPr>
          <w:spacing w:val="-69"/>
        </w:rPr>
        <w:t> </w:t>
      </w:r>
      <w:r>
        <w:rPr/>
        <w:t>年</w:t>
      </w:r>
      <w:r>
        <w:rPr>
          <w:spacing w:val="-69"/>
        </w:rPr>
        <w:t> </w:t>
      </w:r>
      <w:r>
        <w:rPr/>
        <w:t>12</w:t>
      </w:r>
      <w:r>
        <w:rPr>
          <w:spacing w:val="-69"/>
        </w:rPr>
        <w:t> </w:t>
      </w:r>
      <w:r>
        <w:rPr/>
        <w:t>月</w:t>
      </w:r>
      <w:r>
        <w:rPr>
          <w:spacing w:val="-69"/>
        </w:rPr>
        <w:t> </w:t>
      </w:r>
      <w:r>
        <w:rPr/>
        <w:t>18</w:t>
      </w:r>
      <w:r>
        <w:rPr>
          <w:spacing w:val="-69"/>
        </w:rPr>
        <w:t> </w:t>
      </w:r>
      <w:r>
        <w:rPr/>
        <w:t>日。</w:t>
      </w:r>
    </w:p>
    <w:p>
      <w:pPr>
        <w:spacing w:after="0" w:line="240" w:lineRule="auto"/>
        <w:jc w:val="left"/>
        <w:sectPr>
          <w:headerReference w:type="default" r:id="rId37"/>
          <w:footerReference w:type="default" r:id="rId38"/>
          <w:pgSz w:w="11910" w:h="16840"/>
          <w:pgMar w:header="0" w:footer="1095" w:top="1100" w:bottom="1280" w:left="1680" w:right="1260"/>
          <w:pgNumType w:start="23"/>
        </w:sectPr>
      </w:pPr>
    </w:p>
    <w:p>
      <w:pPr>
        <w:pStyle w:val="BodyText"/>
        <w:spacing w:line="240" w:lineRule="auto" w:before="9"/>
        <w:ind w:left="780" w:right="86"/>
        <w:jc w:val="left"/>
      </w:pPr>
      <w:r>
        <w:rPr/>
        <w:t>报告期内，共召开了十六次董事会。独立董事出席董事会会议的情况如下：</w:t>
      </w:r>
    </w:p>
    <w:p>
      <w:pPr>
        <w:spacing w:line="240" w:lineRule="auto" w:before="4"/>
        <w:rPr>
          <w:rFonts w:ascii="宋体" w:hAnsi="宋体" w:cs="宋体" w:eastAsia="宋体" w:hint="default"/>
          <w:sz w:val="5"/>
          <w:szCs w:val="5"/>
        </w:rPr>
      </w:pPr>
    </w:p>
    <w:tbl>
      <w:tblPr>
        <w:tblW w:w="0" w:type="auto"/>
        <w:jc w:val="left"/>
        <w:tblInd w:w="295" w:type="dxa"/>
        <w:tblLayout w:type="fixed"/>
        <w:tblCellMar>
          <w:top w:w="0" w:type="dxa"/>
          <w:left w:w="0" w:type="dxa"/>
          <w:bottom w:w="0" w:type="dxa"/>
          <w:right w:w="0" w:type="dxa"/>
        </w:tblCellMar>
        <w:tblLook w:val="01E0"/>
      </w:tblPr>
      <w:tblGrid>
        <w:gridCol w:w="1224"/>
        <w:gridCol w:w="1750"/>
        <w:gridCol w:w="1574"/>
        <w:gridCol w:w="1572"/>
        <w:gridCol w:w="1224"/>
        <w:gridCol w:w="1222"/>
      </w:tblGrid>
      <w:tr>
        <w:trPr>
          <w:trHeight w:val="634" w:hRule="exact"/>
        </w:trPr>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50" w:type="dxa"/>
            <w:tcBorders>
              <w:top w:val="single" w:sz="4" w:space="0" w:color="000008"/>
              <w:left w:val="single" w:sz="4" w:space="0" w:color="000008"/>
              <w:bottom w:val="single" w:sz="4" w:space="0" w:color="000008"/>
              <w:right w:val="single" w:sz="4" w:space="0" w:color="000008"/>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本年应参加董事</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会会议次数</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6" w:right="0"/>
              <w:jc w:val="center"/>
              <w:rPr>
                <w:rFonts w:ascii="宋体" w:hAnsi="宋体" w:cs="宋体" w:eastAsia="宋体" w:hint="default"/>
                <w:sz w:val="21"/>
                <w:szCs w:val="21"/>
              </w:rPr>
            </w:pPr>
            <w:r>
              <w:rPr>
                <w:rFonts w:ascii="宋体" w:hAnsi="宋体" w:cs="宋体" w:eastAsia="宋体" w:hint="default"/>
                <w:spacing w:val="-3"/>
                <w:w w:val="95"/>
                <w:sz w:val="21"/>
                <w:szCs w:val="21"/>
              </w:rPr>
              <w:t>亲自出席（次）</w:t>
            </w:r>
            <w:r>
              <w:rPr>
                <w:rFonts w:ascii="宋体" w:hAnsi="宋体" w:cs="宋体" w:eastAsia="宋体" w:hint="default"/>
                <w:spacing w:val="-3"/>
                <w:sz w:val="21"/>
                <w:szCs w:val="21"/>
              </w:rPr>
            </w:r>
          </w:p>
        </w:tc>
        <w:tc>
          <w:tcPr>
            <w:tcW w:w="15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pacing w:val="-3"/>
                <w:w w:val="95"/>
                <w:sz w:val="21"/>
                <w:szCs w:val="21"/>
              </w:rPr>
              <w:t>委托出席（次）</w:t>
            </w:r>
            <w:r>
              <w:rPr>
                <w:rFonts w:ascii="宋体" w:hAnsi="宋体" w:cs="宋体" w:eastAsia="宋体" w:hint="default"/>
                <w:spacing w:val="-3"/>
                <w:sz w:val="21"/>
                <w:szCs w:val="21"/>
              </w:rPr>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83" w:right="0"/>
              <w:jc w:val="center"/>
              <w:rPr>
                <w:rFonts w:ascii="宋体" w:hAnsi="宋体" w:cs="宋体" w:eastAsia="宋体" w:hint="default"/>
                <w:sz w:val="21"/>
                <w:szCs w:val="21"/>
              </w:rPr>
            </w:pPr>
            <w:r>
              <w:rPr>
                <w:rFonts w:ascii="宋体" w:hAnsi="宋体" w:cs="宋体" w:eastAsia="宋体" w:hint="default"/>
                <w:w w:val="90"/>
                <w:sz w:val="21"/>
                <w:szCs w:val="21"/>
              </w:rPr>
              <w:t>缺</w:t>
            </w:r>
            <w:r>
              <w:rPr>
                <w:rFonts w:ascii="宋体" w:hAnsi="宋体" w:cs="宋体" w:eastAsia="宋体" w:hint="default"/>
                <w:spacing w:val="-76"/>
                <w:w w:val="90"/>
                <w:sz w:val="21"/>
                <w:szCs w:val="21"/>
              </w:rPr>
              <w:t> </w:t>
            </w:r>
            <w:r>
              <w:rPr>
                <w:rFonts w:ascii="宋体" w:hAnsi="宋体" w:cs="宋体" w:eastAsia="宋体" w:hint="default"/>
                <w:spacing w:val="11"/>
                <w:w w:val="90"/>
                <w:sz w:val="21"/>
                <w:szCs w:val="21"/>
              </w:rPr>
              <w:t>席（</w:t>
            </w:r>
            <w:r>
              <w:rPr>
                <w:rFonts w:ascii="宋体" w:hAnsi="宋体" w:cs="宋体" w:eastAsia="宋体" w:hint="default"/>
                <w:spacing w:val="-76"/>
                <w:w w:val="90"/>
                <w:sz w:val="21"/>
                <w:szCs w:val="21"/>
              </w:rPr>
              <w:t> </w:t>
            </w:r>
            <w:r>
              <w:rPr>
                <w:rFonts w:ascii="宋体" w:hAnsi="宋体" w:cs="宋体" w:eastAsia="宋体" w:hint="default"/>
                <w:spacing w:val="11"/>
                <w:w w:val="90"/>
                <w:sz w:val="21"/>
                <w:szCs w:val="21"/>
              </w:rPr>
              <w:t>次）</w:t>
            </w:r>
            <w:r>
              <w:rPr>
                <w:rFonts w:ascii="宋体" w:hAnsi="宋体" w:cs="宋体" w:eastAsia="宋体" w:hint="default"/>
                <w:spacing w:val="11"/>
                <w:sz w:val="21"/>
                <w:szCs w:val="21"/>
              </w:rPr>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92" w:right="0"/>
              <w:jc w:val="left"/>
              <w:rPr>
                <w:rFonts w:ascii="宋体" w:hAnsi="宋体" w:cs="宋体" w:eastAsia="宋体" w:hint="default"/>
                <w:sz w:val="21"/>
                <w:szCs w:val="21"/>
              </w:rPr>
            </w:pPr>
            <w:r>
              <w:rPr>
                <w:rFonts w:ascii="宋体" w:hAnsi="宋体" w:cs="宋体" w:eastAsia="宋体" w:hint="default"/>
                <w:sz w:val="21"/>
                <w:szCs w:val="21"/>
              </w:rPr>
              <w:t>汪兴益</w:t>
            </w:r>
          </w:p>
        </w:tc>
        <w:tc>
          <w:tcPr>
            <w:tcW w:w="1750"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1</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15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r>
      <w:tr>
        <w:trPr>
          <w:trHeight w:val="322" w:hRule="exact"/>
        </w:trPr>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92" w:right="0"/>
              <w:jc w:val="left"/>
              <w:rPr>
                <w:rFonts w:ascii="宋体" w:hAnsi="宋体" w:cs="宋体" w:eastAsia="宋体" w:hint="default"/>
                <w:sz w:val="21"/>
                <w:szCs w:val="21"/>
              </w:rPr>
            </w:pPr>
            <w:r>
              <w:rPr>
                <w:rFonts w:ascii="宋体" w:hAnsi="宋体" w:cs="宋体" w:eastAsia="宋体" w:hint="default"/>
                <w:sz w:val="21"/>
                <w:szCs w:val="21"/>
              </w:rPr>
              <w:t>孙良媛</w:t>
            </w:r>
          </w:p>
        </w:tc>
        <w:tc>
          <w:tcPr>
            <w:tcW w:w="17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16</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11</w:t>
            </w:r>
          </w:p>
        </w:tc>
        <w:tc>
          <w:tcPr>
            <w:tcW w:w="15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5</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r>
      <w:tr>
        <w:trPr>
          <w:trHeight w:val="334" w:hRule="exact"/>
        </w:trPr>
        <w:tc>
          <w:tcPr>
            <w:tcW w:w="1224" w:type="dxa"/>
            <w:tcBorders>
              <w:top w:val="single" w:sz="4" w:space="0" w:color="000008"/>
              <w:left w:val="single" w:sz="4" w:space="0" w:color="000008"/>
              <w:bottom w:val="single" w:sz="4" w:space="0" w:color="000008"/>
              <w:right w:val="single" w:sz="4" w:space="0" w:color="000008"/>
            </w:tcBorders>
          </w:tcPr>
          <w:p>
            <w:pPr>
              <w:pStyle w:val="TableParagraph"/>
              <w:tabs>
                <w:tab w:pos="712" w:val="left" w:leader="none"/>
              </w:tabs>
              <w:spacing w:line="267" w:lineRule="exact"/>
              <w:ind w:left="292" w:right="0"/>
              <w:jc w:val="left"/>
              <w:rPr>
                <w:rFonts w:ascii="宋体" w:hAnsi="宋体" w:cs="宋体" w:eastAsia="宋体" w:hint="default"/>
                <w:sz w:val="21"/>
                <w:szCs w:val="21"/>
              </w:rPr>
            </w:pPr>
            <w:r>
              <w:rPr>
                <w:rFonts w:ascii="宋体" w:hAnsi="宋体" w:cs="宋体" w:eastAsia="宋体" w:hint="default"/>
                <w:sz w:val="21"/>
                <w:szCs w:val="21"/>
              </w:rPr>
              <w:t>孙</w:t>
              <w:tab/>
              <w:t>雄</w:t>
            </w:r>
          </w:p>
        </w:tc>
        <w:tc>
          <w:tcPr>
            <w:tcW w:w="17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16</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16</w:t>
            </w:r>
          </w:p>
        </w:tc>
        <w:tc>
          <w:tcPr>
            <w:tcW w:w="15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0</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r>
      <w:tr>
        <w:trPr>
          <w:trHeight w:val="336" w:hRule="exact"/>
        </w:trPr>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292"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7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15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0</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r>
      <w:tr>
        <w:trPr>
          <w:trHeight w:val="322" w:hRule="exact"/>
        </w:trPr>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60" w:lineRule="exact"/>
              <w:ind w:left="292" w:right="0"/>
              <w:jc w:val="left"/>
              <w:rPr>
                <w:rFonts w:ascii="宋体" w:hAnsi="宋体" w:cs="宋体" w:eastAsia="宋体" w:hint="default"/>
                <w:sz w:val="21"/>
                <w:szCs w:val="21"/>
              </w:rPr>
            </w:pPr>
            <w:r>
              <w:rPr>
                <w:rFonts w:ascii="宋体" w:hAnsi="宋体" w:cs="宋体" w:eastAsia="宋体" w:hint="default"/>
                <w:sz w:val="21"/>
                <w:szCs w:val="21"/>
              </w:rPr>
              <w:t>刘震国</w:t>
            </w:r>
          </w:p>
        </w:tc>
        <w:tc>
          <w:tcPr>
            <w:tcW w:w="17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15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r>
      <w:tr>
        <w:trPr>
          <w:trHeight w:val="322" w:hRule="exact"/>
        </w:trPr>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60" w:lineRule="exact"/>
              <w:ind w:left="292" w:right="0"/>
              <w:jc w:val="left"/>
              <w:rPr>
                <w:rFonts w:ascii="宋体" w:hAnsi="宋体" w:cs="宋体" w:eastAsia="宋体" w:hint="default"/>
                <w:sz w:val="21"/>
                <w:szCs w:val="21"/>
              </w:rPr>
            </w:pPr>
            <w:r>
              <w:rPr>
                <w:rFonts w:ascii="宋体" w:hAnsi="宋体" w:cs="宋体" w:eastAsia="宋体" w:hint="default"/>
                <w:sz w:val="21"/>
                <w:szCs w:val="21"/>
              </w:rPr>
              <w:t>吴叔平</w:t>
            </w:r>
          </w:p>
        </w:tc>
        <w:tc>
          <w:tcPr>
            <w:tcW w:w="17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15</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14</w:t>
            </w:r>
          </w:p>
        </w:tc>
        <w:tc>
          <w:tcPr>
            <w:tcW w:w="15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1</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r>
      <w:tr>
        <w:trPr>
          <w:trHeight w:val="322" w:hRule="exact"/>
        </w:trPr>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92" w:right="0"/>
              <w:jc w:val="left"/>
              <w:rPr>
                <w:rFonts w:ascii="宋体" w:hAnsi="宋体" w:cs="宋体" w:eastAsia="宋体" w:hint="default"/>
                <w:sz w:val="21"/>
                <w:szCs w:val="21"/>
              </w:rPr>
            </w:pPr>
            <w:r>
              <w:rPr>
                <w:rFonts w:ascii="宋体" w:hAnsi="宋体" w:cs="宋体" w:eastAsia="宋体" w:hint="default"/>
                <w:sz w:val="21"/>
                <w:szCs w:val="21"/>
              </w:rPr>
              <w:t>郭晋龙</w:t>
            </w:r>
          </w:p>
        </w:tc>
        <w:tc>
          <w:tcPr>
            <w:tcW w:w="17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15</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14</w:t>
            </w:r>
          </w:p>
        </w:tc>
        <w:tc>
          <w:tcPr>
            <w:tcW w:w="15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1</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r>
      <w:tr>
        <w:trPr>
          <w:trHeight w:val="322" w:hRule="exact"/>
        </w:trPr>
        <w:tc>
          <w:tcPr>
            <w:tcW w:w="1224" w:type="dxa"/>
            <w:tcBorders>
              <w:top w:val="single" w:sz="4" w:space="0" w:color="000008"/>
              <w:left w:val="single" w:sz="4" w:space="0" w:color="000008"/>
              <w:bottom w:val="single" w:sz="4" w:space="0" w:color="000008"/>
              <w:right w:val="single" w:sz="4" w:space="0" w:color="000008"/>
            </w:tcBorders>
          </w:tcPr>
          <w:p>
            <w:pPr>
              <w:pStyle w:val="TableParagraph"/>
              <w:tabs>
                <w:tab w:pos="712" w:val="left" w:leader="none"/>
              </w:tabs>
              <w:spacing w:line="262" w:lineRule="exact"/>
              <w:ind w:left="292" w:right="0"/>
              <w:jc w:val="left"/>
              <w:rPr>
                <w:rFonts w:ascii="宋体" w:hAnsi="宋体" w:cs="宋体" w:eastAsia="宋体" w:hint="default"/>
                <w:sz w:val="21"/>
                <w:szCs w:val="21"/>
              </w:rPr>
            </w:pPr>
            <w:r>
              <w:rPr>
                <w:rFonts w:ascii="宋体" w:hAnsi="宋体" w:cs="宋体" w:eastAsia="宋体" w:hint="default"/>
                <w:sz w:val="21"/>
                <w:szCs w:val="21"/>
              </w:rPr>
              <w:t>张</w:t>
              <w:tab/>
              <w:t>勇</w:t>
            </w:r>
          </w:p>
        </w:tc>
        <w:tc>
          <w:tcPr>
            <w:tcW w:w="17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15</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15</w:t>
            </w:r>
          </w:p>
        </w:tc>
        <w:tc>
          <w:tcPr>
            <w:tcW w:w="15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1222" w:type="dxa"/>
            <w:tcBorders>
              <w:top w:val="single" w:sz="4" w:space="0" w:color="000008"/>
              <w:left w:val="single" w:sz="4" w:space="0" w:color="000008"/>
              <w:bottom w:val="single" w:sz="4" w:space="0" w:color="000008"/>
              <w:right w:val="single" w:sz="4" w:space="0" w:color="000008"/>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r>
    </w:tbl>
    <w:p>
      <w:pPr>
        <w:pStyle w:val="BodyText"/>
        <w:spacing w:line="357" w:lineRule="auto" w:before="43"/>
        <w:ind w:right="252" w:firstLine="480"/>
        <w:jc w:val="both"/>
      </w:pPr>
      <w:r>
        <w:rPr/>
        <w:t>公司独立董事严格按照相关法律法规和《章程》的要求，勤勉尽责，关注股 东、尤其是中小股东的合法权益，维护公司整体利益。</w:t>
      </w:r>
    </w:p>
    <w:p>
      <w:pPr>
        <w:pStyle w:val="BodyText"/>
        <w:spacing w:line="357" w:lineRule="auto"/>
        <w:ind w:right="221" w:firstLine="480"/>
        <w:jc w:val="both"/>
      </w:pPr>
      <w:r>
        <w:rPr/>
        <w:t>报告期内，公司独立董事积极出席了公司召开的董事会和股东大会，对会议 的各项议案进行了认真审议，并对公司对外担保事项、年度利润分配预案、年度</w:t>
      </w:r>
      <w:r>
        <w:rPr>
          <w:spacing w:val="-91"/>
        </w:rPr>
        <w:t> </w:t>
      </w:r>
      <w:r>
        <w:rPr>
          <w:spacing w:val="-91"/>
        </w:rPr>
      </w:r>
      <w:r>
        <w:rPr/>
        <w:t>审计报告意见、年度内部控制自我评价、将部分暂未使用的募集资金继续用于补</w:t>
      </w:r>
      <w:r>
        <w:rPr>
          <w:spacing w:val="-91"/>
        </w:rPr>
        <w:t> </w:t>
      </w:r>
      <w:r>
        <w:rPr>
          <w:spacing w:val="-91"/>
        </w:rPr>
      </w:r>
      <w:r>
        <w:rPr/>
        <w:t>充流动资金、董事会换届、选举董事长和聘任高级管理人员等重大事项发表了独</w:t>
      </w:r>
      <w:r>
        <w:rPr>
          <w:spacing w:val="-91"/>
        </w:rPr>
        <w:t> </w:t>
      </w:r>
      <w:r>
        <w:rPr>
          <w:spacing w:val="-91"/>
        </w:rPr>
      </w:r>
      <w:r>
        <w:rPr/>
        <w:t>立意见。同时，公司独立董事作为董事会下属各专业委员会的召集人或委员，利</w:t>
      </w:r>
      <w:r>
        <w:rPr>
          <w:spacing w:val="-91"/>
        </w:rPr>
        <w:t> </w:t>
      </w:r>
      <w:r>
        <w:rPr>
          <w:spacing w:val="-91"/>
        </w:rPr>
      </w:r>
      <w:r>
        <w:rPr>
          <w:spacing w:val="-2"/>
          <w:w w:val="95"/>
        </w:rPr>
        <w:t>用经济、企业管理、会计、法律等专业知识和实践经验，对公司的重大投资项目、</w:t>
      </w:r>
      <w:r>
        <w:rPr>
          <w:spacing w:val="95"/>
          <w:w w:val="95"/>
        </w:rPr>
        <w:t> </w:t>
      </w:r>
      <w:r>
        <w:rPr>
          <w:spacing w:val="95"/>
          <w:w w:val="95"/>
        </w:rPr>
      </w:r>
      <w:r>
        <w:rPr/>
        <w:t>董事和高管人员的年度考核、薪酬情况、年度审计、提名董事、高级管理人员候</w:t>
      </w:r>
      <w:r>
        <w:rPr>
          <w:spacing w:val="-91"/>
        </w:rPr>
        <w:t> </w:t>
      </w:r>
      <w:r>
        <w:rPr>
          <w:spacing w:val="-91"/>
        </w:rPr>
      </w:r>
      <w:r>
        <w:rPr/>
        <w:t>选人等重大事项进行了审核，为董事会形成公正、科学、合理的决策起到积极作</w:t>
      </w:r>
      <w:r>
        <w:rPr>
          <w:spacing w:val="-93"/>
        </w:rPr>
        <w:t> </w:t>
      </w:r>
      <w:r>
        <w:rPr>
          <w:spacing w:val="-93"/>
        </w:rPr>
      </w:r>
      <w:r>
        <w:rPr/>
        <w:t>用，切实履行了独立董事的职责。</w:t>
      </w:r>
    </w:p>
    <w:p>
      <w:pPr>
        <w:pStyle w:val="BodyText"/>
        <w:spacing w:line="240" w:lineRule="auto"/>
        <w:ind w:left="780" w:right="686"/>
        <w:jc w:val="left"/>
      </w:pPr>
      <w:r>
        <w:rPr/>
        <w:t>报告期内，公司独立董事未对公司决策事项提出重大异议。</w:t>
      </w:r>
    </w:p>
    <w:p>
      <w:pPr>
        <w:pStyle w:val="BodyText"/>
        <w:spacing w:line="352" w:lineRule="auto" w:before="154"/>
        <w:ind w:right="225" w:firstLine="480"/>
        <w:jc w:val="both"/>
      </w:pPr>
      <w:r>
        <w:rPr/>
        <w:t>根据</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日第五届董事会第十三次会议审议通过的《独立董事工 作规则》第二十条规定的独立董事在年报编制和披露过程中应履行的职责，在公</w:t>
      </w:r>
      <w:r>
        <w:rPr>
          <w:spacing w:val="-91"/>
        </w:rPr>
        <w:t> </w:t>
      </w:r>
      <w:r>
        <w:rPr>
          <w:spacing w:val="-91"/>
        </w:rPr>
      </w:r>
      <w:r>
        <w:rPr/>
        <w:t>司</w:t>
      </w:r>
      <w:r>
        <w:rPr>
          <w:spacing w:val="-8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t>年年报审计阶段，公司独立董事在年审注册会计师进场前审阅了公司财务 负责人递交的公司本年度审计工作安排及公司编制的财务报表；听取了公司管理</w:t>
      </w:r>
      <w:r>
        <w:rPr>
          <w:spacing w:val="-91"/>
        </w:rPr>
        <w:t> </w:t>
      </w:r>
      <w:r>
        <w:rPr>
          <w:spacing w:val="-91"/>
        </w:rPr>
      </w:r>
      <w:r>
        <w:rPr/>
        <w:t>层汇报的公司本年度的生产经营情况和重大事项的进展情况，并前往公司多个市</w:t>
      </w:r>
      <w:r>
        <w:rPr>
          <w:spacing w:val="-91"/>
        </w:rPr>
        <w:t> </w:t>
      </w:r>
      <w:r>
        <w:rPr>
          <w:spacing w:val="-91"/>
        </w:rPr>
      </w:r>
      <w:r>
        <w:rPr/>
        <w:t>场（布吉、平湖、合肥、上海、南昌等）进行了实地考察；同时在年审注册会计</w:t>
      </w:r>
      <w:r>
        <w:rPr>
          <w:spacing w:val="-91"/>
        </w:rPr>
        <w:t> </w:t>
      </w:r>
      <w:r>
        <w:rPr>
          <w:spacing w:val="-91"/>
        </w:rPr>
      </w:r>
      <w:r>
        <w:rPr/>
        <w:t>师出具初步审计意见后与年审注册会计师沟通了审计过程中发现的问题；独立董</w:t>
      </w:r>
      <w:r>
        <w:rPr>
          <w:spacing w:val="-96"/>
        </w:rPr>
        <w:t> </w:t>
      </w:r>
      <w:r>
        <w:rPr>
          <w:spacing w:val="-96"/>
        </w:rPr>
      </w:r>
      <w:r>
        <w:rPr/>
        <w:t>事还对公司拟聘请的会计师是否具有证券、期货相关业务资格、以及为公司提供</w:t>
      </w:r>
      <w:r>
        <w:rPr>
          <w:spacing w:val="-91"/>
        </w:rPr>
        <w:t> </w:t>
      </w:r>
      <w:r>
        <w:rPr>
          <w:spacing w:val="-91"/>
        </w:rPr>
      </w:r>
      <w:r>
        <w:rPr/>
        <w:t>年报审计的注册会计师的从业资格进行了核查。</w:t>
      </w:r>
    </w:p>
    <w:p>
      <w:pPr>
        <w:spacing w:after="0" w:line="352" w:lineRule="auto"/>
        <w:jc w:val="both"/>
        <w:sectPr>
          <w:headerReference w:type="default" r:id="rId39"/>
          <w:footerReference w:type="default" r:id="rId40"/>
          <w:pgSz w:w="11910" w:h="16840"/>
          <w:pgMar w:header="0" w:footer="1095" w:top="1200" w:bottom="1280" w:left="1680" w:right="1240"/>
          <w:pgNumType w:start="24"/>
        </w:sectPr>
      </w:pPr>
    </w:p>
    <w:p>
      <w:pPr>
        <w:pStyle w:val="Heading5"/>
        <w:spacing w:line="354" w:lineRule="exact"/>
        <w:ind w:right="0"/>
        <w:jc w:val="left"/>
        <w:rPr>
          <w:b w:val="0"/>
          <w:bCs w:val="0"/>
        </w:rPr>
      </w:pPr>
      <w:bookmarkStart w:name="第三节公司与控股股东在人员、资产、财务、机构、业务等方面的独立情况" w:id="11"/>
      <w:bookmarkEnd w:id="11"/>
      <w:r>
        <w:rPr>
          <w:b w:val="0"/>
          <w:bCs w:val="0"/>
        </w:rPr>
      </w:r>
      <w:r>
        <w:rPr/>
        <w:t>第三节 </w:t>
      </w:r>
      <w:r>
        <w:rPr>
          <w:spacing w:val="23"/>
        </w:rPr>
        <w:t> </w:t>
      </w:r>
      <w:r>
        <w:rPr>
          <w:spacing w:val="-3"/>
        </w:rPr>
        <w:t>公司与控股股东在人员、资产、财务、机构、业务等方面的独立情况</w:t>
      </w:r>
      <w:r>
        <w:rPr>
          <w:b w:val="0"/>
          <w:bCs w:val="0"/>
          <w:spacing w:val="-3"/>
        </w:rPr>
      </w:r>
    </w:p>
    <w:p>
      <w:pPr>
        <w:pStyle w:val="BodyText"/>
        <w:spacing w:line="357" w:lineRule="auto" w:before="126"/>
        <w:ind w:right="229" w:firstLine="480"/>
        <w:jc w:val="both"/>
      </w:pPr>
      <w:r>
        <w:rPr/>
        <w:t>（一）公司与控股股东人员、资产、财务分开，机构、业务独立，公司与控 股股东各自独立核算、独立承担责任和风险。公司具有独立完整的业务系统及自</w:t>
      </w:r>
      <w:r>
        <w:rPr>
          <w:spacing w:val="-91"/>
        </w:rPr>
        <w:t> </w:t>
      </w:r>
      <w:r>
        <w:rPr>
          <w:spacing w:val="-91"/>
        </w:rPr>
      </w:r>
      <w:r>
        <w:rPr/>
        <w:t>主经营能力。</w:t>
      </w:r>
    </w:p>
    <w:p>
      <w:pPr>
        <w:pStyle w:val="BodyText"/>
        <w:spacing w:line="357" w:lineRule="auto"/>
        <w:ind w:left="780" w:right="4206"/>
        <w:jc w:val="left"/>
      </w:pPr>
      <w:r>
        <w:rPr/>
        <w:t>（二）公司治理非规范事项的说明 1、向大股东报送相关未公开信息情况</w:t>
      </w:r>
    </w:p>
    <w:p>
      <w:pPr>
        <w:pStyle w:val="BodyText"/>
        <w:spacing w:line="274" w:lineRule="exact" w:before="0"/>
        <w:ind w:right="0" w:firstLine="480"/>
        <w:jc w:val="both"/>
      </w:pPr>
      <w:r>
        <w:rPr/>
        <w:t>公司作为深圳市国资局控股的上市公司，因执行国有资产管理的相关规定，</w:t>
      </w:r>
    </w:p>
    <w:p>
      <w:pPr>
        <w:pStyle w:val="BodyText"/>
        <w:spacing w:line="357" w:lineRule="auto" w:before="154"/>
        <w:ind w:right="205"/>
        <w:jc w:val="both"/>
      </w:pPr>
      <w:r>
        <w:rPr/>
        <w:t>存在定期和不定期向大股东深圳市国资局报送月度主要财务指标快报、季度经济 </w:t>
      </w:r>
      <w:r>
        <w:rPr>
          <w:spacing w:val="-2"/>
        </w:rPr>
        <w:t>运行分析和年度预算等未公开信息的情况。未公开信息报送情况及知情人名单,公</w:t>
      </w:r>
      <w:r>
        <w:rPr>
          <w:spacing w:val="-109"/>
        </w:rPr>
        <w:t> </w:t>
      </w:r>
      <w:r>
        <w:rPr>
          <w:spacing w:val="-109"/>
        </w:rPr>
      </w:r>
      <w:r>
        <w:rPr/>
        <w:t>司均于每月10日前向深圳证监局备案。</w:t>
      </w:r>
    </w:p>
    <w:p>
      <w:pPr>
        <w:pStyle w:val="BodyText"/>
        <w:spacing w:line="357" w:lineRule="auto"/>
        <w:ind w:right="265" w:firstLine="480"/>
        <w:jc w:val="both"/>
      </w:pPr>
      <w:r>
        <w:rPr/>
        <w:t>上报的财务信息报送程序为：公司计财部按照公司内部流程，完成相关财务 信息的编制，经计财部负责人、财务总监、总经理审核同意后，通过深圳市国资 局下发的数字证书登录“深圳市国资局－国有资产管理信息系统”网站上报，深 圳市国资局统计评价处合并汇总后，向市政府及上级国有资产监管部门上报。</w:t>
      </w:r>
    </w:p>
    <w:p>
      <w:pPr>
        <w:pStyle w:val="BodyText"/>
        <w:spacing w:line="357" w:lineRule="auto" w:before="113"/>
        <w:ind w:right="0" w:firstLine="480"/>
        <w:jc w:val="left"/>
      </w:pPr>
      <w:r>
        <w:rPr>
          <w:spacing w:val="3"/>
        </w:rPr>
        <w:t>为了控制未公开信息的知情面,公司在信息的传递过程中严格控制知情人范</w:t>
      </w:r>
      <w:r>
        <w:rPr/>
        <w:t> 围。大股东深圳市国资局也向公司出具了《加强未公开信息管理承诺函》，承诺</w:t>
      </w:r>
      <w:r>
        <w:rPr>
          <w:spacing w:val="-91"/>
        </w:rPr>
        <w:t> </w:t>
      </w:r>
      <w:r>
        <w:rPr>
          <w:spacing w:val="-91"/>
        </w:rPr>
      </w:r>
      <w:r>
        <w:rPr>
          <w:spacing w:val="3"/>
        </w:rPr>
        <w:t>内容如下：“我单位将建立和完善已获取的上市公司未公开信息管理内控制度，</w:t>
      </w:r>
      <w:r>
        <w:rPr>
          <w:spacing w:val="-92"/>
        </w:rPr>
        <w:t> </w:t>
      </w:r>
      <w:r>
        <w:rPr>
          <w:spacing w:val="-92"/>
        </w:rPr>
      </w:r>
      <w:r>
        <w:rPr/>
        <w:t>督促我单位及我单位实际控制人的相关信息知情人不利用你公司未公开信息买卖</w:t>
      </w:r>
      <w:r>
        <w:rPr>
          <w:spacing w:val="-91"/>
        </w:rPr>
        <w:t> </w:t>
      </w:r>
      <w:r>
        <w:rPr>
          <w:spacing w:val="-91"/>
        </w:rPr>
      </w:r>
      <w:r>
        <w:rPr>
          <w:w w:val="95"/>
        </w:rPr>
        <w:t>你公司证券，不建议他人买卖你公司证券，也不泄露你公司未公开信息，并及时、</w:t>
      </w:r>
      <w:r>
        <w:rPr>
          <w:spacing w:val="23"/>
          <w:w w:val="95"/>
        </w:rPr>
        <w:t> </w:t>
      </w:r>
      <w:r>
        <w:rPr>
          <w:spacing w:val="23"/>
          <w:w w:val="95"/>
        </w:rPr>
      </w:r>
      <w:r>
        <w:rPr/>
        <w:t>真实、准确、完整地提供我单位及我单位实际控制人知悉你公司未公开信息的知</w:t>
      </w:r>
      <w:r>
        <w:rPr>
          <w:spacing w:val="-91"/>
        </w:rPr>
        <w:t> </w:t>
      </w:r>
      <w:r>
        <w:rPr>
          <w:spacing w:val="-91"/>
        </w:rPr>
      </w:r>
      <w:r>
        <w:rPr/>
        <w:t>情人名单，由你公司报送深圳证监局、证券交易所备案。”</w:t>
      </w:r>
    </w:p>
    <w:p>
      <w:pPr>
        <w:pStyle w:val="BodyText"/>
        <w:spacing w:line="274" w:lineRule="exact" w:before="0"/>
        <w:ind w:left="780" w:right="0"/>
        <w:jc w:val="left"/>
      </w:pPr>
      <w:r>
        <w:rPr/>
        <w:t>2、其他事项说明</w:t>
      </w:r>
    </w:p>
    <w:p>
      <w:pPr>
        <w:pStyle w:val="BodyText"/>
        <w:spacing w:line="357" w:lineRule="auto" w:before="154"/>
        <w:ind w:right="205" w:firstLine="480"/>
        <w:jc w:val="both"/>
      </w:pPr>
      <w:r>
        <w:rPr/>
        <w:t>公司自</w:t>
      </w:r>
      <w:r>
        <w:rPr>
          <w:spacing w:val="-56"/>
        </w:rPr>
        <w:t> </w:t>
      </w:r>
      <w:r>
        <w:rPr/>
        <w:t>2007</w:t>
      </w:r>
      <w:r>
        <w:rPr>
          <w:spacing w:val="-56"/>
        </w:rPr>
        <w:t> </w:t>
      </w:r>
      <w:r>
        <w:rPr/>
        <w:t>年</w:t>
      </w:r>
      <w:r>
        <w:rPr>
          <w:spacing w:val="-56"/>
        </w:rPr>
        <w:t> </w:t>
      </w:r>
      <w:r>
        <w:rPr/>
        <w:t>10</w:t>
      </w:r>
      <w:r>
        <w:rPr>
          <w:spacing w:val="-56"/>
        </w:rPr>
        <w:t> </w:t>
      </w:r>
      <w:r>
        <w:rPr>
          <w:spacing w:val="-3"/>
        </w:rPr>
        <w:t>月起,已不再执行产权代表报告制度，也不再就重大事项报</w:t>
      </w:r>
      <w:r>
        <w:rPr/>
        <w:t> 大股东深圳市国资局进行事前审批。公司不存在接受大股东或实际控制人对公司</w:t>
      </w:r>
      <w:r>
        <w:rPr>
          <w:spacing w:val="-91"/>
        </w:rPr>
        <w:t> </w:t>
      </w:r>
      <w:r>
        <w:rPr>
          <w:spacing w:val="-91"/>
        </w:rPr>
      </w:r>
      <w:r>
        <w:rPr/>
        <w:t>高层和中层管理人员任免情况，不存在大股东或实际控制人对公司及下属子公司</w:t>
      </w:r>
      <w:r>
        <w:rPr>
          <w:spacing w:val="-91"/>
        </w:rPr>
        <w:t> </w:t>
      </w:r>
      <w:r>
        <w:rPr>
          <w:spacing w:val="-91"/>
        </w:rPr>
      </w:r>
      <w:r>
        <w:rPr/>
        <w:t>或具体项目进行审计的情况。</w:t>
      </w:r>
    </w:p>
    <w:p>
      <w:pPr>
        <w:spacing w:line="240" w:lineRule="auto" w:before="9"/>
        <w:rPr>
          <w:rFonts w:ascii="宋体" w:hAnsi="宋体" w:cs="宋体" w:eastAsia="宋体" w:hint="default"/>
          <w:sz w:val="32"/>
          <w:szCs w:val="32"/>
        </w:rPr>
      </w:pPr>
    </w:p>
    <w:p>
      <w:pPr>
        <w:pStyle w:val="Heading5"/>
        <w:spacing w:line="350" w:lineRule="auto"/>
        <w:ind w:left="840" w:right="2614" w:hanging="60"/>
        <w:jc w:val="left"/>
        <w:rPr>
          <w:b w:val="0"/>
          <w:bCs w:val="0"/>
        </w:rPr>
      </w:pPr>
      <w:bookmarkStart w:name="第四节公司内部控制制度建立健全情况" w:id="12"/>
      <w:bookmarkEnd w:id="12"/>
      <w:r>
        <w:rPr>
          <w:b w:val="0"/>
          <w:bCs w:val="0"/>
        </w:rPr>
      </w:r>
      <w:r>
        <w:rPr/>
        <w:t>第四节</w:t>
      </w:r>
      <w:r>
        <w:rPr>
          <w:spacing w:val="12"/>
        </w:rPr>
        <w:t> </w:t>
      </w:r>
      <w:r>
        <w:rPr/>
        <w:t>公司内部控制制度建立健全情况</w:t>
      </w:r>
      <w:r>
        <w:rPr/>
        <w:t> 一、内控综述</w:t>
      </w:r>
      <w:r>
        <w:rPr>
          <w:b w:val="0"/>
          <w:bCs w:val="0"/>
        </w:rPr>
      </w:r>
    </w:p>
    <w:p>
      <w:pPr>
        <w:spacing w:line="333" w:lineRule="exact" w:before="0"/>
        <w:ind w:left="84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（一）内部控制的组织架构</w:t>
      </w:r>
      <w:r>
        <w:rPr>
          <w:rFonts w:ascii="Microsoft JhengHei" w:hAnsi="Microsoft JhengHei" w:cs="Microsoft JhengHei" w:eastAsia="Microsoft JhengHei" w:hint="default"/>
          <w:sz w:val="24"/>
          <w:szCs w:val="24"/>
        </w:rPr>
      </w:r>
    </w:p>
    <w:p>
      <w:pPr>
        <w:spacing w:after="0" w:line="333" w:lineRule="exact"/>
        <w:jc w:val="left"/>
        <w:rPr>
          <w:rFonts w:ascii="Microsoft JhengHei" w:hAnsi="Microsoft JhengHei" w:cs="Microsoft JhengHei" w:eastAsia="Microsoft JhengHei" w:hint="default"/>
          <w:sz w:val="24"/>
          <w:szCs w:val="24"/>
        </w:rPr>
        <w:sectPr>
          <w:headerReference w:type="default" r:id="rId41"/>
          <w:footerReference w:type="default" r:id="rId42"/>
          <w:pgSz w:w="11910" w:h="16840"/>
          <w:pgMar w:header="0" w:footer="1095" w:top="1100" w:bottom="1280" w:left="1680" w:right="1260"/>
          <w:pgNumType w:start="25"/>
        </w:sectPr>
      </w:pPr>
    </w:p>
    <w:p>
      <w:pPr>
        <w:pStyle w:val="BodyText"/>
        <w:spacing w:line="381" w:lineRule="auto" w:before="14"/>
        <w:ind w:right="105" w:firstLine="540"/>
        <w:jc w:val="both"/>
      </w:pPr>
      <w:r>
        <w:rPr/>
        <w:t>公司建立了由股东大会、董事会、监事会、管理层和各控股子公司及职能部 门构成的内控组织架构，董事会是公司的决策机构，对公司内部控制体系的建立</w:t>
      </w:r>
      <w:r>
        <w:rPr>
          <w:spacing w:val="-91"/>
        </w:rPr>
        <w:t> </w:t>
      </w:r>
      <w:r>
        <w:rPr>
          <w:spacing w:val="-91"/>
        </w:rPr>
      </w:r>
      <w:r>
        <w:rPr/>
        <w:t>健全和有效实施负责，建立和完善公司内部控制的政策和方案；监事会是公司的</w:t>
      </w:r>
      <w:r>
        <w:rPr>
          <w:spacing w:val="-91"/>
        </w:rPr>
        <w:t> </w:t>
      </w:r>
      <w:r>
        <w:rPr>
          <w:spacing w:val="-91"/>
        </w:rPr>
      </w:r>
      <w:r>
        <w:rPr/>
        <w:t>监督机构，对董事、总经理及其他高管人员依法履行职责进行监督，对董事会建</w:t>
      </w:r>
      <w:r>
        <w:rPr>
          <w:spacing w:val="-91"/>
        </w:rPr>
        <w:t> </w:t>
      </w:r>
      <w:r>
        <w:rPr>
          <w:spacing w:val="-91"/>
        </w:rPr>
      </w:r>
      <w:r>
        <w:rPr/>
        <w:t>立与实施内部控制进行监督；管理层负责组织领导内部控制的日常运行，通过指</w:t>
      </w:r>
      <w:r>
        <w:rPr>
          <w:spacing w:val="-91"/>
        </w:rPr>
        <w:t> </w:t>
      </w:r>
      <w:r>
        <w:rPr>
          <w:spacing w:val="-91"/>
        </w:rPr>
      </w:r>
      <w:r>
        <w:rPr/>
        <w:t>挥、协调、管理、监督各控股子公司和职能部门行使经营管理权力，保证公司的</w:t>
      </w:r>
      <w:r>
        <w:rPr>
          <w:spacing w:val="-91"/>
        </w:rPr>
        <w:t> </w:t>
      </w:r>
      <w:r>
        <w:rPr>
          <w:spacing w:val="-91"/>
        </w:rPr>
      </w:r>
      <w:r>
        <w:rPr/>
        <w:t>正常经营运转。</w:t>
      </w:r>
    </w:p>
    <w:p>
      <w:pPr>
        <w:pStyle w:val="BodyText"/>
        <w:spacing w:line="381" w:lineRule="auto" w:before="43"/>
        <w:ind w:right="101" w:firstLine="540"/>
        <w:jc w:val="both"/>
      </w:pPr>
      <w:r>
        <w:rPr>
          <w:spacing w:val="-4"/>
          <w:w w:val="95"/>
        </w:rPr>
        <w:t>公司根据战略发展需要，并结合实际情况、业务特点和相关内部控制的要求，</w:t>
      </w:r>
      <w:r>
        <w:rPr>
          <w:w w:val="51"/>
        </w:rPr>
        <w:t> </w:t>
      </w:r>
      <w:r>
        <w:rPr>
          <w:spacing w:val="-6"/>
        </w:rPr>
        <w:t>制定了详尽的《组织结构设置方案》，设置内部机构及岗位分工，明确界定了各层</w:t>
      </w:r>
      <w:r>
        <w:rPr>
          <w:spacing w:val="-86"/>
        </w:rPr>
        <w:t> </w:t>
      </w:r>
      <w:r>
        <w:rPr>
          <w:spacing w:val="-86"/>
        </w:rPr>
      </w:r>
      <w:r>
        <w:rPr/>
        <w:t>级、各部门、各岗位的控制目标、职责和权限，建立相应的授权、检查制度，确</w:t>
      </w:r>
      <w:r>
        <w:rPr>
          <w:spacing w:val="-91"/>
        </w:rPr>
        <w:t> </w:t>
      </w:r>
      <w:r>
        <w:rPr>
          <w:spacing w:val="-91"/>
        </w:rPr>
      </w:r>
      <w:r>
        <w:rPr/>
        <w:t>保各层级能够在授权范围内履行职能，保证董事会及管理层的决策能够被有效执</w:t>
      </w:r>
      <w:r>
        <w:rPr>
          <w:spacing w:val="-95"/>
        </w:rPr>
        <w:t> </w:t>
      </w:r>
      <w:r>
        <w:rPr>
          <w:spacing w:val="-95"/>
        </w:rPr>
      </w:r>
      <w:r>
        <w:rPr/>
        <w:t>行。</w:t>
      </w:r>
    </w:p>
    <w:p>
      <w:pPr>
        <w:pStyle w:val="Heading5"/>
        <w:spacing w:line="371" w:lineRule="exact"/>
        <w:ind w:left="840" w:right="1110"/>
        <w:jc w:val="left"/>
        <w:rPr>
          <w:b w:val="0"/>
          <w:bCs w:val="0"/>
        </w:rPr>
      </w:pPr>
      <w:r>
        <w:rPr/>
        <w:t>（二）内部控制制度建立健全情况</w:t>
      </w:r>
      <w:r>
        <w:rPr>
          <w:b w:val="0"/>
          <w:bCs w:val="0"/>
        </w:rPr>
      </w:r>
    </w:p>
    <w:p>
      <w:pPr>
        <w:pStyle w:val="BodyText"/>
        <w:spacing w:line="367" w:lineRule="auto" w:before="138"/>
        <w:ind w:right="105" w:firstLine="540"/>
        <w:jc w:val="both"/>
      </w:pPr>
      <w:r>
        <w:rPr/>
        <w:t>公司依据《公司法》、《证券法》、《深圳证券交易所上市公司内部控制指 引》、《企业内部控制基本规范》等相关法律、法规的规定，以及自身经营特点</w:t>
      </w:r>
      <w:r>
        <w:rPr>
          <w:spacing w:val="-97"/>
        </w:rPr>
        <w:t> </w:t>
      </w:r>
      <w:r>
        <w:rPr>
          <w:spacing w:val="-97"/>
        </w:rPr>
      </w:r>
      <w:r>
        <w:rPr/>
        <w:t>和管理需要，在充分考虑控制环境、风险评估、控制活动、信息沟通、监督等内</w:t>
      </w:r>
      <w:r>
        <w:rPr>
          <w:spacing w:val="-91"/>
        </w:rPr>
        <w:t> </w:t>
      </w:r>
      <w:r>
        <w:rPr>
          <w:spacing w:val="-91"/>
        </w:rPr>
      </w:r>
      <w:r>
        <w:rPr/>
        <w:t>控组成要素的基础上，建立起了一套较为完善的内部控制制度。这些制度涵盖了</w:t>
      </w:r>
      <w:r>
        <w:rPr>
          <w:spacing w:val="-91"/>
        </w:rPr>
        <w:t> </w:t>
      </w:r>
      <w:r>
        <w:rPr>
          <w:spacing w:val="-91"/>
        </w:rPr>
      </w:r>
      <w:r>
        <w:rPr/>
        <w:t>各项经营业务、财务管理、会计控制体系、人力资源管理、投资管理、工程项目</w:t>
      </w:r>
      <w:r>
        <w:rPr>
          <w:spacing w:val="-91"/>
        </w:rPr>
        <w:t> </w:t>
      </w:r>
      <w:r>
        <w:rPr>
          <w:spacing w:val="-91"/>
        </w:rPr>
      </w:r>
      <w:r>
        <w:rPr/>
        <w:t>管理、预算管理、融资管理、食品安全管理、关联交易、对外担保、信息沟通与</w:t>
      </w:r>
      <w:r>
        <w:rPr>
          <w:spacing w:val="-91"/>
        </w:rPr>
        <w:t> </w:t>
      </w:r>
      <w:r>
        <w:rPr>
          <w:spacing w:val="-91"/>
        </w:rPr>
      </w:r>
      <w:r>
        <w:rPr/>
        <w:t>披露等方面。</w:t>
      </w:r>
    </w:p>
    <w:p>
      <w:pPr>
        <w:pStyle w:val="BodyText"/>
        <w:spacing w:line="367" w:lineRule="auto" w:before="38"/>
        <w:ind w:right="105" w:firstLine="540"/>
        <w:jc w:val="both"/>
      </w:pPr>
      <w:r>
        <w:rPr/>
        <w:t>2009</w:t>
      </w:r>
      <w:r>
        <w:rPr>
          <w:spacing w:val="-60"/>
        </w:rPr>
        <w:t> </w:t>
      </w:r>
      <w:r>
        <w:rPr>
          <w:spacing w:val="-2"/>
        </w:rPr>
        <w:t>年度公司继续加强内部控制制度的建设、执行和检查监督力度，推行全</w:t>
      </w:r>
      <w:r>
        <w:rPr/>
        <w:t> 面风险管理，进一步完善内部控制制度和优化业务流程，保证所有重要控制环节</w:t>
      </w:r>
      <w:r>
        <w:rPr>
          <w:spacing w:val="-91"/>
        </w:rPr>
        <w:t> </w:t>
      </w:r>
      <w:r>
        <w:rPr>
          <w:spacing w:val="-91"/>
        </w:rPr>
      </w:r>
      <w:r>
        <w:rPr/>
        <w:t>得到有效控制，为公司网络化战略的实施、经营效率和盈利水平的不断提升，提</w:t>
      </w:r>
      <w:r>
        <w:rPr>
          <w:spacing w:val="-91"/>
        </w:rPr>
        <w:t> </w:t>
      </w:r>
      <w:r>
        <w:rPr>
          <w:spacing w:val="-91"/>
        </w:rPr>
      </w:r>
      <w:r>
        <w:rPr/>
        <w:t>供了制度保证。</w:t>
      </w:r>
    </w:p>
    <w:p>
      <w:pPr>
        <w:pStyle w:val="Heading5"/>
        <w:spacing w:line="380" w:lineRule="exact"/>
        <w:ind w:left="840" w:right="1110"/>
        <w:jc w:val="left"/>
        <w:rPr>
          <w:b w:val="0"/>
          <w:bCs w:val="0"/>
        </w:rPr>
      </w:pPr>
      <w:r>
        <w:rPr/>
        <w:t>（三）内部审计部门的设立及工作情况</w:t>
      </w:r>
      <w:r>
        <w:rPr>
          <w:b w:val="0"/>
          <w:bCs w:val="0"/>
        </w:rPr>
      </w:r>
    </w:p>
    <w:p>
      <w:pPr>
        <w:pStyle w:val="BodyText"/>
        <w:spacing w:line="367" w:lineRule="auto" w:before="138"/>
        <w:ind w:right="105" w:firstLine="540"/>
        <w:jc w:val="both"/>
      </w:pPr>
      <w:r>
        <w:rPr/>
        <w:t>公司设立审计部，受董事会审计委员会的领导，部门设置财务审计、流程审 计以及工程审计等</w:t>
      </w:r>
      <w:r>
        <w:rPr>
          <w:spacing w:val="-54"/>
        </w:rPr>
        <w:t> </w:t>
      </w:r>
      <w:r>
        <w:rPr/>
        <w:t>7</w:t>
      </w:r>
      <w:r>
        <w:rPr>
          <w:spacing w:val="-54"/>
        </w:rPr>
        <w:t> </w:t>
      </w:r>
      <w:r>
        <w:rPr/>
        <w:t>个岗位，配备专职内审人员</w:t>
      </w:r>
      <w:r>
        <w:rPr>
          <w:spacing w:val="-54"/>
        </w:rPr>
        <w:t> </w:t>
      </w:r>
      <w:r>
        <w:rPr/>
        <w:t>5</w:t>
      </w:r>
      <w:r>
        <w:rPr>
          <w:spacing w:val="-56"/>
        </w:rPr>
        <w:t> </w:t>
      </w:r>
      <w:r>
        <w:rPr/>
        <w:t>人，均具有大学本科以上文化</w:t>
      </w:r>
      <w:r>
        <w:rPr>
          <w:spacing w:val="-118"/>
        </w:rPr>
        <w:t> </w:t>
      </w:r>
      <w:r>
        <w:rPr>
          <w:spacing w:val="-118"/>
        </w:rPr>
      </w:r>
      <w:r>
        <w:rPr/>
        <w:t>水平且均为相关专业中级及以上技术职称，两名注册会计师协会非执业会员。审</w:t>
      </w:r>
      <w:r>
        <w:rPr>
          <w:spacing w:val="-91"/>
        </w:rPr>
        <w:t> </w:t>
      </w:r>
      <w:r>
        <w:rPr>
          <w:spacing w:val="-91"/>
        </w:rPr>
      </w:r>
      <w:r>
        <w:rPr/>
        <w:t>计部负责对控股子公司及各职能部门的财务、经营管理、投资项目、工程项目以</w:t>
      </w:r>
    </w:p>
    <w:p>
      <w:pPr>
        <w:spacing w:after="0" w:line="367" w:lineRule="auto"/>
        <w:jc w:val="both"/>
        <w:sectPr>
          <w:headerReference w:type="default" r:id="rId43"/>
          <w:footerReference w:type="default" r:id="rId44"/>
          <w:pgSz w:w="11910" w:h="16840"/>
          <w:pgMar w:header="0" w:footer="1095" w:top="1180" w:bottom="1280" w:left="1680" w:right="1360"/>
          <w:pgNumType w:start="26"/>
        </w:sectPr>
      </w:pPr>
    </w:p>
    <w:p>
      <w:pPr>
        <w:pStyle w:val="BodyText"/>
        <w:spacing w:line="367" w:lineRule="auto" w:before="0"/>
        <w:ind w:right="205"/>
        <w:jc w:val="both"/>
      </w:pPr>
      <w:r>
        <w:rPr>
          <w:spacing w:val="-5"/>
        </w:rPr>
        <w:t>及内部控制制度的建立健全及有效执行实施独立的审计、检查、监督和评价，2009</w:t>
      </w:r>
      <w:r>
        <w:rPr>
          <w:spacing w:val="-112"/>
        </w:rPr>
        <w:t> </w:t>
      </w:r>
      <w:r>
        <w:rPr>
          <w:spacing w:val="-112"/>
        </w:rPr>
      </w:r>
      <w:r>
        <w:rPr/>
        <w:t>年实施了包括离任审计、投资项目尽职调查、工程审计、募集资金专项检查、内</w:t>
      </w:r>
      <w:r>
        <w:rPr>
          <w:spacing w:val="-91"/>
        </w:rPr>
        <w:t> </w:t>
      </w:r>
      <w:r>
        <w:rPr>
          <w:spacing w:val="-91"/>
        </w:rPr>
      </w:r>
      <w:r>
        <w:rPr/>
        <w:t>部控制专项检查等审计活动。</w:t>
      </w:r>
    </w:p>
    <w:p>
      <w:pPr>
        <w:pStyle w:val="Heading5"/>
        <w:spacing w:line="380" w:lineRule="exact"/>
        <w:ind w:left="840" w:right="0"/>
        <w:jc w:val="left"/>
        <w:rPr>
          <w:b w:val="0"/>
          <w:bCs w:val="0"/>
        </w:rPr>
      </w:pPr>
      <w:r>
        <w:rPr>
          <w:w w:val="95"/>
        </w:rPr>
        <w:t>（四）2009   </w:t>
      </w:r>
      <w:r>
        <w:rPr>
          <w:spacing w:val="2"/>
          <w:w w:val="95"/>
        </w:rPr>
        <w:t> </w:t>
      </w:r>
      <w:r>
        <w:rPr>
          <w:w w:val="95"/>
        </w:rPr>
        <w:t>年建立和完善内控方面的重要活动</w:t>
      </w:r>
      <w:r>
        <w:rPr>
          <w:b w:val="0"/>
          <w:bCs w:val="0"/>
          <w:w w:val="95"/>
        </w:rPr>
      </w:r>
    </w:p>
    <w:p>
      <w:pPr>
        <w:pStyle w:val="BodyText"/>
        <w:spacing w:line="360" w:lineRule="auto" w:before="138"/>
        <w:ind w:right="205" w:firstLine="540"/>
        <w:jc w:val="both"/>
      </w:pPr>
      <w:r>
        <w:rPr>
          <w:rFonts w:ascii="Times New Roman" w:hAnsi="Times New Roman" w:cs="Times New Roman" w:eastAsia="Times New Roman" w:hint="default"/>
        </w:rPr>
        <w:t>1</w:t>
      </w:r>
      <w:r>
        <w:rPr/>
        <w:t>、</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年，公司推行全面风险管理，制定全面风险管理推进规划，在全公 司范围内开展了全面风险管理系列培训、风险识别和风险自我评估等工作，并以</w:t>
      </w:r>
      <w:r>
        <w:rPr>
          <w:spacing w:val="-91"/>
        </w:rPr>
        <w:t> </w:t>
      </w:r>
      <w:r>
        <w:rPr>
          <w:spacing w:val="-91"/>
        </w:rPr>
      </w:r>
      <w:r>
        <w:rPr>
          <w:spacing w:val="-2"/>
        </w:rPr>
        <w:t>电子商务企业为试点，开展了流程标准化工作,为下一步在全公司范围内全面展开</w:t>
      </w:r>
      <w:r>
        <w:rPr>
          <w:spacing w:val="-108"/>
        </w:rPr>
        <w:t> </w:t>
      </w:r>
      <w:r>
        <w:rPr>
          <w:spacing w:val="-108"/>
        </w:rPr>
      </w:r>
      <w:r>
        <w:rPr/>
        <w:t>风险管理提供了经验。</w:t>
      </w:r>
    </w:p>
    <w:p>
      <w:pPr>
        <w:pStyle w:val="BodyText"/>
        <w:spacing w:line="360" w:lineRule="auto" w:before="46"/>
        <w:ind w:right="229" w:firstLine="540"/>
        <w:jc w:val="both"/>
      </w:pPr>
      <w:r>
        <w:rPr/>
        <w:t>2、结合全面风险管理工作的推动，公司完成了内控制度的全面梳理。</w:t>
      </w:r>
      <w:r>
        <w:rPr>
          <w:spacing w:val="-64"/>
        </w:rPr>
        <w:t> </w:t>
      </w:r>
      <w:r>
        <w:rPr>
          <w:rFonts w:ascii="Times New Roman" w:hAnsi="Times New Roman" w:cs="Times New Roman" w:eastAsia="Times New Roman" w:hint="default"/>
        </w:rPr>
        <w:t>2009 </w:t>
      </w:r>
      <w:r>
        <w:rPr/>
        <w:t>年主要在批发市场收费及服务业务流程整合和规范管理、人力资源管理、安全管</w:t>
      </w:r>
      <w:r>
        <w:rPr>
          <w:spacing w:val="-91"/>
        </w:rPr>
        <w:t> </w:t>
      </w:r>
      <w:r>
        <w:rPr>
          <w:spacing w:val="-91"/>
        </w:rPr>
      </w:r>
      <w:r>
        <w:rPr/>
        <w:t>理、电子商务企业风险管控等方面，相继完善和修订了有关的控制制度，更加注</w:t>
      </w:r>
      <w:r>
        <w:rPr>
          <w:spacing w:val="-91"/>
        </w:rPr>
        <w:t> </w:t>
      </w:r>
      <w:r>
        <w:rPr>
          <w:spacing w:val="-91"/>
        </w:rPr>
      </w:r>
      <w:r>
        <w:rPr/>
        <w:t>重制度的科学合理性、可行性和执行力度。</w:t>
      </w:r>
    </w:p>
    <w:p>
      <w:pPr>
        <w:pStyle w:val="BodyText"/>
        <w:spacing w:line="367" w:lineRule="auto" w:before="46"/>
        <w:ind w:right="205" w:firstLine="540"/>
        <w:jc w:val="both"/>
      </w:pPr>
      <w:r>
        <w:rPr>
          <w:spacing w:val="-2"/>
          <w:w w:val="95"/>
        </w:rPr>
        <w:t>3、公司继续分步整合批发市场管理流程，试点推行新的客服中心及食品安全</w:t>
      </w:r>
      <w:r>
        <w:rPr/>
        <w:t> 管理模式，并陆续在客户服务、食品安全等方面出台系列工作规范，优化了批发</w:t>
      </w:r>
      <w:r>
        <w:rPr>
          <w:spacing w:val="-91"/>
        </w:rPr>
        <w:t> </w:t>
      </w:r>
      <w:r>
        <w:rPr>
          <w:spacing w:val="-91"/>
        </w:rPr>
      </w:r>
      <w:r>
        <w:rPr/>
        <w:t>市场的业务流程，提升了批发市场的管理水平和经营效益。</w:t>
      </w:r>
    </w:p>
    <w:p>
      <w:pPr>
        <w:pStyle w:val="BodyText"/>
        <w:spacing w:line="357" w:lineRule="auto" w:before="38"/>
        <w:ind w:right="205" w:firstLine="540"/>
        <w:jc w:val="both"/>
      </w:pPr>
      <w:r>
        <w:rPr>
          <w:rFonts w:ascii="Times New Roman" w:hAnsi="Times New Roman" w:cs="Times New Roman" w:eastAsia="Times New Roman" w:hint="default"/>
          <w:spacing w:val="-3"/>
          <w:w w:val="95"/>
        </w:rPr>
        <w:t>4</w:t>
      </w:r>
      <w:r>
        <w:rPr>
          <w:spacing w:val="-3"/>
          <w:w w:val="95"/>
        </w:rPr>
        <w:t>、继续在批发市场有序推进电子化结算，规范电子化结算流程。电子化结算</w:t>
      </w:r>
      <w:r>
        <w:rPr/>
        <w:t> 在很大程度上提高了收费效率、降低收费成本，并能有效堵塞传统现金收费的漏</w:t>
      </w:r>
      <w:r>
        <w:rPr>
          <w:spacing w:val="-91"/>
        </w:rPr>
        <w:t> </w:t>
      </w:r>
      <w:r>
        <w:rPr>
          <w:spacing w:val="-91"/>
        </w:rPr>
      </w:r>
      <w:r>
        <w:rPr/>
        <w:t>洞。</w:t>
      </w:r>
    </w:p>
    <w:p>
      <w:pPr>
        <w:pStyle w:val="BodyText"/>
        <w:spacing w:line="367" w:lineRule="auto" w:before="48"/>
        <w:ind w:right="205" w:firstLine="540"/>
        <w:jc w:val="both"/>
      </w:pPr>
      <w:r>
        <w:rPr>
          <w:spacing w:val="-4"/>
        </w:rPr>
        <w:t>5、结合电子化结算，在批发市场推行联收计酬考核方式试点，探索适合各批</w:t>
      </w:r>
      <w:r>
        <w:rPr/>
        <w:t> 发市场企业基层员工的激励约束机制。</w:t>
      </w:r>
    </w:p>
    <w:p>
      <w:pPr>
        <w:pStyle w:val="Heading5"/>
        <w:spacing w:line="380" w:lineRule="exact"/>
        <w:ind w:left="840" w:right="0"/>
        <w:jc w:val="left"/>
        <w:rPr>
          <w:b w:val="0"/>
          <w:bCs w:val="0"/>
        </w:rPr>
      </w:pPr>
      <w:r>
        <w:rPr/>
        <w:t>（五）总体评价</w:t>
      </w:r>
      <w:r>
        <w:rPr>
          <w:b w:val="0"/>
          <w:bCs w:val="0"/>
        </w:rPr>
      </w:r>
    </w:p>
    <w:p>
      <w:pPr>
        <w:pStyle w:val="BodyText"/>
        <w:spacing w:line="367" w:lineRule="auto" w:before="138"/>
        <w:ind w:right="0" w:firstLine="540"/>
        <w:jc w:val="left"/>
      </w:pPr>
      <w:r>
        <w:rPr/>
        <w:t>公司的内部控制总体是规范、完整和有效的：公司有良好的内部控制环境， </w:t>
      </w:r>
      <w:r>
        <w:rPr>
          <w:spacing w:val="3"/>
        </w:rPr>
        <w:t>各主要业务及关键控制环节如会计系统、财务收支及成本费用管理、资金管理、</w:t>
      </w:r>
      <w:r>
        <w:rPr>
          <w:spacing w:val="-96"/>
        </w:rPr>
        <w:t> </w:t>
      </w:r>
      <w:r>
        <w:rPr>
          <w:spacing w:val="-96"/>
        </w:rPr>
      </w:r>
      <w:r>
        <w:rPr/>
        <w:t>资产处置与管理、募集资金管理、对外投资、基建管理、对外担保和融资、对下</w:t>
      </w:r>
      <w:r>
        <w:rPr>
          <w:spacing w:val="-91"/>
        </w:rPr>
        <w:t> </w:t>
      </w:r>
      <w:r>
        <w:rPr>
          <w:spacing w:val="-91"/>
        </w:rPr>
      </w:r>
      <w:r>
        <w:rPr/>
        <w:t>属公司及下派高管和财务负责人的管理、全面预算管理、食品安全管理、人力资</w:t>
      </w:r>
      <w:r>
        <w:rPr>
          <w:spacing w:val="-91"/>
        </w:rPr>
        <w:t> </w:t>
      </w:r>
      <w:r>
        <w:rPr>
          <w:spacing w:val="-91"/>
        </w:rPr>
      </w:r>
      <w:r>
        <w:rPr/>
        <w:t>源管理和股证事务管理等，能得到有效控制。</w:t>
      </w:r>
    </w:p>
    <w:p>
      <w:pPr>
        <w:pStyle w:val="BodyText"/>
        <w:spacing w:line="367" w:lineRule="auto" w:before="38"/>
        <w:ind w:right="218" w:firstLine="540"/>
        <w:jc w:val="both"/>
      </w:pPr>
      <w:r>
        <w:rPr/>
        <w:t>2009</w:t>
      </w:r>
      <w:r>
        <w:rPr>
          <w:spacing w:val="-38"/>
        </w:rPr>
        <w:t> </w:t>
      </w:r>
      <w:r>
        <w:rPr>
          <w:spacing w:val="4"/>
        </w:rPr>
        <w:t>年公司针对上年度内控检查中发现的问题以及在实际操作中出现的问</w:t>
      </w:r>
      <w:r>
        <w:rPr/>
        <w:t> 题，进一步完善和修订了相关的控制制度，更加注重精细化管理和对标管理，更</w:t>
      </w:r>
      <w:r>
        <w:rPr>
          <w:spacing w:val="-91"/>
        </w:rPr>
        <w:t> </w:t>
      </w:r>
      <w:r>
        <w:rPr>
          <w:spacing w:val="-91"/>
        </w:rPr>
      </w:r>
      <w:r>
        <w:rPr/>
        <w:t>加注重制度的可行性和执行力度，更加注重对下属企业的经营业务及管理等方面</w:t>
      </w:r>
    </w:p>
    <w:p>
      <w:pPr>
        <w:pStyle w:val="BodyText"/>
        <w:spacing w:line="240" w:lineRule="auto" w:before="38"/>
        <w:ind w:right="0"/>
        <w:jc w:val="both"/>
      </w:pPr>
      <w:r>
        <w:rPr/>
        <w:t>的指引，保证了公司经营管理的正常运行，信息披露的真实、准确、完整，对财</w:t>
      </w:r>
    </w:p>
    <w:p>
      <w:pPr>
        <w:spacing w:after="0" w:line="240" w:lineRule="auto"/>
        <w:jc w:val="both"/>
        <w:sectPr>
          <w:headerReference w:type="default" r:id="rId45"/>
          <w:footerReference w:type="default" r:id="rId46"/>
          <w:pgSz w:w="11910" w:h="16840"/>
          <w:pgMar w:header="0" w:footer="1095" w:top="1180" w:bottom="1280" w:left="1680" w:right="1260"/>
          <w:pgNumType w:start="27"/>
        </w:sectPr>
      </w:pPr>
    </w:p>
    <w:p>
      <w:pPr>
        <w:pStyle w:val="BodyText"/>
        <w:spacing w:line="367" w:lineRule="auto" w:before="0"/>
        <w:ind w:right="0"/>
        <w:jc w:val="left"/>
      </w:pPr>
      <w:r>
        <w:rPr/>
        <w:t>务和经营风险起到有效的控制，发挥了保障资产安全、促进规范经营、确保科学</w:t>
      </w:r>
      <w:r>
        <w:rPr>
          <w:spacing w:val="-91"/>
        </w:rPr>
        <w:t> </w:t>
      </w:r>
      <w:r>
        <w:rPr>
          <w:spacing w:val="-91"/>
        </w:rPr>
      </w:r>
      <w:r>
        <w:rPr/>
        <w:t>决策的作用。</w:t>
      </w:r>
    </w:p>
    <w:p>
      <w:pPr>
        <w:pStyle w:val="BodyText"/>
        <w:spacing w:line="367" w:lineRule="auto" w:before="38"/>
        <w:ind w:right="0" w:firstLine="540"/>
        <w:jc w:val="left"/>
      </w:pPr>
      <w:r>
        <w:rPr/>
        <w:t>另一方面，公司在内控管理方面将不断完善对业务流程的制度化和标准化； 不断完善风险控制及管理；根据管理发展及时修订相关流程及制度；进一步加强</w:t>
      </w:r>
      <w:r>
        <w:rPr>
          <w:spacing w:val="-91"/>
        </w:rPr>
        <w:t> </w:t>
      </w:r>
      <w:r>
        <w:rPr>
          <w:spacing w:val="-91"/>
        </w:rPr>
      </w:r>
      <w:r>
        <w:rPr/>
        <w:t>对下属公司内控制度建设、检查和监督。</w:t>
      </w:r>
    </w:p>
    <w:p>
      <w:pPr>
        <w:pStyle w:val="Heading5"/>
        <w:spacing w:line="380" w:lineRule="exact"/>
        <w:ind w:left="840" w:right="0"/>
        <w:jc w:val="left"/>
        <w:rPr>
          <w:b w:val="0"/>
          <w:bCs w:val="0"/>
        </w:rPr>
      </w:pPr>
      <w:r>
        <w:rPr/>
        <w:t>二、重点控制活动</w:t>
      </w:r>
      <w:r>
        <w:rPr>
          <w:b w:val="0"/>
          <w:bCs w:val="0"/>
        </w:rPr>
      </w:r>
    </w:p>
    <w:p>
      <w:pPr>
        <w:spacing w:before="62"/>
        <w:ind w:left="84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（一）控股子公司控制结构及持股比例</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278" w:type="dxa"/>
        <w:tblLayout w:type="fixed"/>
        <w:tblCellMar>
          <w:top w:w="0" w:type="dxa"/>
          <w:left w:w="0" w:type="dxa"/>
          <w:bottom w:w="0" w:type="dxa"/>
          <w:right w:w="0" w:type="dxa"/>
        </w:tblCellMar>
        <w:tblLook w:val="01E0"/>
      </w:tblPr>
      <w:tblGrid>
        <w:gridCol w:w="660"/>
        <w:gridCol w:w="4577"/>
        <w:gridCol w:w="3314"/>
      </w:tblGrid>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序号</w:t>
            </w:r>
            <w:r>
              <w:rPr>
                <w:rFonts w:ascii="Microsoft JhengHei" w:hAnsi="Microsoft JhengHei" w:cs="Microsoft JhengHei" w:eastAsia="Microsoft JhengHei" w:hint="default"/>
                <w:sz w:val="20"/>
                <w:szCs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单位名称</w:t>
            </w:r>
            <w:r>
              <w:rPr>
                <w:rFonts w:ascii="Microsoft JhengHei" w:hAnsi="Microsoft JhengHei" w:cs="Microsoft JhengHei" w:eastAsia="Microsoft JhengHei" w:hint="default"/>
                <w:sz w:val="20"/>
                <w:szCs w:val="20"/>
              </w:rPr>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持股比例</w:t>
            </w:r>
            <w:r>
              <w:rPr>
                <w:rFonts w:ascii="Microsoft JhengHei" w:hAnsi="Microsoft JhengHei" w:cs="Microsoft JhengHei" w:eastAsia="Microsoft JhengHei" w:hint="default"/>
                <w:sz w:val="20"/>
                <w:szCs w:val="20"/>
              </w:rPr>
            </w:r>
          </w:p>
        </w:tc>
      </w:tr>
      <w:tr>
        <w:trPr>
          <w:trHeight w:val="324"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 w:right="0"/>
              <w:jc w:val="center"/>
              <w:rPr>
                <w:rFonts w:ascii="宋体" w:hAnsi="宋体" w:cs="宋体" w:eastAsia="宋体" w:hint="default"/>
                <w:sz w:val="20"/>
                <w:szCs w:val="20"/>
              </w:rPr>
            </w:pPr>
            <w:r>
              <w:rPr>
                <w:rFonts w:ascii="宋体"/>
                <w:w w:val="99"/>
                <w:sz w:val="20"/>
              </w:rPr>
              <w:t>1</w:t>
            </w:r>
            <w:r>
              <w:rPr>
                <w:rFonts w:ascii="宋体"/>
                <w:sz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深圳市农牧实业有限公司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51.00%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 w:right="0"/>
              <w:jc w:val="center"/>
              <w:rPr>
                <w:rFonts w:ascii="宋体" w:hAnsi="宋体" w:cs="宋体" w:eastAsia="宋体" w:hint="default"/>
                <w:sz w:val="20"/>
                <w:szCs w:val="20"/>
              </w:rPr>
            </w:pPr>
            <w:r>
              <w:rPr>
                <w:rFonts w:ascii="宋体"/>
                <w:w w:val="99"/>
                <w:sz w:val="20"/>
              </w:rPr>
              <w:t>2</w:t>
            </w:r>
            <w:r>
              <w:rPr>
                <w:rFonts w:ascii="宋体"/>
                <w:sz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深圳市果菜贸易公司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100.00%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 w:right="0"/>
              <w:jc w:val="center"/>
              <w:rPr>
                <w:rFonts w:ascii="宋体" w:hAnsi="宋体" w:cs="宋体" w:eastAsia="宋体" w:hint="default"/>
                <w:sz w:val="20"/>
                <w:szCs w:val="20"/>
              </w:rPr>
            </w:pPr>
            <w:r>
              <w:rPr>
                <w:rFonts w:ascii="宋体"/>
                <w:w w:val="99"/>
                <w:sz w:val="20"/>
              </w:rPr>
              <w:t>3</w:t>
            </w:r>
            <w:r>
              <w:rPr>
                <w:rFonts w:ascii="宋体"/>
                <w:sz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南昌深圳农产品中心批发市场有限公司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51.00%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 w:right="0"/>
              <w:jc w:val="center"/>
              <w:rPr>
                <w:rFonts w:ascii="宋体" w:hAnsi="宋体" w:cs="宋体" w:eastAsia="宋体" w:hint="default"/>
                <w:sz w:val="20"/>
                <w:szCs w:val="20"/>
              </w:rPr>
            </w:pPr>
            <w:r>
              <w:rPr>
                <w:rFonts w:ascii="宋体"/>
                <w:w w:val="99"/>
                <w:sz w:val="20"/>
              </w:rPr>
              <w:t>4</w:t>
            </w:r>
            <w:r>
              <w:rPr>
                <w:rFonts w:ascii="宋体"/>
                <w:sz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上海吉农创业投资有限公司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100.00%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 w:right="0"/>
              <w:jc w:val="center"/>
              <w:rPr>
                <w:rFonts w:ascii="宋体" w:hAnsi="宋体" w:cs="宋体" w:eastAsia="宋体" w:hint="default"/>
                <w:sz w:val="20"/>
                <w:szCs w:val="20"/>
              </w:rPr>
            </w:pPr>
            <w:r>
              <w:rPr>
                <w:rFonts w:ascii="宋体"/>
                <w:w w:val="99"/>
                <w:sz w:val="20"/>
              </w:rPr>
              <w:t>5</w:t>
            </w:r>
            <w:r>
              <w:rPr>
                <w:rFonts w:ascii="宋体"/>
                <w:sz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西安摩尔农产品股份有限公司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51.00%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 w:right="0"/>
              <w:jc w:val="center"/>
              <w:rPr>
                <w:rFonts w:ascii="宋体" w:hAnsi="宋体" w:cs="宋体" w:eastAsia="宋体" w:hint="default"/>
                <w:sz w:val="20"/>
                <w:szCs w:val="20"/>
              </w:rPr>
            </w:pPr>
            <w:r>
              <w:rPr>
                <w:rFonts w:ascii="宋体"/>
                <w:w w:val="99"/>
                <w:sz w:val="20"/>
              </w:rPr>
              <w:t>6</w:t>
            </w:r>
            <w:r>
              <w:rPr>
                <w:rFonts w:ascii="宋体"/>
                <w:sz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长沙马王堆农产品股份有限公司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50.98%</w:t>
            </w:r>
          </w:p>
        </w:tc>
      </w:tr>
      <w:tr>
        <w:trPr>
          <w:trHeight w:val="324"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 w:right="0"/>
              <w:jc w:val="center"/>
              <w:rPr>
                <w:rFonts w:ascii="宋体" w:hAnsi="宋体" w:cs="宋体" w:eastAsia="宋体" w:hint="default"/>
                <w:sz w:val="20"/>
                <w:szCs w:val="20"/>
              </w:rPr>
            </w:pPr>
            <w:r>
              <w:rPr>
                <w:rFonts w:ascii="宋体"/>
                <w:w w:val="99"/>
                <w:sz w:val="20"/>
              </w:rPr>
              <w:t>7</w:t>
            </w:r>
            <w:r>
              <w:rPr>
                <w:rFonts w:ascii="宋体"/>
                <w:sz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成都农产品中心批发市场有限责任公司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51.00%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 w:right="0"/>
              <w:jc w:val="center"/>
              <w:rPr>
                <w:rFonts w:ascii="宋体" w:hAnsi="宋体" w:cs="宋体" w:eastAsia="宋体" w:hint="default"/>
                <w:sz w:val="20"/>
                <w:szCs w:val="20"/>
              </w:rPr>
            </w:pPr>
            <w:r>
              <w:rPr>
                <w:rFonts w:ascii="宋体"/>
                <w:w w:val="99"/>
                <w:sz w:val="20"/>
              </w:rPr>
              <w:t>8</w:t>
            </w:r>
            <w:r>
              <w:rPr>
                <w:rFonts w:ascii="宋体"/>
                <w:sz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深圳市西岸渔人码头商业有限公司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51.00%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 w:right="0"/>
              <w:jc w:val="center"/>
              <w:rPr>
                <w:rFonts w:ascii="宋体" w:hAnsi="宋体" w:cs="宋体" w:eastAsia="宋体" w:hint="default"/>
                <w:sz w:val="20"/>
                <w:szCs w:val="20"/>
              </w:rPr>
            </w:pPr>
            <w:r>
              <w:rPr>
                <w:rFonts w:ascii="宋体"/>
                <w:w w:val="99"/>
                <w:sz w:val="20"/>
              </w:rPr>
              <w:t>9</w:t>
            </w:r>
            <w:r>
              <w:rPr>
                <w:rFonts w:ascii="宋体"/>
                <w:sz w:val="20"/>
              </w:rPr>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深圳市南山农产品批发配送有限公司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58.00%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10</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深圳市福田农产品批发市场有限公司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72.99%</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11</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深圳市布吉海鲜批发市场有限公司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51.20%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12</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深圳市丰乐园大酒店有限公司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99.00%</w:t>
            </w:r>
          </w:p>
        </w:tc>
      </w:tr>
      <w:tr>
        <w:trPr>
          <w:trHeight w:val="324"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13</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深圳市农产品交易大厦有限公司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95.00%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14</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深圳市中农网电子商务有限公司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95.00%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15</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深圳市农产品配送中心有限公司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55.00%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16</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深圳市农产品运输服务有限公司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86.50%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17</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深圳市成业冷冻有限公司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100.00%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18</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云南鲲鹏农产品电子商务有限公司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55.00%</w:t>
            </w:r>
          </w:p>
        </w:tc>
      </w:tr>
      <w:tr>
        <w:trPr>
          <w:trHeight w:val="324"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19</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惠州农产品物流配送中心有限公司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51.00%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20</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沈阳海吉星农产品物流有限公司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70.00%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21</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深圳市海吉星国际农产品物流有限公司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100.00%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22</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深圳市海吉星投资管理股份有限公司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97"/>
              <w:jc w:val="right"/>
              <w:rPr>
                <w:rFonts w:ascii="宋体" w:hAnsi="宋体" w:cs="宋体" w:eastAsia="宋体" w:hint="default"/>
                <w:sz w:val="20"/>
                <w:szCs w:val="20"/>
              </w:rPr>
            </w:pPr>
            <w:r>
              <w:rPr>
                <w:rFonts w:ascii="宋体"/>
                <w:sz w:val="20"/>
              </w:rPr>
              <w:t>100.00%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23</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广西大宗茧丝交易市场有限责任公司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51.00%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24</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广西海吉星国际农产品物流有限公司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7"/>
              <w:jc w:val="right"/>
              <w:rPr>
                <w:rFonts w:ascii="宋体" w:hAnsi="宋体" w:cs="宋体" w:eastAsia="宋体" w:hint="default"/>
                <w:sz w:val="20"/>
                <w:szCs w:val="20"/>
              </w:rPr>
            </w:pPr>
            <w:r>
              <w:rPr>
                <w:rFonts w:ascii="宋体"/>
                <w:sz w:val="20"/>
              </w:rPr>
              <w:t>100.00%</w:t>
            </w:r>
          </w:p>
        </w:tc>
      </w:tr>
      <w:tr>
        <w:trPr>
          <w:trHeight w:val="324"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25</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合肥国家棉花交易中心有限责任公司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2"/>
              <w:jc w:val="right"/>
              <w:rPr>
                <w:rFonts w:ascii="Garamond" w:hAnsi="Garamond" w:cs="Garamond" w:eastAsia="Garamond" w:hint="default"/>
                <w:sz w:val="20"/>
                <w:szCs w:val="20"/>
              </w:rPr>
            </w:pPr>
            <w:r>
              <w:rPr>
                <w:rFonts w:ascii="Garamond"/>
                <w:spacing w:val="-1"/>
                <w:sz w:val="20"/>
              </w:rPr>
              <w:t>40.00%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26</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广州海吉星市场管理有限公司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Garamond" w:hAnsi="Garamond" w:cs="Garamond" w:eastAsia="Garamond" w:hint="default"/>
                <w:sz w:val="20"/>
                <w:szCs w:val="20"/>
              </w:rPr>
            </w:pPr>
            <w:r>
              <w:rPr>
                <w:rFonts w:ascii="Garamond"/>
                <w:spacing w:val="-1"/>
                <w:sz w:val="20"/>
              </w:rPr>
              <w:t>60.00%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27</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宁夏海吉星国际农产品物流有限公司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Garamond" w:hAnsi="Garamond" w:cs="Garamond" w:eastAsia="Garamond" w:hint="default"/>
                <w:sz w:val="20"/>
                <w:szCs w:val="20"/>
              </w:rPr>
            </w:pPr>
            <w:r>
              <w:rPr>
                <w:rFonts w:ascii="Garamond"/>
                <w:spacing w:val="-1"/>
                <w:sz w:val="20"/>
              </w:rPr>
              <w:t>70.00%</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5" w:right="0"/>
              <w:jc w:val="center"/>
              <w:rPr>
                <w:rFonts w:ascii="宋体" w:hAnsi="宋体" w:cs="宋体" w:eastAsia="宋体" w:hint="default"/>
                <w:sz w:val="20"/>
                <w:szCs w:val="20"/>
              </w:rPr>
            </w:pPr>
            <w:r>
              <w:rPr>
                <w:rFonts w:ascii="宋体"/>
                <w:sz w:val="20"/>
              </w:rPr>
              <w:t>28</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长春海吉星农产品物流有限公司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Garamond" w:hAnsi="Garamond" w:cs="Garamond" w:eastAsia="Garamond" w:hint="default"/>
                <w:sz w:val="20"/>
                <w:szCs w:val="20"/>
              </w:rPr>
            </w:pPr>
            <w:r>
              <w:rPr>
                <w:rFonts w:ascii="Garamond"/>
                <w:spacing w:val="-1"/>
                <w:sz w:val="20"/>
              </w:rPr>
              <w:t>63.75%</w:t>
            </w:r>
          </w:p>
        </w:tc>
      </w:tr>
      <w:tr>
        <w:trPr>
          <w:trHeight w:val="322"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5" w:right="0"/>
              <w:jc w:val="center"/>
              <w:rPr>
                <w:rFonts w:ascii="宋体" w:hAnsi="宋体" w:cs="宋体" w:eastAsia="宋体" w:hint="default"/>
                <w:sz w:val="20"/>
                <w:szCs w:val="20"/>
              </w:rPr>
            </w:pPr>
            <w:r>
              <w:rPr>
                <w:rFonts w:ascii="宋体"/>
                <w:sz w:val="20"/>
              </w:rPr>
              <w:t>29</w:t>
            </w:r>
          </w:p>
        </w:tc>
        <w:tc>
          <w:tcPr>
            <w:tcW w:w="457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青岛海吉星农产品物流中心有限公司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5"/>
              <w:jc w:val="right"/>
              <w:rPr>
                <w:rFonts w:ascii="Garamond" w:hAnsi="Garamond" w:cs="Garamond" w:eastAsia="Garamond" w:hint="default"/>
                <w:sz w:val="20"/>
                <w:szCs w:val="20"/>
              </w:rPr>
            </w:pPr>
            <w:r>
              <w:rPr>
                <w:rFonts w:ascii="Garamond"/>
                <w:spacing w:val="-1"/>
                <w:sz w:val="20"/>
              </w:rPr>
              <w:t>100.00%</w:t>
            </w:r>
          </w:p>
        </w:tc>
      </w:tr>
    </w:tbl>
    <w:p>
      <w:pPr>
        <w:spacing w:line="240" w:lineRule="auto" w:before="0"/>
        <w:rPr>
          <w:rFonts w:ascii="Microsoft JhengHei" w:hAnsi="Microsoft JhengHei" w:cs="Microsoft JhengHei" w:eastAsia="Microsoft JhengHei" w:hint="default"/>
          <w:b/>
          <w:bCs/>
          <w:sz w:val="24"/>
          <w:szCs w:val="24"/>
        </w:rPr>
      </w:pPr>
    </w:p>
    <w:p>
      <w:pPr>
        <w:spacing w:line="240" w:lineRule="auto" w:before="4"/>
        <w:rPr>
          <w:rFonts w:ascii="Microsoft JhengHei" w:hAnsi="Microsoft JhengHei" w:cs="Microsoft JhengHei" w:eastAsia="Microsoft JhengHei" w:hint="default"/>
          <w:b/>
          <w:bCs/>
          <w:sz w:val="23"/>
          <w:szCs w:val="23"/>
        </w:rPr>
      </w:pPr>
    </w:p>
    <w:p>
      <w:pPr>
        <w:spacing w:before="0"/>
        <w:ind w:left="78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（二）主要业务控制</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headerReference w:type="default" r:id="rId47"/>
          <w:footerReference w:type="default" r:id="rId48"/>
          <w:pgSz w:w="11910" w:h="16840"/>
          <w:pgMar w:header="0" w:footer="1095" w:top="1180" w:bottom="1280" w:left="1680" w:right="1280"/>
          <w:pgNumType w:start="28"/>
        </w:sectPr>
      </w:pPr>
    </w:p>
    <w:p>
      <w:pPr>
        <w:pStyle w:val="Heading5"/>
        <w:spacing w:line="339" w:lineRule="exact"/>
        <w:ind w:left="847" w:right="0"/>
        <w:jc w:val="left"/>
        <w:rPr>
          <w:b w:val="0"/>
          <w:bCs w:val="0"/>
        </w:rPr>
      </w:pPr>
      <w:r>
        <w:rPr>
          <w:rFonts w:ascii="Times New Roman" w:hAnsi="Times New Roman" w:cs="Times New Roman" w:eastAsia="Times New Roman" w:hint="default"/>
        </w:rPr>
        <w:t>1</w:t>
      </w:r>
      <w:r>
        <w:rPr/>
        <w:t>、人力资源管理</w:t>
      </w:r>
      <w:r>
        <w:rPr>
          <w:b w:val="0"/>
          <w:bCs w:val="0"/>
        </w:rPr>
      </w:r>
    </w:p>
    <w:p>
      <w:pPr>
        <w:pStyle w:val="BodyText"/>
        <w:spacing w:line="367" w:lineRule="auto" w:before="138"/>
        <w:ind w:right="205" w:firstLine="540"/>
        <w:jc w:val="both"/>
      </w:pPr>
      <w:r>
        <w:rPr/>
        <w:t>公司制定了包括人事管理、薪资及绩效考评管理、招聘与培训、竞聘及岗位 管理、管理者考评与提升、外派人员管理、对下属企业业绩考核、人才储备等在</w:t>
      </w:r>
      <w:r>
        <w:rPr>
          <w:spacing w:val="-91"/>
        </w:rPr>
        <w:t> </w:t>
      </w:r>
      <w:r>
        <w:rPr>
          <w:spacing w:val="-91"/>
        </w:rPr>
      </w:r>
      <w:r>
        <w:rPr/>
        <w:t>内的系列人力资源管理制度，涵盖了人力资源管理的各方面，并在工作中得以遵</w:t>
      </w:r>
      <w:r>
        <w:rPr>
          <w:spacing w:val="-91"/>
        </w:rPr>
        <w:t> </w:t>
      </w:r>
      <w:r>
        <w:rPr>
          <w:spacing w:val="-91"/>
        </w:rPr>
      </w:r>
      <w:r>
        <w:rPr/>
        <w:t>照执行。</w:t>
      </w:r>
    </w:p>
    <w:p>
      <w:pPr>
        <w:pStyle w:val="BodyText"/>
        <w:spacing w:line="367" w:lineRule="auto" w:before="38"/>
        <w:ind w:right="0" w:firstLine="540"/>
        <w:jc w:val="left"/>
      </w:pPr>
      <w:r>
        <w:rPr/>
        <w:t>公司通过实施股权激励、薪酬管理、绩效考评和竞聘上岗、培训等管理措施 提高员工的责任心和工作效率，有效加强员工素质控制；通过实施总部高管业绩</w:t>
      </w:r>
      <w:r>
        <w:rPr>
          <w:spacing w:val="-91"/>
        </w:rPr>
        <w:t> </w:t>
      </w:r>
      <w:r>
        <w:rPr>
          <w:spacing w:val="-91"/>
        </w:rPr>
      </w:r>
      <w:r>
        <w:rPr>
          <w:spacing w:val="3"/>
        </w:rPr>
        <w:t>合同管理，将公司经营逐项分解到各分管领导，确保公司经营任务的对口落实；</w:t>
      </w:r>
      <w:r>
        <w:rPr>
          <w:spacing w:val="-96"/>
        </w:rPr>
        <w:t> </w:t>
      </w:r>
      <w:r>
        <w:rPr>
          <w:spacing w:val="-96"/>
        </w:rPr>
      </w:r>
      <w:r>
        <w:rPr/>
        <w:t>在对总部员工的</w:t>
      </w:r>
      <w:r>
        <w:rPr>
          <w:spacing w:val="-53"/>
        </w:rPr>
        <w:t> </w:t>
      </w:r>
      <w:r>
        <w:rPr/>
        <w:t>KPI</w:t>
      </w:r>
      <w:r>
        <w:rPr>
          <w:spacing w:val="-55"/>
        </w:rPr>
        <w:t> </w:t>
      </w:r>
      <w:r>
        <w:rPr/>
        <w:t>考核中，更加注重中期的跟踪和考核，保证了公司各项指标</w:t>
      </w:r>
      <w:r>
        <w:rPr>
          <w:spacing w:val="-108"/>
        </w:rPr>
        <w:t> </w:t>
      </w:r>
      <w:r>
        <w:rPr>
          <w:spacing w:val="-108"/>
        </w:rPr>
      </w:r>
      <w:r>
        <w:rPr/>
        <w:t>和政策执行到位。</w:t>
      </w:r>
    </w:p>
    <w:p>
      <w:pPr>
        <w:pStyle w:val="BodyText"/>
        <w:spacing w:line="367" w:lineRule="auto" w:before="38"/>
        <w:ind w:right="205" w:firstLine="540"/>
        <w:jc w:val="both"/>
      </w:pPr>
      <w:r>
        <w:rPr/>
        <w:t>公司通过实行薪酬预算年初制定和审核、年中定期上报、年终预算完成情况 考核等措施，控制下属企业用工规模和薪酬规模，及时了解其人事管理动态和薪</w:t>
      </w:r>
      <w:r>
        <w:rPr>
          <w:spacing w:val="-91"/>
        </w:rPr>
        <w:t> </w:t>
      </w:r>
      <w:r>
        <w:rPr>
          <w:spacing w:val="-91"/>
        </w:rPr>
      </w:r>
      <w:r>
        <w:rPr/>
        <w:t>酬支出情况；通过推行</w:t>
      </w:r>
      <w:r>
        <w:rPr>
          <w:spacing w:val="-55"/>
        </w:rPr>
        <w:t> </w:t>
      </w:r>
      <w:r>
        <w:rPr/>
        <w:t>KPI</w:t>
      </w:r>
      <w:r>
        <w:rPr>
          <w:spacing w:val="-55"/>
        </w:rPr>
        <w:t> </w:t>
      </w:r>
      <w:r>
        <w:rPr/>
        <w:t>关键业绩考核指标和</w:t>
      </w:r>
      <w:r>
        <w:rPr>
          <w:spacing w:val="-57"/>
        </w:rPr>
        <w:t> </w:t>
      </w:r>
      <w:r>
        <w:rPr/>
        <w:t>EVA</w:t>
      </w:r>
      <w:r>
        <w:rPr>
          <w:spacing w:val="-55"/>
        </w:rPr>
        <w:t> </w:t>
      </w:r>
      <w:r>
        <w:rPr/>
        <w:t>经济利润，以及对下派高管</w:t>
      </w:r>
      <w:r>
        <w:rPr>
          <w:spacing w:val="-118"/>
        </w:rPr>
        <w:t> </w:t>
      </w:r>
      <w:r>
        <w:rPr>
          <w:spacing w:val="-118"/>
        </w:rPr>
      </w:r>
      <w:r>
        <w:rPr/>
        <w:t>的任期中巡查、换届考察和离任审计等方式，实行企业管理者交流和轮岗制，有</w:t>
      </w:r>
      <w:r>
        <w:rPr>
          <w:spacing w:val="-91"/>
        </w:rPr>
        <w:t> </w:t>
      </w:r>
      <w:r>
        <w:rPr>
          <w:spacing w:val="-91"/>
        </w:rPr>
      </w:r>
      <w:r>
        <w:rPr/>
        <w:t>效加强对下属企业人力资源的管理和对下派高管的管理。</w:t>
      </w:r>
    </w:p>
    <w:p>
      <w:pPr>
        <w:pStyle w:val="BodyText"/>
        <w:spacing w:line="367" w:lineRule="auto" w:before="38"/>
        <w:ind w:right="205" w:firstLine="540"/>
        <w:jc w:val="both"/>
      </w:pPr>
      <w:r>
        <w:rPr/>
        <w:t>2009</w:t>
      </w:r>
      <w:r>
        <w:rPr>
          <w:spacing w:val="-34"/>
        </w:rPr>
        <w:t> </w:t>
      </w:r>
      <w:r>
        <w:rPr>
          <w:spacing w:val="-3"/>
        </w:rPr>
        <w:t>年，公司根据网络化战略的要求，结合电子化结算的推广，在系统批发</w:t>
      </w:r>
      <w:r>
        <w:rPr/>
        <w:t> 市场内推行联收计酬的考核方式试点，并根据试点中反映出来的问题，不断修订</w:t>
      </w:r>
      <w:r>
        <w:rPr>
          <w:spacing w:val="-91"/>
        </w:rPr>
        <w:t> </w:t>
      </w:r>
      <w:r>
        <w:rPr>
          <w:spacing w:val="-91"/>
        </w:rPr>
      </w:r>
      <w:r>
        <w:rPr/>
        <w:t>完善方案，以探索出适合各批发市场企业基层员工的激励约束机制。</w:t>
      </w:r>
    </w:p>
    <w:p>
      <w:pPr>
        <w:pStyle w:val="Heading5"/>
        <w:spacing w:line="380" w:lineRule="exact"/>
        <w:ind w:left="840" w:right="0"/>
        <w:jc w:val="left"/>
        <w:rPr>
          <w:b w:val="0"/>
          <w:bCs w:val="0"/>
        </w:rPr>
      </w:pPr>
      <w:r>
        <w:rPr/>
        <w:t>2、会计系统控制</w:t>
      </w:r>
      <w:r>
        <w:rPr>
          <w:b w:val="0"/>
          <w:bCs w:val="0"/>
        </w:rPr>
      </w:r>
    </w:p>
    <w:p>
      <w:pPr>
        <w:pStyle w:val="BodyText"/>
        <w:spacing w:line="367" w:lineRule="auto" w:before="138"/>
        <w:ind w:right="205" w:firstLine="540"/>
        <w:jc w:val="both"/>
      </w:pPr>
      <w:r>
        <w:rPr/>
        <w:t>公司在财务管理和会计核算方面设有较为合理的岗位和职责权限，并配备相 应的财务人员以保证财会工作的顺利进行，对全资或控股企业实行财务负责人下</w:t>
      </w:r>
      <w:r>
        <w:rPr>
          <w:spacing w:val="-91"/>
        </w:rPr>
        <w:t> </w:t>
      </w:r>
      <w:r>
        <w:rPr>
          <w:spacing w:val="-91"/>
        </w:rPr>
      </w:r>
      <w:r>
        <w:rPr>
          <w:spacing w:val="-6"/>
        </w:rPr>
        <w:t>派制，并出台《委派财务负责人管理规定》，明确其任职资格、工作职责、联签制</w:t>
      </w:r>
      <w:r>
        <w:rPr>
          <w:spacing w:val="-89"/>
        </w:rPr>
        <w:t> </w:t>
      </w:r>
      <w:r>
        <w:rPr>
          <w:spacing w:val="-89"/>
        </w:rPr>
      </w:r>
      <w:r>
        <w:rPr/>
        <w:t>度、管理和待遇，要求下派财务负责人对重要财务会计事项，如投资、重大资产</w:t>
      </w:r>
      <w:r>
        <w:rPr>
          <w:spacing w:val="-91"/>
        </w:rPr>
        <w:t> </w:t>
      </w:r>
      <w:r>
        <w:rPr>
          <w:spacing w:val="-91"/>
        </w:rPr>
      </w:r>
      <w:r>
        <w:rPr/>
        <w:t>处置、担保和借款，重大经营、法律或财务风险情况，对收入、利润、负债影响</w:t>
      </w:r>
      <w:r>
        <w:rPr>
          <w:spacing w:val="-91"/>
        </w:rPr>
        <w:t> </w:t>
      </w:r>
      <w:r>
        <w:rPr>
          <w:spacing w:val="-91"/>
        </w:rPr>
      </w:r>
      <w:r>
        <w:rPr/>
        <w:t>较大的帐务调整等事项实行每月报告制度。下派财务负责人能够按规定执行，从</w:t>
      </w:r>
      <w:r>
        <w:rPr>
          <w:spacing w:val="-91"/>
        </w:rPr>
        <w:t> </w:t>
      </w:r>
      <w:r>
        <w:rPr>
          <w:spacing w:val="-91"/>
        </w:rPr>
      </w:r>
      <w:r>
        <w:rPr/>
        <w:t>制度控制和机构设置上控制了舞弊的风险和管理决策的风险。年终对各财务人员</w:t>
      </w:r>
      <w:r>
        <w:rPr>
          <w:spacing w:val="-91"/>
        </w:rPr>
        <w:t> </w:t>
      </w:r>
      <w:r>
        <w:rPr>
          <w:spacing w:val="-91"/>
        </w:rPr>
      </w:r>
      <w:r>
        <w:rPr/>
        <w:t>和下派财务负责人进行考评，根据考评结果对其进行奖惩。</w:t>
      </w:r>
    </w:p>
    <w:p>
      <w:pPr>
        <w:pStyle w:val="BodyText"/>
        <w:spacing w:line="367" w:lineRule="auto" w:before="38"/>
        <w:ind w:right="205" w:firstLine="540"/>
        <w:jc w:val="both"/>
      </w:pPr>
      <w:r>
        <w:rPr>
          <w:spacing w:val="-8"/>
        </w:rPr>
        <w:t>公司制定《财务管理规定》，对财务事项分级授权审批、货币资金收付、物资</w:t>
      </w:r>
      <w:r>
        <w:rPr/>
        <w:t> 采购与领用、资产购买和处置、成本控制、费用报销、经济事项会计处理、电算</w:t>
      </w:r>
    </w:p>
    <w:p>
      <w:pPr>
        <w:pStyle w:val="BodyText"/>
        <w:spacing w:line="240" w:lineRule="auto" w:before="38"/>
        <w:ind w:right="0"/>
        <w:jc w:val="left"/>
      </w:pPr>
      <w:r>
        <w:rPr/>
        <w:t>化管理、全面预算、报表编制与信息披露以及融资、担保等各项经济业务进行明</w:t>
      </w:r>
    </w:p>
    <w:p>
      <w:pPr>
        <w:spacing w:after="0" w:line="240" w:lineRule="auto"/>
        <w:jc w:val="left"/>
        <w:sectPr>
          <w:headerReference w:type="default" r:id="rId49"/>
          <w:footerReference w:type="default" r:id="rId50"/>
          <w:pgSz w:w="11910" w:h="16840"/>
          <w:pgMar w:header="0" w:footer="1095" w:top="1180" w:bottom="1280" w:left="1680" w:right="1260"/>
          <w:pgNumType w:start="29"/>
        </w:sectPr>
      </w:pPr>
    </w:p>
    <w:p>
      <w:pPr>
        <w:pStyle w:val="BodyText"/>
        <w:spacing w:line="367" w:lineRule="auto" w:before="0"/>
        <w:ind w:right="201"/>
        <w:jc w:val="both"/>
      </w:pPr>
      <w:r>
        <w:rPr>
          <w:spacing w:val="-2"/>
          <w:w w:val="95"/>
        </w:rPr>
        <w:t>确规定，并在日常工作中得到较好的执行。会计系统能确认并记录所有真实交易，</w:t>
      </w:r>
      <w:r>
        <w:rPr>
          <w:spacing w:val="96"/>
          <w:w w:val="95"/>
        </w:rPr>
        <w:t> </w:t>
      </w:r>
      <w:r>
        <w:rPr>
          <w:spacing w:val="96"/>
          <w:w w:val="95"/>
        </w:rPr>
      </w:r>
      <w:r>
        <w:rPr/>
        <w:t>及时、充分描述交易，并在会计报表和附注中适当进行表达和披露。</w:t>
      </w:r>
    </w:p>
    <w:p>
      <w:pPr>
        <w:pStyle w:val="BodyText"/>
        <w:spacing w:line="367" w:lineRule="auto" w:before="38"/>
        <w:ind w:right="0" w:firstLine="540"/>
        <w:jc w:val="left"/>
      </w:pPr>
      <w:r>
        <w:rPr/>
        <w:t>公司全系统统一使用金蝶网络系统，实行电算化核算。各企业指定有专门的 系统管理员，负责公司帐套的维护及安全工作，并给各使用人员设置权限，相应</w:t>
      </w:r>
      <w:r>
        <w:rPr>
          <w:spacing w:val="-91"/>
        </w:rPr>
        <w:t> </w:t>
      </w:r>
      <w:r>
        <w:rPr>
          <w:spacing w:val="-91"/>
        </w:rPr>
      </w:r>
      <w:r>
        <w:rPr/>
        <w:t>人员通过加密来行驶自己的权限。公司总部系统管理员除对本部帐套进行维护及</w:t>
      </w:r>
      <w:r>
        <w:rPr>
          <w:spacing w:val="-91"/>
        </w:rPr>
        <w:t> </w:t>
      </w:r>
      <w:r>
        <w:rPr>
          <w:spacing w:val="-91"/>
        </w:rPr>
      </w:r>
      <w:r>
        <w:rPr>
          <w:spacing w:val="3"/>
        </w:rPr>
        <w:t>安全监管外，还对下属企业帐套进行查询、备份，以更好控制其财务管理活动。</w:t>
      </w:r>
      <w:r>
        <w:rPr>
          <w:spacing w:val="-96"/>
        </w:rPr>
        <w:t> </w:t>
      </w:r>
      <w:r>
        <w:rPr>
          <w:spacing w:val="-96"/>
        </w:rPr>
      </w:r>
      <w:r>
        <w:rPr/>
        <w:t>公司总部能通过金蝶信息系统及时掌握下属企业经营状况。</w:t>
      </w:r>
    </w:p>
    <w:p>
      <w:pPr>
        <w:pStyle w:val="Heading5"/>
        <w:spacing w:line="380" w:lineRule="exact"/>
        <w:ind w:left="840" w:right="0"/>
        <w:jc w:val="left"/>
        <w:rPr>
          <w:b w:val="0"/>
          <w:bCs w:val="0"/>
        </w:rPr>
      </w:pPr>
      <w:r>
        <w:rPr/>
        <w:t>3、资金管理</w:t>
      </w:r>
      <w:r>
        <w:rPr>
          <w:b w:val="0"/>
          <w:bCs w:val="0"/>
        </w:rPr>
      </w:r>
    </w:p>
    <w:p>
      <w:pPr>
        <w:pStyle w:val="BodyText"/>
        <w:spacing w:line="367" w:lineRule="auto" w:before="138"/>
        <w:ind w:left="840" w:right="0"/>
        <w:jc w:val="left"/>
      </w:pPr>
      <w:r>
        <w:rPr/>
        <w:t>（1）对外担保 </w:t>
      </w:r>
      <w:r>
        <w:rPr>
          <w:spacing w:val="-6"/>
        </w:rPr>
        <w:t>公司在《章程》、《财务管理规定》等制度中对对外担保的原则、担保对象、</w:t>
      </w:r>
    </w:p>
    <w:p>
      <w:pPr>
        <w:pStyle w:val="BodyText"/>
        <w:spacing w:line="367" w:lineRule="auto" w:before="38"/>
        <w:ind w:right="205"/>
        <w:jc w:val="both"/>
      </w:pPr>
      <w:r>
        <w:rPr/>
        <w:t>决策审批程序、风险控制等作了明确的规定。截止</w:t>
      </w:r>
      <w:r>
        <w:rPr>
          <w:spacing w:val="-91"/>
        </w:rPr>
        <w:t> </w:t>
      </w:r>
      <w:r>
        <w:rPr/>
        <w:t>2009</w:t>
      </w:r>
      <w:r>
        <w:rPr>
          <w:spacing w:val="-89"/>
        </w:rPr>
        <w:t> </w:t>
      </w:r>
      <w:r>
        <w:rPr/>
        <w:t>年底，公司对外担保主要</w:t>
      </w:r>
      <w:r>
        <w:rPr/>
        <w:t> 是对控股子公司和非控股子公司的担保，其中对资产负债率超过</w:t>
      </w:r>
      <w:r>
        <w:rPr>
          <w:spacing w:val="-60"/>
        </w:rPr>
        <w:t> </w:t>
      </w:r>
      <w:r>
        <w:rPr/>
        <w:t>70％的子公司的</w:t>
      </w:r>
      <w:r>
        <w:rPr/>
        <w:t> 担保已按规定经过股东大会审批并公告。公司所有的担保事项均符合有关制度的</w:t>
      </w:r>
      <w:r>
        <w:rPr>
          <w:spacing w:val="-91"/>
        </w:rPr>
        <w:t> </w:t>
      </w:r>
      <w:r>
        <w:rPr>
          <w:spacing w:val="-91"/>
        </w:rPr>
      </w:r>
      <w:r>
        <w:rPr/>
        <w:t>要求。</w:t>
      </w:r>
    </w:p>
    <w:p>
      <w:pPr>
        <w:pStyle w:val="BodyText"/>
        <w:spacing w:line="367" w:lineRule="auto" w:before="38"/>
        <w:ind w:left="840" w:right="186" w:hanging="60"/>
        <w:jc w:val="left"/>
      </w:pPr>
      <w:r>
        <w:rPr/>
        <w:t>（2）融资事项 公司融资渠道主要有银行借款、发行短期融资券等。公司所有的融资行为均</w:t>
      </w:r>
    </w:p>
    <w:p>
      <w:pPr>
        <w:pStyle w:val="BodyText"/>
        <w:spacing w:line="367" w:lineRule="auto" w:before="38"/>
        <w:ind w:right="205"/>
        <w:jc w:val="both"/>
      </w:pPr>
      <w:r>
        <w:rPr/>
        <w:t>通过董事会或股东大会审批。截止</w:t>
      </w:r>
      <w:r>
        <w:rPr>
          <w:spacing w:val="-60"/>
        </w:rPr>
        <w:t> </w:t>
      </w:r>
      <w:r>
        <w:rPr/>
        <w:t>2009</w:t>
      </w:r>
      <w:r>
        <w:rPr>
          <w:spacing w:val="-60"/>
        </w:rPr>
        <w:t> </w:t>
      </w:r>
      <w:r>
        <w:rPr/>
        <w:t>年底，公司资产负债率约</w:t>
      </w:r>
      <w:r>
        <w:rPr>
          <w:spacing w:val="-60"/>
        </w:rPr>
        <w:t> </w:t>
      </w:r>
      <w:r>
        <w:rPr/>
        <w:t>50.54％，负债</w:t>
      </w:r>
      <w:r>
        <w:rPr/>
        <w:t> 控制在合理的范围内。</w:t>
      </w:r>
    </w:p>
    <w:p>
      <w:pPr>
        <w:pStyle w:val="BodyText"/>
        <w:spacing w:line="367" w:lineRule="auto" w:before="38"/>
        <w:ind w:left="840" w:right="0" w:hanging="60"/>
        <w:jc w:val="left"/>
      </w:pPr>
      <w:r>
        <w:rPr/>
        <w:t>（3）募集资金使用 </w:t>
      </w:r>
      <w:r>
        <w:rPr>
          <w:spacing w:val="-8"/>
        </w:rPr>
        <w:t>公司制定有《募集资金管理办法》，对募集资金的存放、使用、投向变更以及</w:t>
      </w:r>
    </w:p>
    <w:p>
      <w:pPr>
        <w:pStyle w:val="BodyText"/>
        <w:spacing w:line="240" w:lineRule="auto" w:before="38"/>
        <w:ind w:right="0"/>
        <w:jc w:val="both"/>
      </w:pPr>
      <w:r>
        <w:rPr>
          <w:spacing w:val="-4"/>
        </w:rPr>
        <w:t>使用监督等事项进行了明确的规定。公司</w:t>
      </w:r>
      <w:r>
        <w:rPr>
          <w:spacing w:val="-57"/>
        </w:rPr>
        <w:t> </w:t>
      </w:r>
      <w:r>
        <w:rPr/>
        <w:t>2008</w:t>
      </w:r>
      <w:r>
        <w:rPr>
          <w:spacing w:val="-53"/>
        </w:rPr>
        <w:t> </w:t>
      </w:r>
      <w:r>
        <w:rPr/>
        <w:t>年通过非公开发行股票的方式募集</w:t>
      </w:r>
    </w:p>
    <w:p>
      <w:pPr>
        <w:pStyle w:val="BodyText"/>
        <w:spacing w:line="240" w:lineRule="auto" w:before="166"/>
        <w:ind w:right="0"/>
        <w:jc w:val="both"/>
      </w:pPr>
      <w:r>
        <w:rPr/>
        <w:t>资金</w:t>
      </w:r>
      <w:r>
        <w:rPr>
          <w:spacing w:val="-49"/>
        </w:rPr>
        <w:t> </w:t>
      </w:r>
      <w:r>
        <w:rPr/>
        <w:t>113,501.78</w:t>
      </w:r>
      <w:r>
        <w:rPr>
          <w:spacing w:val="-49"/>
        </w:rPr>
        <w:t> </w:t>
      </w:r>
      <w:r>
        <w:rPr>
          <w:spacing w:val="-3"/>
        </w:rPr>
        <w:t>万元用于深圳平湖国际农产品物流园项目，该笔募集资金已按规</w:t>
      </w:r>
    </w:p>
    <w:p>
      <w:pPr>
        <w:pStyle w:val="BodyText"/>
        <w:spacing w:line="240" w:lineRule="auto" w:before="166"/>
        <w:ind w:right="0"/>
        <w:jc w:val="both"/>
      </w:pPr>
      <w:r>
        <w:rPr>
          <w:spacing w:val="-3"/>
        </w:rPr>
        <w:t>定专户存储，到</w:t>
      </w:r>
      <w:r>
        <w:rPr>
          <w:spacing w:val="-69"/>
        </w:rPr>
        <w:t> </w:t>
      </w:r>
      <w:r>
        <w:rPr/>
        <w:t>2009</w:t>
      </w:r>
      <w:r>
        <w:rPr>
          <w:spacing w:val="-64"/>
        </w:rPr>
        <w:t> </w:t>
      </w:r>
      <w:r>
        <w:rPr/>
        <w:t>年底，该笔募集资金已按募集用途支出</w:t>
      </w:r>
      <w:r>
        <w:rPr>
          <w:spacing w:val="-67"/>
        </w:rPr>
        <w:t> </w:t>
      </w:r>
      <w:r>
        <w:rPr/>
        <w:t>15,220.12</w:t>
      </w:r>
      <w:r>
        <w:rPr>
          <w:spacing w:val="-64"/>
        </w:rPr>
        <w:t> </w:t>
      </w:r>
      <w:r>
        <w:rPr>
          <w:spacing w:val="-5"/>
        </w:rPr>
        <w:t>万元，募</w:t>
      </w:r>
    </w:p>
    <w:p>
      <w:pPr>
        <w:pStyle w:val="BodyText"/>
        <w:spacing w:line="240" w:lineRule="auto" w:before="166"/>
        <w:ind w:right="0"/>
        <w:jc w:val="both"/>
      </w:pPr>
      <w:r>
        <w:rPr>
          <w:spacing w:val="3"/>
        </w:rPr>
        <w:t>集资金的支出均按规定审批；2009</w:t>
      </w:r>
      <w:r>
        <w:rPr>
          <w:spacing w:val="-54"/>
        </w:rPr>
        <w:t> </w:t>
      </w:r>
      <w:r>
        <w:rPr/>
        <w:t>年</w:t>
      </w:r>
      <w:r>
        <w:rPr>
          <w:spacing w:val="-54"/>
        </w:rPr>
        <w:t> </w:t>
      </w:r>
      <w:r>
        <w:rPr/>
        <w:t>6</w:t>
      </w:r>
      <w:r>
        <w:rPr>
          <w:spacing w:val="-54"/>
        </w:rPr>
        <w:t> </w:t>
      </w:r>
      <w:r>
        <w:rPr/>
        <w:t>月</w:t>
      </w:r>
      <w:r>
        <w:rPr>
          <w:spacing w:val="-54"/>
        </w:rPr>
        <w:t> </w:t>
      </w:r>
      <w:r>
        <w:rPr/>
        <w:t>5</w:t>
      </w:r>
      <w:r>
        <w:rPr>
          <w:spacing w:val="-51"/>
        </w:rPr>
        <w:t> </w:t>
      </w:r>
      <w:r>
        <w:rPr>
          <w:spacing w:val="3"/>
        </w:rPr>
        <w:t>日，公司临时股东大会审议通过将</w:t>
      </w:r>
    </w:p>
    <w:p>
      <w:pPr>
        <w:pStyle w:val="BodyText"/>
        <w:spacing w:line="240" w:lineRule="auto" w:before="166"/>
        <w:ind w:right="0"/>
        <w:jc w:val="both"/>
      </w:pPr>
      <w:r>
        <w:rPr/>
        <w:t>50,000</w:t>
      </w:r>
      <w:r>
        <w:rPr>
          <w:spacing w:val="-60"/>
        </w:rPr>
        <w:t> </w:t>
      </w:r>
      <w:r>
        <w:rPr/>
        <w:t>万元暂未使用的募集资金用于补充公司流动资金</w:t>
      </w:r>
      <w:r>
        <w:rPr>
          <w:spacing w:val="-118"/>
        </w:rPr>
        <w:t>，</w:t>
      </w:r>
      <w:r>
        <w:rPr>
          <w:spacing w:val="-3"/>
        </w:rPr>
        <w:t>期</w:t>
      </w:r>
      <w:r>
        <w:rPr/>
        <w:t>限不超过六个月</w:t>
      </w:r>
      <w:r>
        <w:rPr>
          <w:spacing w:val="-120"/>
        </w:rPr>
        <w:t>，</w:t>
      </w:r>
      <w:r>
        <w:rPr/>
        <w:t>2009</w:t>
      </w:r>
    </w:p>
    <w:p>
      <w:pPr>
        <w:pStyle w:val="BodyText"/>
        <w:spacing w:line="240" w:lineRule="auto" w:before="166"/>
        <w:ind w:right="0"/>
        <w:jc w:val="both"/>
      </w:pPr>
      <w:r>
        <w:rPr/>
        <w:t>年</w:t>
      </w:r>
      <w:r>
        <w:rPr>
          <w:spacing w:val="-66"/>
        </w:rPr>
        <w:t> </w:t>
      </w:r>
      <w:r>
        <w:rPr/>
        <w:t>12</w:t>
      </w:r>
      <w:r>
        <w:rPr>
          <w:spacing w:val="-66"/>
        </w:rPr>
        <w:t> </w:t>
      </w:r>
      <w:r>
        <w:rPr/>
        <w:t>月</w:t>
      </w:r>
      <w:r>
        <w:rPr>
          <w:spacing w:val="-66"/>
        </w:rPr>
        <w:t> </w:t>
      </w:r>
      <w:r>
        <w:rPr/>
        <w:t>3</w:t>
      </w:r>
      <w:r>
        <w:rPr>
          <w:spacing w:val="-66"/>
        </w:rPr>
        <w:t> </w:t>
      </w:r>
      <w:r>
        <w:rPr>
          <w:spacing w:val="3"/>
        </w:rPr>
        <w:t>日，该笔变更用途的募集资金已全部归还。截止</w:t>
      </w:r>
      <w:r>
        <w:rPr>
          <w:spacing w:val="-57"/>
        </w:rPr>
        <w:t> </w:t>
      </w:r>
      <w:r>
        <w:rPr/>
        <w:t>2009</w:t>
      </w:r>
      <w:r>
        <w:rPr>
          <w:spacing w:val="-66"/>
        </w:rPr>
        <w:t> </w:t>
      </w:r>
      <w:r>
        <w:rPr/>
        <w:t>年</w:t>
      </w:r>
      <w:r>
        <w:rPr>
          <w:spacing w:val="-66"/>
        </w:rPr>
        <w:t> </w:t>
      </w:r>
      <w:r>
        <w:rPr/>
        <w:t>12</w:t>
      </w:r>
      <w:r>
        <w:rPr>
          <w:spacing w:val="-66"/>
        </w:rPr>
        <w:t> </w:t>
      </w:r>
      <w:r>
        <w:rPr/>
        <w:t>月</w:t>
      </w:r>
      <w:r>
        <w:rPr>
          <w:spacing w:val="-66"/>
        </w:rPr>
        <w:t> </w:t>
      </w:r>
      <w:r>
        <w:rPr/>
        <w:t>31</w:t>
      </w:r>
      <w:r>
        <w:rPr>
          <w:spacing w:val="-63"/>
        </w:rPr>
        <w:t> </w:t>
      </w:r>
      <w:r>
        <w:rPr/>
        <w:t>日</w:t>
      </w:r>
      <w:r>
        <w:rPr>
          <w:spacing w:val="-71"/>
        </w:rPr>
        <w:t> </w:t>
      </w:r>
      <w:r>
        <w:rPr/>
        <w:t>，</w:t>
      </w:r>
    </w:p>
    <w:p>
      <w:pPr>
        <w:pStyle w:val="BodyText"/>
        <w:spacing w:line="240" w:lineRule="auto" w:before="166"/>
        <w:ind w:right="0"/>
        <w:jc w:val="both"/>
      </w:pPr>
      <w:r>
        <w:rPr/>
        <w:t>剩余募集资金余额为</w:t>
      </w:r>
      <w:r>
        <w:rPr>
          <w:spacing w:val="-60"/>
        </w:rPr>
        <w:t> </w:t>
      </w:r>
      <w:r>
        <w:rPr/>
        <w:t>98,281.66</w:t>
      </w:r>
      <w:r>
        <w:rPr>
          <w:spacing w:val="-60"/>
        </w:rPr>
        <w:t> </w:t>
      </w:r>
      <w:r>
        <w:rPr/>
        <w:t>万元，没有挪用募集资金的情况发生。</w:t>
      </w:r>
    </w:p>
    <w:p>
      <w:pPr>
        <w:pStyle w:val="BodyText"/>
        <w:spacing w:line="316" w:lineRule="auto" w:before="166"/>
        <w:ind w:left="873" w:right="0" w:hanging="34"/>
        <w:jc w:val="left"/>
      </w:pPr>
      <w:r>
        <w:rPr/>
        <w:t>（4）货币资金控制 </w:t>
      </w:r>
      <w:r>
        <w:rPr>
          <w:spacing w:val="-2"/>
        </w:rPr>
        <w:t>公司对资金实行统一调度、有偿使用管理。一切收入均纳入公司财务统一管</w:t>
      </w:r>
    </w:p>
    <w:p>
      <w:pPr>
        <w:pStyle w:val="BodyText"/>
        <w:spacing w:line="240" w:lineRule="auto" w:before="77"/>
        <w:ind w:right="0"/>
        <w:jc w:val="both"/>
      </w:pPr>
      <w:r>
        <w:rPr>
          <w:spacing w:val="3"/>
        </w:rPr>
        <w:t>理核算，在货币资金收付方面，按要求实行出纳与会计职责严格分离及钱、帐、</w:t>
      </w:r>
    </w:p>
    <w:p>
      <w:pPr>
        <w:spacing w:after="0" w:line="240" w:lineRule="auto"/>
        <w:jc w:val="both"/>
        <w:sectPr>
          <w:headerReference w:type="default" r:id="rId51"/>
          <w:footerReference w:type="default" r:id="rId52"/>
          <w:pgSz w:w="11910" w:h="16840"/>
          <w:pgMar w:header="0" w:footer="1095" w:top="1180" w:bottom="1280" w:left="1680" w:right="1260"/>
          <w:pgNumType w:start="30"/>
        </w:sectPr>
      </w:pPr>
    </w:p>
    <w:p>
      <w:pPr>
        <w:pStyle w:val="BodyText"/>
        <w:spacing w:line="357" w:lineRule="auto" w:before="13"/>
        <w:ind w:right="0"/>
        <w:jc w:val="left"/>
      </w:pPr>
      <w:r>
        <w:rPr>
          <w:spacing w:val="3"/>
        </w:rPr>
        <w:t>物分管制，出纳人员没有兼管稽核、会计档案保管和收入、支出、费用、债权、</w:t>
      </w:r>
      <w:r>
        <w:rPr>
          <w:spacing w:val="-96"/>
        </w:rPr>
        <w:t> </w:t>
      </w:r>
      <w:r>
        <w:rPr>
          <w:spacing w:val="-96"/>
        </w:rPr>
      </w:r>
      <w:r>
        <w:rPr/>
        <w:t>债务帐目的登记工作，现金、支票统一由出纳保管，银行印鉴实行分人管理，银</w:t>
      </w:r>
      <w:r>
        <w:rPr>
          <w:spacing w:val="-91"/>
        </w:rPr>
        <w:t> </w:t>
      </w:r>
      <w:r>
        <w:rPr>
          <w:spacing w:val="-91"/>
        </w:rPr>
      </w:r>
      <w:r>
        <w:rPr>
          <w:w w:val="95"/>
        </w:rPr>
        <w:t>行存款每月由专人与银行对帐和编制银行存款余额调节表，做到帐款相符。同时，</w:t>
      </w:r>
      <w:r>
        <w:rPr>
          <w:spacing w:val="24"/>
          <w:w w:val="95"/>
        </w:rPr>
        <w:t> </w:t>
      </w:r>
      <w:r>
        <w:rPr>
          <w:spacing w:val="24"/>
          <w:w w:val="95"/>
        </w:rPr>
      </w:r>
      <w:r>
        <w:rPr/>
        <w:t>严格管理银行帐户，做到不出借银行帐户、不收取或支付与公司结算活动无关的</w:t>
      </w:r>
      <w:r>
        <w:rPr>
          <w:spacing w:val="-91"/>
        </w:rPr>
        <w:t> </w:t>
      </w:r>
      <w:r>
        <w:rPr>
          <w:spacing w:val="-91"/>
        </w:rPr>
      </w:r>
      <w:r>
        <w:rPr/>
        <w:t>款项。</w:t>
      </w:r>
    </w:p>
    <w:p>
      <w:pPr>
        <w:pStyle w:val="Heading5"/>
        <w:spacing w:line="240" w:lineRule="auto" w:before="24"/>
        <w:ind w:left="847" w:right="0"/>
        <w:jc w:val="left"/>
        <w:rPr>
          <w:b w:val="0"/>
          <w:bCs w:val="0"/>
        </w:rPr>
      </w:pPr>
      <w:r>
        <w:rPr>
          <w:rFonts w:ascii="Times New Roman" w:hAnsi="Times New Roman" w:cs="Times New Roman" w:eastAsia="Times New Roman" w:hint="default"/>
        </w:rPr>
        <w:t>4</w:t>
      </w:r>
      <w:r>
        <w:rPr/>
        <w:t>、投资管理</w:t>
      </w:r>
      <w:r>
        <w:rPr>
          <w:b w:val="0"/>
          <w:bCs w:val="0"/>
        </w:rPr>
      </w:r>
    </w:p>
    <w:p>
      <w:pPr>
        <w:pStyle w:val="BodyText"/>
        <w:spacing w:line="367" w:lineRule="auto" w:before="138"/>
        <w:ind w:left="840" w:right="0"/>
        <w:jc w:val="left"/>
      </w:pPr>
      <w:r>
        <w:rPr/>
        <w:t>（1）对外投资 </w:t>
      </w:r>
      <w:r>
        <w:rPr>
          <w:spacing w:val="-8"/>
        </w:rPr>
        <w:t>公司制定了《对外投资管理暂行规定》，对投资权限、决策程序以及管理职责</w:t>
      </w:r>
    </w:p>
    <w:p>
      <w:pPr>
        <w:pStyle w:val="BodyText"/>
        <w:spacing w:line="357" w:lineRule="auto" w:before="38"/>
        <w:ind w:right="205"/>
        <w:jc w:val="both"/>
      </w:pPr>
      <w:r>
        <w:rPr/>
        <w:t>等进行规范，</w:t>
      </w:r>
      <w:r>
        <w:rPr>
          <w:rFonts w:ascii="Times New Roman" w:hAnsi="Times New Roman" w:cs="Times New Roman" w:eastAsia="Times New Roman" w:hint="default"/>
        </w:rPr>
        <w:t>2009 </w:t>
      </w:r>
      <w:r>
        <w:rPr/>
        <w:t>年公司加强了投资的规范化、标准化管理，对该制度进行了修 订，在投资流程标准化、工作交接流程标准化以及项目跟进流程标准化等方面进</w:t>
      </w:r>
      <w:r>
        <w:rPr>
          <w:spacing w:val="-91"/>
        </w:rPr>
        <w:t> </w:t>
      </w:r>
      <w:r>
        <w:rPr>
          <w:spacing w:val="-91"/>
        </w:rPr>
      </w:r>
      <w:r>
        <w:rPr/>
        <w:t>一步细化，拟在</w:t>
      </w:r>
      <w:r>
        <w:rPr>
          <w:spacing w:val="-60"/>
        </w:rPr>
        <w:t> </w:t>
      </w:r>
      <w:r>
        <w:rPr>
          <w:rFonts w:ascii="Times New Roman" w:hAnsi="Times New Roman" w:cs="Times New Roman" w:eastAsia="Times New Roman" w:hint="default"/>
        </w:rPr>
        <w:t>2010 </w:t>
      </w:r>
      <w:r>
        <w:rPr/>
        <w:t>年度开始实施。</w:t>
      </w:r>
    </w:p>
    <w:p>
      <w:pPr>
        <w:pStyle w:val="BodyText"/>
        <w:spacing w:line="367" w:lineRule="auto" w:before="17"/>
        <w:ind w:right="205" w:firstLine="540"/>
        <w:jc w:val="both"/>
      </w:pPr>
      <w:r>
        <w:rPr/>
        <w:t>公司对外项目投资均按规定流程和审批权限进行，并上报董事会审批，投资 管理所涉及各职能部门按其职责跟进了项目的组织实施，其中，承担投资职责的</w:t>
      </w:r>
      <w:r>
        <w:rPr>
          <w:spacing w:val="-91"/>
        </w:rPr>
        <w:t> </w:t>
      </w:r>
      <w:r>
        <w:rPr>
          <w:spacing w:val="-91"/>
        </w:rPr>
      </w:r>
      <w:r>
        <w:rPr/>
        <w:t>部门对所拟投资项目实行项目负责制，业务谈判均有</w:t>
      </w:r>
      <w:r>
        <w:rPr>
          <w:spacing w:val="-60"/>
        </w:rPr>
        <w:t> </w:t>
      </w:r>
      <w:r>
        <w:rPr>
          <w:rFonts w:ascii="Times New Roman" w:hAnsi="Times New Roman" w:cs="Times New Roman" w:eastAsia="Times New Roman" w:hint="default"/>
        </w:rPr>
        <w:t>2 </w:t>
      </w:r>
      <w:r>
        <w:rPr/>
        <w:t>人以上参与。</w:t>
      </w:r>
    </w:p>
    <w:p>
      <w:pPr>
        <w:pStyle w:val="BodyText"/>
        <w:spacing w:line="367" w:lineRule="auto" w:before="7"/>
        <w:ind w:right="201" w:firstLine="540"/>
        <w:jc w:val="both"/>
      </w:pPr>
      <w:r>
        <w:rPr/>
        <w:t>公司全资或控股子公司未经总公司批准，不得进行金融投资及参与任何形式 </w:t>
      </w:r>
      <w:r>
        <w:rPr>
          <w:spacing w:val="-2"/>
          <w:w w:val="95"/>
        </w:rPr>
        <w:t>的证券交易活动；其所有投资活动，均以产权代表形式报总公司审批后方能进行。</w:t>
      </w:r>
      <w:r>
        <w:rPr>
          <w:spacing w:val="-2"/>
        </w:rPr>
      </w:r>
    </w:p>
    <w:p>
      <w:pPr>
        <w:pStyle w:val="BodyText"/>
        <w:spacing w:line="240" w:lineRule="auto" w:before="38"/>
        <w:ind w:left="840" w:right="0"/>
        <w:jc w:val="left"/>
      </w:pPr>
      <w:r>
        <w:rPr/>
        <w:t>（2）基建项目投资</w:t>
      </w:r>
    </w:p>
    <w:p>
      <w:pPr>
        <w:pStyle w:val="BodyText"/>
        <w:spacing w:line="367" w:lineRule="auto" w:before="166"/>
        <w:ind w:right="229" w:firstLine="540"/>
        <w:jc w:val="both"/>
      </w:pPr>
      <w:r>
        <w:rPr/>
        <w:t>2009</w:t>
      </w:r>
      <w:r>
        <w:rPr>
          <w:spacing w:val="-57"/>
        </w:rPr>
        <w:t> </w:t>
      </w:r>
      <w:r>
        <w:rPr>
          <w:spacing w:val="-3"/>
        </w:rPr>
        <w:t>年度，公司修定了《基建管理办法》和《基建管理办法实施细则》，对</w:t>
      </w:r>
      <w:r>
        <w:rPr/>
        <w:t> 基建项目从管理机构及职责、审批权限、基建计划的报批、项目立项、设计方案</w:t>
      </w:r>
      <w:r>
        <w:rPr>
          <w:spacing w:val="-91"/>
        </w:rPr>
        <w:t> </w:t>
      </w:r>
      <w:r>
        <w:rPr>
          <w:spacing w:val="-91"/>
        </w:rPr>
      </w:r>
      <w:r>
        <w:rPr/>
        <w:t>优化、项目预算审核、招投标到过程监控、竣工结算审核等流程进行了优化，使</w:t>
      </w:r>
      <w:r>
        <w:rPr>
          <w:spacing w:val="-91"/>
        </w:rPr>
        <w:t> </w:t>
      </w:r>
      <w:r>
        <w:rPr>
          <w:spacing w:val="-91"/>
        </w:rPr>
      </w:r>
      <w:r>
        <w:rPr/>
        <w:t>制度设计更严密、更具可操作性。该制度在实际管理中得到遵照执行，尤其加强</w:t>
      </w:r>
      <w:r>
        <w:rPr>
          <w:spacing w:val="-91"/>
        </w:rPr>
        <w:t> </w:t>
      </w:r>
      <w:r>
        <w:rPr>
          <w:spacing w:val="-91"/>
        </w:rPr>
      </w:r>
      <w:r>
        <w:rPr/>
        <w:t>了对下属企业工程项目预算标底和预算审核环节的管理。</w:t>
      </w:r>
    </w:p>
    <w:p>
      <w:pPr>
        <w:pStyle w:val="Heading5"/>
        <w:spacing w:line="380" w:lineRule="exact"/>
        <w:ind w:left="847" w:right="0"/>
        <w:jc w:val="left"/>
        <w:rPr>
          <w:b w:val="0"/>
          <w:bCs w:val="0"/>
        </w:rPr>
      </w:pPr>
      <w:r>
        <w:rPr>
          <w:rFonts w:ascii="Times New Roman" w:hAnsi="Times New Roman" w:cs="Times New Roman" w:eastAsia="Times New Roman" w:hint="default"/>
        </w:rPr>
        <w:t>5</w:t>
      </w:r>
      <w:r>
        <w:rPr/>
        <w:t>、资产处置与管理</w:t>
      </w:r>
      <w:r>
        <w:rPr>
          <w:b w:val="0"/>
          <w:bCs w:val="0"/>
        </w:rPr>
      </w:r>
    </w:p>
    <w:p>
      <w:pPr>
        <w:pStyle w:val="BodyText"/>
        <w:spacing w:line="357" w:lineRule="auto" w:before="74"/>
        <w:ind w:right="201" w:firstLine="573"/>
        <w:jc w:val="right"/>
      </w:pPr>
      <w:r>
        <w:rPr>
          <w:spacing w:val="-9"/>
        </w:rPr>
        <w:t>公司在《公司章程》、《财务管理规定》等制度里，对资产处置和管理权限进</w:t>
      </w:r>
      <w:r>
        <w:rPr/>
        <w:t> </w:t>
      </w:r>
      <w:r>
        <w:rPr>
          <w:spacing w:val="-2"/>
          <w:w w:val="95"/>
        </w:rPr>
        <w:t>行了明确规定，实行资产购买与处置分级授权审批制度和固定资产年度盘点制度。</w:t>
      </w:r>
      <w:r>
        <w:rPr>
          <w:spacing w:val="-2"/>
        </w:rPr>
      </w:r>
    </w:p>
    <w:p>
      <w:pPr>
        <w:pStyle w:val="BodyText"/>
        <w:spacing w:line="367" w:lineRule="auto" w:before="101"/>
        <w:ind w:right="205" w:firstLine="540"/>
        <w:jc w:val="both"/>
      </w:pPr>
      <w:r>
        <w:rPr/>
        <w:t>公司对重大资产的处置，根据有关制度和规定制定了管理控制流程。所有重 大资产处置或股权转让业务，均经过项目分析和可行性研究、中介机构专项审计</w:t>
      </w:r>
      <w:r>
        <w:rPr>
          <w:spacing w:val="-91"/>
        </w:rPr>
        <w:t> </w:t>
      </w:r>
      <w:r>
        <w:rPr>
          <w:spacing w:val="-91"/>
        </w:rPr>
      </w:r>
      <w:r>
        <w:rPr/>
        <w:t>和评估、公开挂牌交易等程序，并经过公司管理层和董事会审批，下属全资或控</w:t>
      </w:r>
      <w:r>
        <w:rPr>
          <w:spacing w:val="-91"/>
        </w:rPr>
        <w:t> </w:t>
      </w:r>
      <w:r>
        <w:rPr>
          <w:spacing w:val="-91"/>
        </w:rPr>
      </w:r>
      <w:r>
        <w:rPr/>
        <w:t>股公司的重大资产处置均通过总公司审批才予执行，达到《公司章程》规定标准</w:t>
      </w:r>
      <w:r>
        <w:rPr>
          <w:spacing w:val="-91"/>
        </w:rPr>
        <w:t> </w:t>
      </w:r>
      <w:r>
        <w:rPr>
          <w:spacing w:val="-91"/>
        </w:rPr>
      </w:r>
      <w:r>
        <w:rPr/>
        <w:t>的还经过了股东会批准并公告。</w:t>
      </w:r>
    </w:p>
    <w:p>
      <w:pPr>
        <w:spacing w:after="0" w:line="367" w:lineRule="auto"/>
        <w:jc w:val="both"/>
        <w:sectPr>
          <w:headerReference w:type="default" r:id="rId53"/>
          <w:footerReference w:type="default" r:id="rId54"/>
          <w:pgSz w:w="11910" w:h="16840"/>
          <w:pgMar w:header="0" w:footer="1095" w:top="1100" w:bottom="1280" w:left="1680" w:right="1260"/>
        </w:sectPr>
      </w:pPr>
    </w:p>
    <w:p>
      <w:pPr>
        <w:pStyle w:val="BodyText"/>
        <w:spacing w:line="367" w:lineRule="auto" w:before="0"/>
        <w:ind w:right="105" w:firstLine="540"/>
        <w:jc w:val="both"/>
      </w:pPr>
      <w:r>
        <w:rPr/>
        <w:t>在资产处置中，为避免交易对象的违约风险，公司原则上实行收取全部价款 后才办理产权过户手续等方式，并在合同主条款中予以明确。</w:t>
      </w:r>
    </w:p>
    <w:p>
      <w:pPr>
        <w:pStyle w:val="Heading5"/>
        <w:spacing w:line="380" w:lineRule="exact"/>
        <w:ind w:left="847" w:right="1110"/>
        <w:jc w:val="left"/>
        <w:rPr>
          <w:b w:val="0"/>
          <w:bCs w:val="0"/>
        </w:rPr>
      </w:pPr>
      <w:r>
        <w:rPr>
          <w:rFonts w:ascii="Times New Roman" w:hAnsi="Times New Roman" w:cs="Times New Roman" w:eastAsia="Times New Roman" w:hint="default"/>
        </w:rPr>
        <w:t>6</w:t>
      </w:r>
      <w:r>
        <w:rPr/>
        <w:t>、成本费用控制及财务收支管理</w:t>
      </w:r>
      <w:r>
        <w:rPr>
          <w:b w:val="0"/>
          <w:bCs w:val="0"/>
        </w:rPr>
      </w:r>
    </w:p>
    <w:p>
      <w:pPr>
        <w:pStyle w:val="BodyText"/>
        <w:spacing w:line="367" w:lineRule="auto" w:before="138"/>
        <w:ind w:right="105" w:firstLine="540"/>
        <w:jc w:val="both"/>
      </w:pPr>
      <w:r>
        <w:rPr/>
        <w:t>公司对成本费用的控制通过预算管理来实现，年初制定总部及各企业的成本 费用预算，限定成本费用规模和列支范围，对不符合规定的开支不予报销。公司</w:t>
      </w:r>
      <w:r>
        <w:rPr>
          <w:spacing w:val="-91"/>
        </w:rPr>
        <w:t> </w:t>
      </w:r>
      <w:r>
        <w:rPr>
          <w:spacing w:val="-91"/>
        </w:rPr>
      </w:r>
      <w:r>
        <w:rPr/>
        <w:t>在《财务管理规定》中明确成本费用支出审批权限，并在实际支付中严格按照审</w:t>
      </w:r>
      <w:r>
        <w:rPr>
          <w:spacing w:val="-91"/>
        </w:rPr>
        <w:t> </w:t>
      </w:r>
      <w:r>
        <w:rPr>
          <w:spacing w:val="-91"/>
        </w:rPr>
      </w:r>
      <w:r>
        <w:rPr/>
        <w:t>批权限进行审批。公司对下属企业试行风险差别监管，对风险较大的企业，从收</w:t>
      </w:r>
      <w:r>
        <w:rPr>
          <w:spacing w:val="-91"/>
        </w:rPr>
        <w:t> </w:t>
      </w:r>
      <w:r>
        <w:rPr>
          <w:spacing w:val="-91"/>
        </w:rPr>
      </w:r>
      <w:r>
        <w:rPr/>
        <w:t>入、费用支出、其他款项的支出等角度进行全方位控制。</w:t>
      </w:r>
    </w:p>
    <w:p>
      <w:pPr>
        <w:pStyle w:val="Heading5"/>
        <w:spacing w:line="380" w:lineRule="exact"/>
        <w:ind w:left="847" w:right="1110"/>
        <w:jc w:val="left"/>
        <w:rPr>
          <w:b w:val="0"/>
          <w:bCs w:val="0"/>
        </w:rPr>
      </w:pPr>
      <w:r>
        <w:rPr>
          <w:rFonts w:ascii="Times New Roman" w:hAnsi="Times New Roman" w:cs="Times New Roman" w:eastAsia="Times New Roman" w:hint="default"/>
        </w:rPr>
        <w:t>7</w:t>
      </w:r>
      <w:r>
        <w:rPr/>
        <w:t>、对子公司管理</w:t>
      </w:r>
      <w:r>
        <w:rPr>
          <w:b w:val="0"/>
          <w:bCs w:val="0"/>
        </w:rPr>
      </w:r>
    </w:p>
    <w:p>
      <w:pPr>
        <w:pStyle w:val="BodyText"/>
        <w:spacing w:line="367" w:lineRule="auto" w:before="138"/>
        <w:ind w:right="105" w:firstLine="540"/>
        <w:jc w:val="both"/>
      </w:pPr>
      <w:r>
        <w:rPr/>
        <w:t>公司制定了系统的有关食品安全的制度，从各方面对子公司进行管理。通过 重大事项产权代表报告制度和审议程序、重大财务事项财务负责人报告制度，控</w:t>
      </w:r>
      <w:r>
        <w:rPr>
          <w:spacing w:val="-91"/>
        </w:rPr>
        <w:t> </w:t>
      </w:r>
      <w:r>
        <w:rPr>
          <w:spacing w:val="-91"/>
        </w:rPr>
      </w:r>
      <w:r>
        <w:rPr/>
        <w:t>制子公司在重大事项上的决策，避免决策风险；通过对子公司财务报表、会计系</w:t>
      </w:r>
      <w:r>
        <w:rPr>
          <w:spacing w:val="-91"/>
        </w:rPr>
        <w:t> </w:t>
      </w:r>
      <w:r>
        <w:rPr>
          <w:spacing w:val="-91"/>
        </w:rPr>
      </w:r>
      <w:r>
        <w:rPr/>
        <w:t>统和投融资等资金行为的实时监控，控制子公司的财务风险；通过实施全面预算</w:t>
      </w:r>
      <w:r>
        <w:rPr>
          <w:spacing w:val="-91"/>
        </w:rPr>
        <w:t> </w:t>
      </w:r>
      <w:r>
        <w:rPr>
          <w:spacing w:val="-91"/>
        </w:rPr>
      </w:r>
      <w:r>
        <w:rPr/>
        <w:t>和</w:t>
      </w:r>
      <w:r>
        <w:rPr>
          <w:spacing w:val="-56"/>
        </w:rPr>
        <w:t> </w:t>
      </w:r>
      <w:r>
        <w:rPr/>
        <w:t>KPI</w:t>
      </w:r>
      <w:r>
        <w:rPr>
          <w:spacing w:val="-56"/>
        </w:rPr>
        <w:t> </w:t>
      </w:r>
      <w:r>
        <w:rPr>
          <w:spacing w:val="-4"/>
        </w:rPr>
        <w:t>关键业绩考核指标、EVA</w:t>
      </w:r>
      <w:r>
        <w:rPr>
          <w:spacing w:val="-56"/>
        </w:rPr>
        <w:t> </w:t>
      </w:r>
      <w:r>
        <w:rPr>
          <w:spacing w:val="-4"/>
        </w:rPr>
        <w:t>经济利润及季度、年度绩效考评，以及对经营管理</w:t>
      </w:r>
      <w:r>
        <w:rPr/>
        <w:t> 动态的掌握促进子公司经营业绩的实现和公司总体战略目标的实现。</w:t>
      </w:r>
    </w:p>
    <w:p>
      <w:pPr>
        <w:pStyle w:val="BodyText"/>
        <w:spacing w:line="367" w:lineRule="auto" w:before="38"/>
        <w:ind w:right="105" w:firstLine="540"/>
        <w:jc w:val="both"/>
      </w:pPr>
      <w:r>
        <w:rPr/>
        <w:t>2009</w:t>
      </w:r>
      <w:r>
        <w:rPr>
          <w:spacing w:val="-60"/>
        </w:rPr>
        <w:t> </w:t>
      </w:r>
      <w:r>
        <w:rPr>
          <w:spacing w:val="-2"/>
        </w:rPr>
        <w:t>年度，公司继续加强对下属批发市场对标管理，加强对批发市场的业务</w:t>
      </w:r>
      <w:r>
        <w:rPr/>
        <w:t> 指导和管控，管理进一步向规范化、标准化、精细化方向提升。</w:t>
      </w:r>
    </w:p>
    <w:p>
      <w:pPr>
        <w:pStyle w:val="BodyText"/>
        <w:spacing w:line="367" w:lineRule="auto" w:before="38"/>
        <w:ind w:right="105" w:firstLine="540"/>
        <w:jc w:val="both"/>
      </w:pPr>
      <w:r>
        <w:rPr/>
        <w:t>结合公司网络化战略要求，公司在客服中心及电子化结算等方面出台了系列 制度和工作指引，这些制度和工作指引规范、优化了批发市场的业务流程，提升</w:t>
      </w:r>
      <w:r>
        <w:rPr>
          <w:spacing w:val="-91"/>
        </w:rPr>
        <w:t> </w:t>
      </w:r>
      <w:r>
        <w:rPr>
          <w:spacing w:val="-91"/>
        </w:rPr>
      </w:r>
      <w:r>
        <w:rPr/>
        <w:t>了批发市场的管理水平和经营效益。</w:t>
      </w:r>
    </w:p>
    <w:p>
      <w:pPr>
        <w:pStyle w:val="BodyText"/>
        <w:spacing w:line="367" w:lineRule="auto" w:before="38"/>
        <w:ind w:right="105" w:firstLine="540"/>
        <w:jc w:val="both"/>
      </w:pPr>
      <w:r>
        <w:rPr/>
        <w:t>2009</w:t>
      </w:r>
      <w:r>
        <w:rPr>
          <w:spacing w:val="-60"/>
        </w:rPr>
        <w:t> </w:t>
      </w:r>
      <w:r>
        <w:rPr>
          <w:spacing w:val="-2"/>
        </w:rPr>
        <w:t>年度，公司各业务管理部门更加注重部门内部管理的制度化和流程的标</w:t>
      </w:r>
      <w:r>
        <w:rPr/>
        <w:t> 准化，制定了系列工作流程和办法，并按其管理职责对所管企业进行及时监控和</w:t>
      </w:r>
      <w:r>
        <w:rPr>
          <w:spacing w:val="-91"/>
        </w:rPr>
        <w:t> </w:t>
      </w:r>
      <w:r>
        <w:rPr>
          <w:spacing w:val="-91"/>
        </w:rPr>
      </w:r>
      <w:r>
        <w:rPr/>
        <w:t>不定期调研，帮助企业解决经营中的困难。</w:t>
      </w:r>
    </w:p>
    <w:p>
      <w:pPr>
        <w:pStyle w:val="Heading5"/>
        <w:spacing w:line="380" w:lineRule="exact"/>
        <w:ind w:left="840" w:right="1110"/>
        <w:jc w:val="left"/>
        <w:rPr>
          <w:b w:val="0"/>
          <w:bCs w:val="0"/>
        </w:rPr>
      </w:pPr>
      <w:r>
        <w:rPr/>
        <w:t>8、食品安全管理</w:t>
      </w:r>
      <w:r>
        <w:rPr>
          <w:b w:val="0"/>
          <w:bCs w:val="0"/>
        </w:rPr>
      </w:r>
    </w:p>
    <w:p>
      <w:pPr>
        <w:pStyle w:val="BodyText"/>
        <w:spacing w:line="357" w:lineRule="auto" w:before="74"/>
        <w:ind w:right="101" w:firstLine="571"/>
        <w:jc w:val="both"/>
      </w:pPr>
      <w:r>
        <w:rPr>
          <w:spacing w:val="17"/>
          <w:w w:val="93"/>
        </w:rPr>
        <w:t>公司制</w:t>
      </w:r>
      <w:r>
        <w:rPr>
          <w:spacing w:val="8"/>
          <w:w w:val="93"/>
        </w:rPr>
        <w:t>定</w:t>
      </w:r>
      <w:r>
        <w:rPr>
          <w:spacing w:val="13"/>
          <w:w w:val="93"/>
        </w:rPr>
        <w:t>《</w:t>
      </w:r>
      <w:r>
        <w:rPr>
          <w:spacing w:val="17"/>
          <w:w w:val="93"/>
        </w:rPr>
        <w:t>安全工作管理规定</w:t>
      </w:r>
      <w:r>
        <w:rPr>
          <w:spacing w:val="-101"/>
          <w:w w:val="93"/>
        </w:rPr>
        <w:t>》</w:t>
      </w:r>
      <w:r>
        <w:rPr>
          <w:spacing w:val="-114"/>
          <w:w w:val="93"/>
        </w:rPr>
        <w:t>、</w:t>
      </w:r>
      <w:r>
        <w:rPr>
          <w:spacing w:val="13"/>
          <w:w w:val="93"/>
        </w:rPr>
        <w:t>《</w:t>
      </w:r>
      <w:r>
        <w:rPr>
          <w:spacing w:val="17"/>
          <w:w w:val="93"/>
        </w:rPr>
        <w:t>商品质量安全管理规定</w:t>
      </w:r>
      <w:r>
        <w:rPr>
          <w:spacing w:val="-101"/>
          <w:w w:val="93"/>
        </w:rPr>
        <w:t>》</w:t>
      </w:r>
      <w:r>
        <w:rPr>
          <w:spacing w:val="-114"/>
          <w:w w:val="93"/>
        </w:rPr>
        <w:t>、</w:t>
      </w:r>
      <w:r>
        <w:rPr>
          <w:spacing w:val="13"/>
          <w:w w:val="93"/>
        </w:rPr>
        <w:t>《</w:t>
      </w:r>
      <w:r>
        <w:rPr>
          <w:spacing w:val="17"/>
          <w:w w:val="93"/>
        </w:rPr>
        <w:t>突发事件</w:t>
      </w:r>
      <w:r>
        <w:rPr>
          <w:spacing w:val="-7"/>
          <w:w w:val="93"/>
        </w:rPr>
        <w:t>总</w:t>
      </w:r>
      <w:r>
        <w:rPr/>
        <w:t>体</w:t>
      </w:r>
      <w:r>
        <w:rPr/>
        <w:t> </w:t>
      </w:r>
      <w:r>
        <w:rPr>
          <w:spacing w:val="23"/>
          <w:w w:val="90"/>
        </w:rPr>
        <w:t>应急预</w:t>
      </w:r>
      <w:r>
        <w:rPr>
          <w:w w:val="90"/>
        </w:rPr>
        <w:t>案</w:t>
      </w:r>
      <w:r>
        <w:rPr>
          <w:spacing w:val="-97"/>
        </w:rPr>
        <w:t> </w:t>
      </w:r>
      <w:r>
        <w:rPr>
          <w:spacing w:val="-93"/>
          <w:w w:val="90"/>
        </w:rPr>
        <w:t>》</w:t>
      </w:r>
      <w:r>
        <w:rPr>
          <w:spacing w:val="-156"/>
          <w:w w:val="90"/>
        </w:rPr>
        <w:t>、</w:t>
      </w:r>
      <w:r>
        <w:rPr>
          <w:w w:val="90"/>
        </w:rPr>
        <w:t>《</w:t>
      </w:r>
      <w:r>
        <w:rPr>
          <w:spacing w:val="-99"/>
        </w:rPr>
        <w:t> </w:t>
      </w:r>
      <w:r>
        <w:rPr>
          <w:spacing w:val="23"/>
          <w:w w:val="90"/>
        </w:rPr>
        <w:t>食品安全制度汇</w:t>
      </w:r>
      <w:r>
        <w:rPr>
          <w:w w:val="90"/>
        </w:rPr>
        <w:t>编</w:t>
      </w:r>
      <w:r>
        <w:rPr>
          <w:spacing w:val="-97"/>
        </w:rPr>
        <w:t> </w:t>
      </w:r>
      <w:r>
        <w:rPr>
          <w:spacing w:val="-93"/>
          <w:w w:val="90"/>
        </w:rPr>
        <w:t>》</w:t>
      </w:r>
      <w:r>
        <w:rPr>
          <w:spacing w:val="-156"/>
          <w:w w:val="90"/>
        </w:rPr>
        <w:t>、</w:t>
      </w:r>
      <w:r>
        <w:rPr>
          <w:w w:val="90"/>
        </w:rPr>
        <w:t>《</w:t>
      </w:r>
      <w:r>
        <w:rPr>
          <w:spacing w:val="-99"/>
        </w:rPr>
        <w:t> </w:t>
      </w:r>
      <w:r>
        <w:rPr>
          <w:spacing w:val="23"/>
          <w:w w:val="90"/>
        </w:rPr>
        <w:t>检测实验室建设指</w:t>
      </w:r>
      <w:r>
        <w:rPr>
          <w:w w:val="90"/>
        </w:rPr>
        <w:t>引</w:t>
      </w:r>
      <w:r>
        <w:rPr>
          <w:spacing w:val="-97"/>
        </w:rPr>
        <w:t> </w:t>
      </w:r>
      <w:r>
        <w:rPr>
          <w:spacing w:val="-93"/>
          <w:w w:val="90"/>
        </w:rPr>
        <w:t>》</w:t>
      </w:r>
      <w:r>
        <w:rPr>
          <w:spacing w:val="-156"/>
          <w:w w:val="90"/>
        </w:rPr>
        <w:t>、</w:t>
      </w:r>
      <w:r>
        <w:rPr>
          <w:w w:val="90"/>
        </w:rPr>
        <w:t>《</w:t>
      </w:r>
      <w:r>
        <w:rPr>
          <w:spacing w:val="-99"/>
        </w:rPr>
        <w:t> </w:t>
      </w:r>
      <w:r>
        <w:rPr>
          <w:spacing w:val="23"/>
          <w:w w:val="90"/>
        </w:rPr>
        <w:t>商品市场准入备</w:t>
      </w:r>
      <w:r>
        <w:rPr>
          <w:w w:val="90"/>
        </w:rPr>
        <w:t>案</w:t>
      </w:r>
      <w:r>
        <w:rPr>
          <w:spacing w:val="-93"/>
        </w:rPr>
        <w:t> </w:t>
      </w:r>
      <w:r>
        <w:rPr>
          <w:spacing w:val="2"/>
          <w:w w:val="50"/>
        </w:rPr>
        <w:t>》</w:t>
      </w:r>
      <w:r>
        <w:rPr>
          <w:w w:val="50"/>
        </w:rPr>
        <w:t>、</w:t>
      </w:r>
      <w:r>
        <w:rPr/>
      </w:r>
    </w:p>
    <w:p>
      <w:pPr>
        <w:pStyle w:val="BodyText"/>
        <w:spacing w:line="357" w:lineRule="auto"/>
        <w:ind w:right="90"/>
        <w:jc w:val="left"/>
      </w:pPr>
      <w:r>
        <w:rPr/>
        <w:t>《可追溯手册》等系列制度和工作指引，对食品安全进行管理，下属企业据此制</w:t>
      </w:r>
      <w:r>
        <w:rPr>
          <w:spacing w:val="-91"/>
        </w:rPr>
        <w:t> </w:t>
      </w:r>
      <w:r>
        <w:rPr>
          <w:spacing w:val="-91"/>
        </w:rPr>
      </w:r>
      <w:r>
        <w:rPr/>
        <w:t>定实施细则。</w:t>
      </w:r>
    </w:p>
    <w:p>
      <w:pPr>
        <w:pStyle w:val="BodyText"/>
        <w:spacing w:line="357" w:lineRule="auto"/>
        <w:ind w:right="105" w:firstLine="540"/>
        <w:jc w:val="both"/>
      </w:pPr>
      <w:r>
        <w:rPr/>
        <w:t>公司成立安委会，下设安委办，专门负责公司系统食品安全管理，并有专职 管理人员进行日常管理，下属企业成立安委办，受公司安委办以及所在企业的双</w:t>
      </w:r>
    </w:p>
    <w:p>
      <w:pPr>
        <w:spacing w:after="0" w:line="357" w:lineRule="auto"/>
        <w:jc w:val="both"/>
        <w:sectPr>
          <w:headerReference w:type="default" r:id="rId55"/>
          <w:footerReference w:type="default" r:id="rId56"/>
          <w:pgSz w:w="11910" w:h="16840"/>
          <w:pgMar w:header="0" w:footer="1095" w:top="1180" w:bottom="1280" w:left="1680" w:right="1360"/>
          <w:pgNumType w:start="32"/>
        </w:sectPr>
      </w:pPr>
    </w:p>
    <w:p>
      <w:pPr>
        <w:pStyle w:val="BodyText"/>
        <w:spacing w:line="240" w:lineRule="auto" w:before="13"/>
        <w:ind w:right="0"/>
        <w:jc w:val="both"/>
      </w:pPr>
      <w:r>
        <w:rPr/>
        <w:t>重领导。</w:t>
      </w:r>
    </w:p>
    <w:p>
      <w:pPr>
        <w:spacing w:line="240" w:lineRule="auto" w:before="9"/>
        <w:rPr>
          <w:rFonts w:ascii="宋体" w:hAnsi="宋体" w:cs="宋体" w:eastAsia="宋体" w:hint="default"/>
          <w:sz w:val="16"/>
          <w:szCs w:val="16"/>
        </w:rPr>
      </w:pPr>
    </w:p>
    <w:p>
      <w:pPr>
        <w:pStyle w:val="BodyText"/>
        <w:spacing w:line="367" w:lineRule="auto" w:before="0"/>
        <w:ind w:right="185" w:firstLine="540"/>
        <w:jc w:val="both"/>
      </w:pPr>
      <w:r>
        <w:rPr/>
        <w:t>公司通过年初签订《安全责任书》等方式，明确每年食品安全控制目标；日 常管理中，按制度规定，每年进行两次定期检查和不定期的食品专项检查，年末</w:t>
      </w:r>
      <w:r>
        <w:rPr>
          <w:spacing w:val="-91"/>
        </w:rPr>
        <w:t> </w:t>
      </w:r>
      <w:r>
        <w:rPr>
          <w:spacing w:val="-91"/>
        </w:rPr>
      </w:r>
      <w:r>
        <w:rPr/>
        <w:t>对食品安全实施情况进行考评和奖惩。</w:t>
      </w:r>
      <w:r>
        <w:rPr>
          <w:rFonts w:ascii="Times New Roman" w:hAnsi="Times New Roman" w:cs="Times New Roman" w:eastAsia="Times New Roman" w:hint="default"/>
        </w:rPr>
        <w:t>2009 </w:t>
      </w:r>
      <w:r>
        <w:rPr/>
        <w:t>年公司重大食品安全事故为零。</w:t>
      </w:r>
    </w:p>
    <w:p>
      <w:pPr>
        <w:pStyle w:val="Heading5"/>
        <w:spacing w:line="348" w:lineRule="exact"/>
        <w:ind w:left="847" w:right="0"/>
        <w:jc w:val="left"/>
        <w:rPr>
          <w:b w:val="0"/>
          <w:bCs w:val="0"/>
        </w:rPr>
      </w:pPr>
      <w:r>
        <w:rPr>
          <w:rFonts w:ascii="Times New Roman" w:hAnsi="Times New Roman" w:cs="Times New Roman" w:eastAsia="Times New Roman" w:hint="default"/>
        </w:rPr>
        <w:t>9</w:t>
      </w:r>
      <w:r>
        <w:rPr/>
        <w:t>、全面预算管理</w:t>
      </w:r>
      <w:r>
        <w:rPr>
          <w:b w:val="0"/>
          <w:bCs w:val="0"/>
        </w:rPr>
      </w:r>
    </w:p>
    <w:p>
      <w:pPr>
        <w:pStyle w:val="BodyText"/>
        <w:spacing w:line="357" w:lineRule="auto" w:before="74"/>
        <w:ind w:right="181" w:firstLine="573"/>
        <w:jc w:val="both"/>
      </w:pPr>
      <w:r>
        <w:rPr>
          <w:spacing w:val="-2"/>
        </w:rPr>
        <w:t>公司制定《全面预算管理办法》，成立预算管理委员会及下设预算管理办公</w:t>
      </w:r>
      <w:r>
        <w:rPr/>
        <w:t> 室。公司每年末根据公司发展战略目标在全系统编制全面预算指标，下属企业以</w:t>
      </w:r>
      <w:r>
        <w:rPr>
          <w:spacing w:val="-91"/>
        </w:rPr>
        <w:t> </w:t>
      </w:r>
      <w:r>
        <w:rPr>
          <w:spacing w:val="-91"/>
        </w:rPr>
      </w:r>
      <w:r>
        <w:rPr/>
        <w:t>产权代表形式报总公司审核和批准，总公司预算经过公司董事会审批。预算一经</w:t>
      </w:r>
      <w:r>
        <w:rPr>
          <w:spacing w:val="-91"/>
        </w:rPr>
        <w:t> </w:t>
      </w:r>
      <w:r>
        <w:rPr>
          <w:spacing w:val="-91"/>
        </w:rPr>
      </w:r>
      <w:r>
        <w:rPr/>
        <w:t>制定下达，非特殊情况不予变更。预算的制定、审批、执行及变更均符合法定程</w:t>
      </w:r>
      <w:r>
        <w:rPr>
          <w:spacing w:val="-91"/>
        </w:rPr>
        <w:t> </w:t>
      </w:r>
      <w:r>
        <w:rPr>
          <w:spacing w:val="-91"/>
        </w:rPr>
      </w:r>
      <w:r>
        <w:rPr>
          <w:spacing w:val="-2"/>
          <w:w w:val="95"/>
        </w:rPr>
        <w:t>序。年终决算以经会计师事务所审计的财务报表为依据进行，并给予考评和奖惩。</w:t>
      </w:r>
      <w:r>
        <w:rPr>
          <w:spacing w:val="-2"/>
        </w:rPr>
      </w:r>
    </w:p>
    <w:p>
      <w:pPr>
        <w:spacing w:line="319" w:lineRule="auto" w:before="24"/>
        <w:ind w:left="840" w:right="166"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、投资者关系管理及信息披露 </w:t>
      </w:r>
      <w:r>
        <w:rPr>
          <w:rFonts w:ascii="宋体" w:hAnsi="宋体" w:cs="宋体" w:eastAsia="宋体" w:hint="default"/>
          <w:sz w:val="24"/>
          <w:szCs w:val="24"/>
        </w:rPr>
        <w:t>公司重视投资者关系管理，制定了《投资者关系管理制度》和《接待与推广</w:t>
      </w:r>
    </w:p>
    <w:p>
      <w:pPr>
        <w:pStyle w:val="BodyText"/>
        <w:spacing w:line="367" w:lineRule="auto" w:before="86"/>
        <w:ind w:right="209"/>
        <w:jc w:val="both"/>
      </w:pPr>
      <w:r>
        <w:rPr/>
        <w:t>工作制度》，并严格执行。在接待调研及采访时，公司及相关信息披露义务人严</w:t>
      </w:r>
      <w:r>
        <w:rPr>
          <w:spacing w:val="-91"/>
        </w:rPr>
        <w:t> </w:t>
      </w:r>
      <w:r>
        <w:rPr>
          <w:spacing w:val="-91"/>
        </w:rPr>
      </w:r>
      <w:r>
        <w:rPr/>
        <w:t>格遵循公平信息披露的原则，未有实行差别对待政策，未有有选择地、私下提前</w:t>
      </w:r>
      <w:r>
        <w:rPr>
          <w:spacing w:val="-91"/>
        </w:rPr>
        <w:t> </w:t>
      </w:r>
      <w:r>
        <w:rPr>
          <w:spacing w:val="-91"/>
        </w:rPr>
      </w:r>
      <w:r>
        <w:rPr/>
        <w:t>向特定对象披露、透露或泄露非公开信息的情形。</w:t>
      </w:r>
    </w:p>
    <w:p>
      <w:pPr>
        <w:pStyle w:val="Heading5"/>
        <w:spacing w:line="380" w:lineRule="exact"/>
        <w:ind w:left="840" w:right="0"/>
        <w:jc w:val="left"/>
        <w:rPr>
          <w:b w:val="0"/>
          <w:bCs w:val="0"/>
        </w:rPr>
      </w:pPr>
      <w:r>
        <w:rPr/>
        <w:t>11、全面风险管理</w:t>
      </w:r>
      <w:r>
        <w:rPr>
          <w:b w:val="0"/>
          <w:bCs w:val="0"/>
        </w:rPr>
      </w:r>
    </w:p>
    <w:p>
      <w:pPr>
        <w:pStyle w:val="BodyText"/>
        <w:spacing w:line="367" w:lineRule="auto" w:before="138"/>
        <w:ind w:right="185" w:firstLine="540"/>
        <w:jc w:val="both"/>
      </w:pPr>
      <w:r>
        <w:rPr/>
        <w:t>2009</w:t>
      </w:r>
      <w:r>
        <w:rPr>
          <w:spacing w:val="-45"/>
        </w:rPr>
        <w:t> </w:t>
      </w:r>
      <w:r>
        <w:rPr>
          <w:spacing w:val="-10"/>
        </w:rPr>
        <w:t>年度，公司制定了《风控协管专员管理暂行办法》、《风险识别评价分析</w:t>
      </w:r>
      <w:r>
        <w:rPr/>
        <w:t> </w:t>
      </w:r>
      <w:r>
        <w:rPr>
          <w:spacing w:val="-6"/>
        </w:rPr>
        <w:t>工作指引》、《流程标准指引》等风险管理制度，并在全公司范围内开展风险识别</w:t>
      </w:r>
      <w:r>
        <w:rPr>
          <w:spacing w:val="-114"/>
        </w:rPr>
        <w:t> </w:t>
      </w:r>
      <w:r>
        <w:rPr>
          <w:spacing w:val="-114"/>
        </w:rPr>
      </w:r>
      <w:r>
        <w:rPr/>
        <w:t>和自我评估，对于可能发生的重大风险事件，根据重要性和紧急性原则，公司正</w:t>
      </w:r>
      <w:r>
        <w:rPr>
          <w:spacing w:val="-91"/>
        </w:rPr>
        <w:t> </w:t>
      </w:r>
      <w:r>
        <w:rPr>
          <w:spacing w:val="-91"/>
        </w:rPr>
      </w:r>
      <w:r>
        <w:rPr/>
        <w:t>在陆续制定应急预案和解决方案。</w:t>
      </w:r>
    </w:p>
    <w:p>
      <w:pPr>
        <w:pStyle w:val="BodyText"/>
        <w:spacing w:line="367" w:lineRule="auto" w:before="38"/>
        <w:ind w:right="185" w:firstLine="540"/>
        <w:jc w:val="both"/>
      </w:pPr>
      <w:r>
        <w:rPr/>
        <w:t>2009</w:t>
      </w:r>
      <w:r>
        <w:rPr>
          <w:spacing w:val="-60"/>
        </w:rPr>
        <w:t> </w:t>
      </w:r>
      <w:r>
        <w:rPr>
          <w:spacing w:val="-2"/>
        </w:rPr>
        <w:t>年度，公司选取了全面风险管理建设试点企业，开展了流程标准化的试</w:t>
      </w:r>
      <w:r>
        <w:rPr/>
        <w:t> 点工作,为下一步在全公司范围内全面展开提供了经验。</w:t>
      </w:r>
    </w:p>
    <w:p>
      <w:pPr>
        <w:pStyle w:val="Heading5"/>
        <w:spacing w:line="380" w:lineRule="exact"/>
        <w:ind w:left="840" w:right="0"/>
        <w:jc w:val="left"/>
        <w:rPr>
          <w:b w:val="0"/>
          <w:bCs w:val="0"/>
        </w:rPr>
      </w:pPr>
      <w:r>
        <w:rPr/>
        <w:t>三、重点控制活动中的问题及整改计划</w:t>
      </w:r>
      <w:r>
        <w:rPr>
          <w:b w:val="0"/>
          <w:bCs w:val="0"/>
        </w:rPr>
      </w:r>
    </w:p>
    <w:p>
      <w:pPr>
        <w:pStyle w:val="BodyText"/>
        <w:spacing w:line="360" w:lineRule="auto" w:before="138"/>
        <w:ind w:right="181" w:firstLine="540"/>
        <w:jc w:val="both"/>
      </w:pPr>
      <w:r>
        <w:rPr>
          <w:spacing w:val="-3"/>
        </w:rPr>
        <w:t>通过公司自查、自我评价及整改，截至</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日，公司内部控制</w:t>
      </w:r>
      <w:r>
        <w:rPr/>
        <w:t> </w:t>
      </w:r>
      <w:r>
        <w:rPr>
          <w:spacing w:val="-2"/>
          <w:w w:val="95"/>
        </w:rPr>
        <w:t>体系基本健全，内部控制体系在完整性、合规性、有效性等方面不存在重大缺陷。</w:t>
      </w:r>
      <w:r>
        <w:rPr>
          <w:spacing w:val="95"/>
          <w:w w:val="95"/>
        </w:rPr>
        <w:t> </w:t>
      </w:r>
      <w:r>
        <w:rPr>
          <w:spacing w:val="95"/>
          <w:w w:val="95"/>
        </w:rPr>
      </w:r>
      <w:r>
        <w:rPr/>
        <w:t>既有的内控制度基本能够满足目前各项重点业务管理控制的需要，未发现对公司</w:t>
      </w:r>
      <w:r>
        <w:rPr>
          <w:spacing w:val="-97"/>
        </w:rPr>
        <w:t> </w:t>
      </w:r>
      <w:r>
        <w:rPr>
          <w:spacing w:val="-97"/>
        </w:rPr>
      </w:r>
      <w:r>
        <w:rPr/>
        <w:t>治理、经营管理及发展有重大影响的缺陷及异常方面。</w:t>
      </w:r>
    </w:p>
    <w:p>
      <w:pPr>
        <w:pStyle w:val="BodyText"/>
        <w:spacing w:line="367" w:lineRule="auto" w:before="46"/>
        <w:ind w:right="0" w:firstLine="540"/>
        <w:jc w:val="left"/>
      </w:pPr>
      <w:r>
        <w:rPr/>
        <w:t>由于内部控制固有的局限性、内部环境以及宏观环境、政策法规持续变化， 可能导致部分既有控制活动不适用或出现偏差。对此公司将通过不断地自查、自</w:t>
      </w:r>
      <w:r>
        <w:rPr>
          <w:spacing w:val="-91"/>
        </w:rPr>
        <w:t> </w:t>
      </w:r>
      <w:r>
        <w:rPr>
          <w:spacing w:val="-91"/>
        </w:rPr>
      </w:r>
      <w:r>
        <w:rPr>
          <w:spacing w:val="-2"/>
          <w:w w:val="95"/>
        </w:rPr>
        <w:t>我评介及整改，不断地进行内部控制制度的修改、补充和完善，为控制公司风险，</w:t>
      </w:r>
      <w:r>
        <w:rPr>
          <w:spacing w:val="-2"/>
        </w:rPr>
      </w:r>
    </w:p>
    <w:p>
      <w:pPr>
        <w:spacing w:after="0" w:line="367" w:lineRule="auto"/>
        <w:jc w:val="left"/>
        <w:sectPr>
          <w:headerReference w:type="default" r:id="rId57"/>
          <w:footerReference w:type="default" r:id="rId58"/>
          <w:pgSz w:w="11910" w:h="16840"/>
          <w:pgMar w:header="0" w:footer="1095" w:top="1100" w:bottom="1280" w:left="1680" w:right="1280"/>
          <w:pgNumType w:start="33"/>
        </w:sectPr>
      </w:pPr>
    </w:p>
    <w:p>
      <w:pPr>
        <w:pStyle w:val="BodyText"/>
        <w:spacing w:line="312" w:lineRule="exact" w:before="0"/>
        <w:ind w:right="0"/>
        <w:jc w:val="left"/>
      </w:pPr>
      <w:r>
        <w:rPr/>
        <w:t>为公司战略、经营等目标的实现以及财务报告的真实性、完整性提供保障。具体</w:t>
      </w:r>
    </w:p>
    <w:p>
      <w:pPr>
        <w:spacing w:line="240" w:lineRule="auto" w:before="9"/>
        <w:rPr>
          <w:rFonts w:ascii="宋体" w:hAnsi="宋体" w:cs="宋体" w:eastAsia="宋体" w:hint="default"/>
          <w:sz w:val="10"/>
          <w:szCs w:val="10"/>
        </w:rPr>
      </w:pPr>
    </w:p>
    <w:p>
      <w:pPr>
        <w:pStyle w:val="BodyText"/>
        <w:spacing w:line="240" w:lineRule="auto" w:before="26"/>
        <w:ind w:right="0"/>
        <w:jc w:val="left"/>
      </w:pPr>
      <w:r>
        <w:rPr/>
        <w:t>为：</w:t>
      </w:r>
    </w:p>
    <w:p>
      <w:pPr>
        <w:pStyle w:val="BodyText"/>
        <w:spacing w:line="240" w:lineRule="auto" w:before="166"/>
        <w:ind w:left="840" w:right="0"/>
        <w:jc w:val="left"/>
      </w:pPr>
      <w:r>
        <w:rPr>
          <w:rFonts w:ascii="Times New Roman" w:hAnsi="Times New Roman" w:cs="Times New Roman" w:eastAsia="Times New Roman" w:hint="default"/>
          <w:w w:val="95"/>
        </w:rPr>
        <w:t>1</w:t>
      </w:r>
      <w:r>
        <w:rPr>
          <w:w w:val="95"/>
        </w:rPr>
        <w:t>、把全面风险管理作为  </w:t>
      </w:r>
      <w:r>
        <w:rPr>
          <w:rFonts w:ascii="Times New Roman" w:hAnsi="Times New Roman" w:cs="Times New Roman" w:eastAsia="Times New Roman" w:hint="default"/>
          <w:w w:val="95"/>
        </w:rPr>
        <w:t>2010 </w:t>
      </w:r>
      <w:r>
        <w:rPr>
          <w:rFonts w:ascii="Times New Roman" w:hAnsi="Times New Roman" w:cs="Times New Roman" w:eastAsia="Times New Roman" w:hint="default"/>
          <w:spacing w:val="4"/>
          <w:w w:val="95"/>
        </w:rPr>
        <w:t> </w:t>
      </w:r>
      <w:r>
        <w:rPr>
          <w:spacing w:val="-3"/>
          <w:w w:val="95"/>
        </w:rPr>
        <w:t>年内控体系建设重点工作，推进全面风险管理，</w:t>
      </w:r>
      <w:r>
        <w:rPr>
          <w:spacing w:val="-3"/>
        </w:rPr>
      </w:r>
    </w:p>
    <w:p>
      <w:pPr>
        <w:spacing w:line="240" w:lineRule="auto" w:before="4"/>
        <w:rPr>
          <w:rFonts w:ascii="宋体" w:hAnsi="宋体" w:cs="宋体" w:eastAsia="宋体" w:hint="default"/>
          <w:sz w:val="9"/>
          <w:szCs w:val="9"/>
        </w:rPr>
      </w:pPr>
    </w:p>
    <w:p>
      <w:pPr>
        <w:pStyle w:val="BodyText"/>
        <w:spacing w:line="367" w:lineRule="auto" w:before="26"/>
        <w:ind w:right="0"/>
        <w:jc w:val="left"/>
      </w:pPr>
      <w:r>
        <w:rPr>
          <w:spacing w:val="3"/>
        </w:rPr>
        <w:t>建立全面风险管理体系。公司将引进外部咨询机构，普及并培训风险管理知识，</w:t>
      </w:r>
      <w:r>
        <w:rPr>
          <w:spacing w:val="-96"/>
        </w:rPr>
        <w:t> </w:t>
      </w:r>
      <w:r>
        <w:rPr>
          <w:spacing w:val="-96"/>
        </w:rPr>
      </w:r>
      <w:r>
        <w:rPr/>
        <w:t>全面诊断内控制度及内控体系，优化各项业务流程，修订完善各项内控制度，制</w:t>
      </w:r>
      <w:r>
        <w:rPr>
          <w:spacing w:val="-91"/>
        </w:rPr>
        <w:t> </w:t>
      </w:r>
      <w:r>
        <w:rPr>
          <w:spacing w:val="-91"/>
        </w:rPr>
      </w:r>
      <w:r>
        <w:rPr/>
        <w:t>定各种风险预警及应对策略和方案。</w:t>
      </w:r>
    </w:p>
    <w:p>
      <w:pPr>
        <w:pStyle w:val="BodyText"/>
        <w:spacing w:line="352" w:lineRule="auto" w:before="38"/>
        <w:ind w:right="201" w:firstLine="54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年公司将加大内控制度建设及执行情况的监督检查，公司结合全面 风险管理工作的推进，根据</w:t>
      </w:r>
      <w:r>
        <w:rPr>
          <w:spacing w:val="-33"/>
        </w:rPr>
        <w:t> </w:t>
      </w:r>
      <w:r>
        <w:rPr>
          <w:rFonts w:ascii="Times New Roman" w:hAnsi="Times New Roman" w:cs="Times New Roman" w:eastAsia="Times New Roman" w:hint="default"/>
        </w:rPr>
        <w:t>09</w:t>
      </w:r>
      <w:r>
        <w:rPr>
          <w:rFonts w:ascii="Times New Roman" w:hAnsi="Times New Roman" w:cs="Times New Roman" w:eastAsia="Times New Roman" w:hint="default"/>
          <w:spacing w:val="15"/>
        </w:rPr>
        <w:t> </w:t>
      </w:r>
      <w:r>
        <w:rPr/>
        <w:t>年度对部分控股公司的内控检查情况，制定</w:t>
      </w:r>
      <w:r>
        <w:rPr>
          <w:spacing w:val="-2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1"/>
        </w:rPr>
        <w:t> </w:t>
      </w:r>
      <w:r>
        <w:rPr>
          <w:spacing w:val="-2"/>
          <w:w w:val="95"/>
        </w:rPr>
        <w:t>年内控制度专项检查计划，分步对控股公司开展内控建设及执行情况的专项检查，</w:t>
      </w:r>
      <w:r>
        <w:rPr>
          <w:spacing w:val="97"/>
          <w:w w:val="95"/>
        </w:rPr>
        <w:t> </w:t>
      </w:r>
      <w:r>
        <w:rPr>
          <w:spacing w:val="97"/>
          <w:w w:val="95"/>
        </w:rPr>
      </w:r>
      <w:r>
        <w:rPr/>
        <w:t>并将内控制度建设及执行情况纳入当年绩效考核范畴。</w:t>
      </w:r>
    </w:p>
    <w:p>
      <w:pPr>
        <w:pStyle w:val="Heading5"/>
        <w:spacing w:line="253" w:lineRule="exact"/>
        <w:ind w:right="0"/>
        <w:jc w:val="left"/>
        <w:rPr>
          <w:b w:val="0"/>
          <w:bCs w:val="0"/>
        </w:rPr>
      </w:pPr>
      <w:r>
        <w:rPr/>
        <w:t>四、公司监事会对公司内部控制自我评价的意见</w:t>
      </w:r>
      <w:r>
        <w:rPr>
          <w:b w:val="0"/>
          <w:bCs w:val="0"/>
        </w:rPr>
      </w:r>
    </w:p>
    <w:p>
      <w:pPr>
        <w:pStyle w:val="BodyText"/>
        <w:spacing w:line="348" w:lineRule="auto" w:before="126"/>
        <w:ind w:right="205" w:firstLine="480"/>
        <w:jc w:val="both"/>
      </w:pPr>
      <w:r>
        <w:rPr>
          <w:w w:val="82"/>
        </w:rPr>
        <w:t>根</w:t>
      </w:r>
      <w:r>
        <w:rPr>
          <w:spacing w:val="-44"/>
          <w:w w:val="82"/>
        </w:rPr>
        <w:t> </w:t>
      </w:r>
      <w:r>
        <w:rPr>
          <w:w w:val="82"/>
        </w:rPr>
        <w:t>据</w:t>
      </w:r>
      <w:r>
        <w:rPr>
          <w:spacing w:val="-59"/>
          <w:w w:val="82"/>
        </w:rPr>
        <w:t> </w:t>
      </w:r>
      <w:r>
        <w:rPr>
          <w:w w:val="82"/>
        </w:rPr>
        <w:t>《</w:t>
      </w:r>
      <w:r>
        <w:rPr>
          <w:spacing w:val="-46"/>
          <w:w w:val="82"/>
        </w:rPr>
        <w:t> </w:t>
      </w:r>
      <w:r>
        <w:rPr>
          <w:w w:val="82"/>
        </w:rPr>
        <w:t>公</w:t>
      </w:r>
      <w:r>
        <w:rPr>
          <w:spacing w:val="-44"/>
          <w:w w:val="82"/>
        </w:rPr>
        <w:t> </w:t>
      </w:r>
      <w:r>
        <w:rPr>
          <w:w w:val="82"/>
        </w:rPr>
        <w:t>司</w:t>
      </w:r>
      <w:r>
        <w:rPr>
          <w:spacing w:val="-44"/>
          <w:w w:val="82"/>
        </w:rPr>
        <w:t> </w:t>
      </w:r>
      <w:r>
        <w:rPr>
          <w:w w:val="82"/>
        </w:rPr>
        <w:t>法</w:t>
      </w:r>
      <w:r>
        <w:rPr>
          <w:spacing w:val="-44"/>
          <w:w w:val="82"/>
        </w:rPr>
        <w:t> </w:t>
      </w:r>
      <w:r>
        <w:rPr>
          <w:spacing w:val="-117"/>
          <w:w w:val="82"/>
        </w:rPr>
        <w:t>》、《</w:t>
      </w:r>
      <w:r>
        <w:rPr>
          <w:spacing w:val="-49"/>
          <w:w w:val="82"/>
        </w:rPr>
        <w:t> </w:t>
      </w:r>
      <w:hyperlink r:id="rId61">
        <w:r>
          <w:rPr>
            <w:spacing w:val="-2"/>
          </w:rPr>
          <w:t>证券</w:t>
        </w:r>
      </w:hyperlink>
      <w:r>
        <w:rPr>
          <w:spacing w:val="-2"/>
        </w:rPr>
        <w:t>法》以及中国证监会、深圳证券交易所上市公司相关法</w:t>
      </w:r>
      <w:r>
        <w:rPr/>
        <w:t> </w:t>
      </w:r>
      <w:r>
        <w:rPr>
          <w:spacing w:val="-7"/>
        </w:rPr>
        <w:t>规</w:t>
      </w:r>
      <w:hyperlink r:id="rId62">
        <w:r>
          <w:rPr>
            <w:spacing w:val="-7"/>
          </w:rPr>
          <w:t>政策</w:t>
        </w:r>
      </w:hyperlink>
      <w:r>
        <w:rPr>
          <w:spacing w:val="-7"/>
        </w:rPr>
        <w:t>规定的要求，监事会全体成员就公司</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年度内部控制的自我评价报告发 表如下意见：</w:t>
      </w:r>
    </w:p>
    <w:p>
      <w:pPr>
        <w:pStyle w:val="BodyText"/>
        <w:spacing w:line="240" w:lineRule="auto" w:before="46"/>
        <w:ind w:left="780" w:right="0"/>
        <w:jc w:val="left"/>
      </w:pPr>
      <w:r>
        <w:rPr>
          <w:rFonts w:ascii="Times New Roman" w:hAnsi="Times New Roman" w:cs="Times New Roman" w:eastAsia="Times New Roman" w:hint="default"/>
        </w:rPr>
        <w:t>1</w:t>
      </w:r>
      <w:r>
        <w:rPr>
          <w:spacing w:val="-48"/>
          <w:w w:val="90"/>
        </w:rPr>
        <w:t>、</w:t>
      </w:r>
      <w:r>
        <w:rPr>
          <w:w w:val="90"/>
        </w:rPr>
        <w:t>公</w:t>
      </w:r>
      <w:r>
        <w:rPr>
          <w:spacing w:val="-99"/>
        </w:rPr>
        <w:t> </w:t>
      </w:r>
      <w:r>
        <w:rPr>
          <w:spacing w:val="23"/>
          <w:w w:val="90"/>
        </w:rPr>
        <w:t>司</w:t>
      </w:r>
      <w:r>
        <w:rPr>
          <w:w w:val="90"/>
        </w:rPr>
        <w:t>依</w:t>
      </w:r>
      <w:r>
        <w:rPr>
          <w:spacing w:val="-97"/>
        </w:rPr>
        <w:t> </w:t>
      </w:r>
      <w:r>
        <w:rPr>
          <w:spacing w:val="-50"/>
          <w:w w:val="90"/>
        </w:rPr>
        <w:t>据</w:t>
      </w:r>
      <w:r>
        <w:rPr>
          <w:w w:val="90"/>
        </w:rPr>
        <w:t>《</w:t>
      </w:r>
      <w:r>
        <w:rPr>
          <w:spacing w:val="-97"/>
        </w:rPr>
        <w:t> </w:t>
      </w:r>
      <w:r>
        <w:rPr>
          <w:spacing w:val="23"/>
          <w:w w:val="90"/>
        </w:rPr>
        <w:t>公司</w:t>
      </w:r>
      <w:r>
        <w:rPr>
          <w:w w:val="90"/>
        </w:rPr>
        <w:t>法</w:t>
      </w:r>
      <w:r>
        <w:rPr>
          <w:spacing w:val="-97"/>
        </w:rPr>
        <w:t> </w:t>
      </w:r>
      <w:r>
        <w:rPr>
          <w:spacing w:val="-93"/>
          <w:w w:val="90"/>
        </w:rPr>
        <w:t>》</w:t>
      </w:r>
      <w:r>
        <w:rPr>
          <w:spacing w:val="-171"/>
          <w:w w:val="90"/>
        </w:rPr>
        <w:t>、</w:t>
      </w:r>
      <w:r>
        <w:rPr>
          <w:w w:val="90"/>
        </w:rPr>
        <w:t>《</w:t>
      </w:r>
      <w:r>
        <w:rPr>
          <w:spacing w:val="-99"/>
        </w:rPr>
        <w:t> </w:t>
      </w:r>
      <w:r>
        <w:rPr>
          <w:spacing w:val="23"/>
          <w:w w:val="90"/>
        </w:rPr>
        <w:t>证券</w:t>
      </w:r>
      <w:r>
        <w:rPr>
          <w:w w:val="90"/>
        </w:rPr>
        <w:t>法</w:t>
      </w:r>
      <w:r>
        <w:rPr>
          <w:spacing w:val="-97"/>
        </w:rPr>
        <w:t> </w:t>
      </w:r>
      <w:r>
        <w:rPr>
          <w:spacing w:val="-93"/>
          <w:w w:val="90"/>
        </w:rPr>
        <w:t>》</w:t>
      </w:r>
      <w:r>
        <w:rPr>
          <w:spacing w:val="-171"/>
          <w:w w:val="90"/>
        </w:rPr>
        <w:t>、</w:t>
      </w:r>
      <w:r>
        <w:rPr>
          <w:w w:val="90"/>
        </w:rPr>
        <w:t>《</w:t>
      </w:r>
      <w:r>
        <w:rPr>
          <w:spacing w:val="-99"/>
        </w:rPr>
        <w:t> </w:t>
      </w:r>
      <w:r>
        <w:rPr>
          <w:spacing w:val="23"/>
          <w:w w:val="90"/>
        </w:rPr>
        <w:t>深圳证券交易所上市公司内部控制</w:t>
      </w:r>
      <w:r>
        <w:rPr>
          <w:spacing w:val="25"/>
          <w:w w:val="90"/>
        </w:rPr>
        <w:t>指</w:t>
      </w:r>
      <w:r>
        <w:rPr>
          <w:w w:val="67"/>
        </w:rPr>
        <w:t>引</w:t>
      </w:r>
      <w:r>
        <w:rPr>
          <w:spacing w:val="-42"/>
        </w:rPr>
        <w:t> </w:t>
      </w:r>
      <w:r>
        <w:rPr>
          <w:spacing w:val="-39"/>
          <w:w w:val="67"/>
        </w:rPr>
        <w:t>》</w:t>
      </w:r>
      <w:r>
        <w:rPr>
          <w:w w:val="67"/>
        </w:rPr>
        <w:t>、</w:t>
      </w:r>
      <w:r>
        <w:rPr/>
      </w:r>
    </w:p>
    <w:p>
      <w:pPr>
        <w:pStyle w:val="BodyText"/>
        <w:spacing w:line="350" w:lineRule="auto" w:before="135"/>
        <w:ind w:right="205"/>
        <w:jc w:val="both"/>
      </w:pPr>
      <w:r>
        <w:rPr/>
        <w:t>《企业内部控制基本规范》等相关法律、法规的规定，以及自身经营特点和管理</w:t>
      </w:r>
      <w:r>
        <w:rPr>
          <w:spacing w:val="-91"/>
        </w:rPr>
        <w:t> </w:t>
      </w:r>
      <w:r>
        <w:rPr>
          <w:spacing w:val="-91"/>
        </w:rPr>
      </w:r>
      <w:r>
        <w:rPr/>
        <w:t>需要，在充分考虑控制环境、风险评估、控制活动、信息沟通、监督等内控组成</w:t>
      </w:r>
      <w:r>
        <w:rPr>
          <w:spacing w:val="-91"/>
        </w:rPr>
        <w:t> </w:t>
      </w:r>
      <w:r>
        <w:rPr>
          <w:spacing w:val="-91"/>
        </w:rPr>
      </w:r>
      <w:r>
        <w:rPr/>
        <w:t>要素的基础上，建立起了一套较为完善的内部控制制度。</w:t>
      </w:r>
      <w:r>
        <w:rPr>
          <w:rFonts w:ascii="Times New Roman" w:hAnsi="Times New Roman" w:cs="Times New Roman" w:eastAsia="Times New Roman" w:hint="default"/>
        </w:rPr>
        <w:t>2009 </w:t>
      </w:r>
      <w:r>
        <w:rPr/>
        <w:t>年度公司通过推行 全面风险管理体系建设，进一步完善内部控制制度和优化业务流程，保证所有重</w:t>
      </w:r>
      <w:r>
        <w:rPr>
          <w:spacing w:val="-91"/>
        </w:rPr>
        <w:t> </w:t>
      </w:r>
      <w:r>
        <w:rPr>
          <w:spacing w:val="-91"/>
        </w:rPr>
      </w:r>
      <w:r>
        <w:rPr/>
        <w:t>要控制环节得到有效控制。</w:t>
      </w:r>
      <w:r>
        <w:rPr>
          <w:rFonts w:ascii="Times New Roman" w:hAnsi="Times New Roman" w:cs="Times New Roman" w:eastAsia="Times New Roman" w:hint="default"/>
        </w:rPr>
        <w:t>2009 </w:t>
      </w:r>
      <w:r>
        <w:rPr/>
        <w:t>年，公司未有违反财政部、证监会等部门联合发 布的《企业内部控制基本规范》和深圳证券交易所《上市公司内部控制指引》及</w:t>
      </w:r>
      <w:r>
        <w:rPr>
          <w:spacing w:val="-91"/>
        </w:rPr>
        <w:t> </w:t>
      </w:r>
      <w:r>
        <w:rPr>
          <w:spacing w:val="-91"/>
        </w:rPr>
      </w:r>
      <w:r>
        <w:rPr/>
        <w:t>公司相关内部控制制度的情形。</w:t>
      </w:r>
    </w:p>
    <w:p>
      <w:pPr>
        <w:pStyle w:val="BodyText"/>
        <w:spacing w:line="338" w:lineRule="auto" w:before="43"/>
        <w:ind w:right="205" w:firstLine="480"/>
        <w:jc w:val="both"/>
      </w:pPr>
      <w:r>
        <w:rPr>
          <w:rFonts w:ascii="Times New Roman" w:hAnsi="Times New Roman" w:cs="Times New Roman" w:eastAsia="Times New Roman" w:hint="default"/>
          <w:spacing w:val="-2"/>
        </w:rPr>
        <w:t>2</w:t>
      </w:r>
      <w:r>
        <w:rPr>
          <w:spacing w:val="-2"/>
        </w:rPr>
        <w:t>、公司内部控制组织机构完整，内部审计部门及人员配备齐全到位，保证了</w:t>
      </w:r>
      <w:r>
        <w:rPr/>
        <w:t> 公司内部控制重点活动的执行及监督充分有效。</w:t>
      </w:r>
    </w:p>
    <w:p>
      <w:pPr>
        <w:pStyle w:val="BodyText"/>
        <w:spacing w:line="357" w:lineRule="auto" w:before="55"/>
        <w:ind w:right="230" w:firstLine="480"/>
        <w:jc w:val="both"/>
      </w:pPr>
      <w:r>
        <w:rPr/>
        <w:t>综上所述，监事会认为公司内部控制自我评价全面、真实、准确，客观反映 了公司内部控制的实际情况。</w:t>
      </w:r>
    </w:p>
    <w:p>
      <w:pPr>
        <w:spacing w:line="312" w:lineRule="auto" w:before="36"/>
        <w:ind w:left="780"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五、公司独立董事对公司内部控制自我评价的意见</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pacing w:val="3"/>
          <w:sz w:val="24"/>
          <w:szCs w:val="24"/>
        </w:rPr>
        <w:t>报告期内，公司修订了《章程》，制定了《会计师事务所选聘管理办法》、</w:t>
      </w:r>
    </w:p>
    <w:p>
      <w:pPr>
        <w:pStyle w:val="BodyText"/>
        <w:spacing w:line="357" w:lineRule="auto" w:before="82"/>
        <w:ind w:right="0"/>
        <w:jc w:val="left"/>
      </w:pPr>
      <w:r>
        <w:rPr/>
        <w:t>《内幕信息知情人登记制度》等规章制度。公司按照财政部、证监会等部门联合</w:t>
      </w:r>
      <w:r>
        <w:rPr>
          <w:spacing w:val="-91"/>
        </w:rPr>
        <w:t> </w:t>
      </w:r>
      <w:r>
        <w:rPr>
          <w:spacing w:val="-91"/>
        </w:rPr>
      </w:r>
      <w:r>
        <w:rPr>
          <w:spacing w:val="3"/>
        </w:rPr>
        <w:t>发布的《企业内部控制基本规范》、深圳证券交易所《上市公司内部控制指引》</w:t>
      </w:r>
    </w:p>
    <w:p>
      <w:pPr>
        <w:spacing w:after="0" w:line="357" w:lineRule="auto"/>
        <w:jc w:val="left"/>
        <w:sectPr>
          <w:headerReference w:type="default" r:id="rId59"/>
          <w:footerReference w:type="default" r:id="rId60"/>
          <w:pgSz w:w="11910" w:h="16840"/>
          <w:pgMar w:header="0" w:footer="1095" w:top="1180" w:bottom="1280" w:left="1680" w:right="1260"/>
          <w:pgNumType w:start="34"/>
        </w:sectPr>
      </w:pPr>
    </w:p>
    <w:p>
      <w:pPr>
        <w:pStyle w:val="BodyText"/>
        <w:spacing w:line="357" w:lineRule="auto" w:before="13"/>
        <w:ind w:right="229"/>
        <w:jc w:val="both"/>
      </w:pPr>
      <w:r>
        <w:rPr/>
        <w:t>的等规定，形成了以公司环境控制制度、业务控制制度、会计系统控制制度、信</w:t>
      </w:r>
      <w:r>
        <w:rPr>
          <w:spacing w:val="-91"/>
        </w:rPr>
        <w:t> </w:t>
      </w:r>
      <w:r>
        <w:rPr>
          <w:spacing w:val="-91"/>
        </w:rPr>
      </w:r>
      <w:r>
        <w:rPr/>
        <w:t>息系统控制制度、信息传递控制制度、内部审计控制制度为基础的公司内部控制</w:t>
      </w:r>
      <w:r>
        <w:rPr>
          <w:spacing w:val="-91"/>
        </w:rPr>
        <w:t> </w:t>
      </w:r>
      <w:r>
        <w:rPr>
          <w:spacing w:val="-91"/>
        </w:rPr>
      </w:r>
      <w:r>
        <w:rPr/>
        <w:t>制度体系。该内控体系能够适应公司管理的要求和公司发展的需要，能够对编制</w:t>
      </w:r>
      <w:r>
        <w:rPr>
          <w:spacing w:val="-91"/>
        </w:rPr>
        <w:t> </w:t>
      </w:r>
      <w:r>
        <w:rPr>
          <w:spacing w:val="-91"/>
        </w:rPr>
      </w:r>
      <w:r>
        <w:rPr/>
        <w:t>真实、公允的财务报表提供必要的保证，能够对公司各项业务活动的持续健康运</w:t>
      </w:r>
      <w:r>
        <w:rPr>
          <w:spacing w:val="-91"/>
        </w:rPr>
        <w:t> </w:t>
      </w:r>
      <w:r>
        <w:rPr>
          <w:spacing w:val="-91"/>
        </w:rPr>
      </w:r>
      <w:r>
        <w:rPr/>
        <w:t>行及国家有关法律法规和规章制度的贯彻执行提供必要的保证。</w:t>
      </w:r>
    </w:p>
    <w:p>
      <w:pPr>
        <w:pStyle w:val="BodyText"/>
        <w:spacing w:line="357" w:lineRule="auto"/>
        <w:ind w:right="201" w:firstLine="480"/>
        <w:jc w:val="both"/>
      </w:pPr>
      <w:r>
        <w:rPr/>
        <w:t>公司内部控制重点活动按公司内部控制各项制度的规定进行，公司对食品安 </w:t>
      </w:r>
      <w:r>
        <w:rPr>
          <w:spacing w:val="-2"/>
          <w:w w:val="95"/>
        </w:rPr>
        <w:t>全、资金管理、对外投资、资产处置与管理、成本费用控制及财务收支、子公司、</w:t>
      </w:r>
      <w:r>
        <w:rPr>
          <w:spacing w:val="93"/>
          <w:w w:val="95"/>
        </w:rPr>
        <w:t> </w:t>
      </w:r>
      <w:r>
        <w:rPr>
          <w:spacing w:val="93"/>
          <w:w w:val="95"/>
        </w:rPr>
      </w:r>
      <w:r>
        <w:rPr/>
        <w:t>信息披露等方面的内部控制充分、有效，保证了公司经营管理的正常进行。</w:t>
      </w:r>
    </w:p>
    <w:p>
      <w:pPr>
        <w:pStyle w:val="BodyText"/>
        <w:spacing w:line="357" w:lineRule="auto"/>
        <w:ind w:right="206" w:firstLine="480"/>
        <w:jc w:val="both"/>
      </w:pPr>
      <w:r>
        <w:rPr/>
        <w:t>公司</w:t>
      </w:r>
      <w:r>
        <w:rPr>
          <w:spacing w:val="-46"/>
        </w:rPr>
        <w:t> </w:t>
      </w:r>
      <w:r>
        <w:rPr/>
        <w:t>2009</w:t>
      </w:r>
      <w:r>
        <w:rPr>
          <w:spacing w:val="-49"/>
        </w:rPr>
        <w:t> </w:t>
      </w:r>
      <w:r>
        <w:rPr/>
        <w:t>年度内部控制自我评价报告符合公司</w:t>
      </w:r>
      <w:r>
        <w:rPr>
          <w:spacing w:val="-54"/>
        </w:rPr>
        <w:t> </w:t>
      </w:r>
      <w:r>
        <w:rPr/>
        <w:t>2009</w:t>
      </w:r>
      <w:r>
        <w:rPr>
          <w:spacing w:val="-49"/>
        </w:rPr>
        <w:t> </w:t>
      </w:r>
      <w:r>
        <w:rPr/>
        <w:t>年度内部控制的实际情</w:t>
      </w:r>
      <w:r>
        <w:rPr/>
        <w:t> 况。</w:t>
      </w:r>
    </w:p>
    <w:p>
      <w:pPr>
        <w:pStyle w:val="Heading5"/>
        <w:spacing w:line="378" w:lineRule="exact"/>
        <w:ind w:right="0"/>
        <w:jc w:val="left"/>
        <w:rPr>
          <w:b w:val="0"/>
          <w:bCs w:val="0"/>
        </w:rPr>
      </w:pPr>
      <w:bookmarkStart w:name="第五节报告期内对公司高级管理人员的考评及激励情况" w:id="13"/>
      <w:bookmarkEnd w:id="13"/>
      <w:r>
        <w:rPr>
          <w:b w:val="0"/>
          <w:bCs w:val="0"/>
        </w:rPr>
      </w:r>
      <w:r>
        <w:rPr/>
        <w:t>第五节 </w:t>
      </w:r>
      <w:r>
        <w:rPr>
          <w:spacing w:val="19"/>
        </w:rPr>
        <w:t> </w:t>
      </w:r>
      <w:r>
        <w:rPr/>
        <w:t>报告期内对公司高级管理人员的考评及激励情况</w:t>
      </w:r>
      <w:r>
        <w:rPr>
          <w:b w:val="0"/>
          <w:bCs w:val="0"/>
        </w:rPr>
      </w:r>
    </w:p>
    <w:p>
      <w:pPr>
        <w:pStyle w:val="BodyText"/>
        <w:spacing w:line="357" w:lineRule="auto" w:before="126"/>
        <w:ind w:right="201" w:firstLine="480"/>
        <w:jc w:val="both"/>
      </w:pPr>
      <w:r>
        <w:rPr/>
        <w:t>公司高级管理人员的考核及激励机制以公司年度业绩考核指标为基础。公司 高级管理人员在年初根据上一年的经营业绩、业绩考核指标达成情况以及当年经</w:t>
      </w:r>
      <w:r>
        <w:rPr>
          <w:spacing w:val="-91"/>
        </w:rPr>
        <w:t> </w:t>
      </w:r>
      <w:r>
        <w:rPr>
          <w:spacing w:val="-91"/>
        </w:rPr>
      </w:r>
      <w:r>
        <w:rPr/>
        <w:t>营发展计划确定年度的业绩考核指标，并与董事会薪酬与考核委员会签订《年度</w:t>
      </w:r>
      <w:r>
        <w:rPr>
          <w:spacing w:val="-91"/>
        </w:rPr>
        <w:t> </w:t>
      </w:r>
      <w:r>
        <w:rPr>
          <w:spacing w:val="-91"/>
        </w:rPr>
      </w:r>
      <w:r>
        <w:rPr>
          <w:spacing w:val="-2"/>
          <w:w w:val="95"/>
        </w:rPr>
        <w:t>经营业绩责任书》。每年度，公司通过年度述职会议，对高级管理人员进行考评，</w:t>
      </w:r>
      <w:r>
        <w:rPr>
          <w:spacing w:val="95"/>
          <w:w w:val="95"/>
        </w:rPr>
        <w:t> </w:t>
      </w:r>
      <w:r>
        <w:rPr>
          <w:spacing w:val="95"/>
          <w:w w:val="95"/>
        </w:rPr>
      </w:r>
      <w:r>
        <w:rPr/>
        <w:t>主要考核高级管理人员经营业绩指标及管理目标的达成情况，考评结果作为确定</w:t>
      </w:r>
      <w:r>
        <w:rPr>
          <w:spacing w:val="-91"/>
        </w:rPr>
        <w:t> </w:t>
      </w:r>
      <w:r>
        <w:rPr>
          <w:spacing w:val="-91"/>
        </w:rPr>
      </w:r>
      <w:r>
        <w:rPr/>
        <w:t>高级管理人员绩效工资的依据。公司董事会薪酬与考核委员会负责公司高管人员</w:t>
      </w:r>
      <w:r>
        <w:rPr>
          <w:spacing w:val="-91"/>
        </w:rPr>
        <w:t> </w:t>
      </w:r>
      <w:r>
        <w:rPr>
          <w:spacing w:val="-91"/>
        </w:rPr>
      </w:r>
      <w:r>
        <w:rPr>
          <w:spacing w:val="-4"/>
        </w:rPr>
        <w:t>的考核及激励机制的建立和实施。2010</w:t>
      </w:r>
      <w:r>
        <w:rPr>
          <w:spacing w:val="-55"/>
        </w:rPr>
        <w:t> </w:t>
      </w:r>
      <w:r>
        <w:rPr/>
        <w:t>年</w:t>
      </w:r>
      <w:r>
        <w:rPr>
          <w:spacing w:val="-55"/>
        </w:rPr>
        <w:t> </w:t>
      </w:r>
      <w:r>
        <w:rPr/>
        <w:t>3</w:t>
      </w:r>
      <w:r>
        <w:rPr>
          <w:spacing w:val="-55"/>
        </w:rPr>
        <w:t> </w:t>
      </w:r>
      <w:r>
        <w:rPr/>
        <w:t>月</w:t>
      </w:r>
      <w:r>
        <w:rPr>
          <w:spacing w:val="-55"/>
        </w:rPr>
        <w:t> </w:t>
      </w:r>
      <w:r>
        <w:rPr/>
        <w:t>26</w:t>
      </w:r>
      <w:r>
        <w:rPr>
          <w:spacing w:val="-55"/>
        </w:rPr>
        <w:t> </w:t>
      </w:r>
      <w:r>
        <w:rPr>
          <w:spacing w:val="-5"/>
        </w:rPr>
        <w:t>日，公司召开第六届董事会薪酬</w:t>
      </w:r>
    </w:p>
    <w:p>
      <w:pPr>
        <w:pStyle w:val="BodyText"/>
        <w:spacing w:line="357" w:lineRule="auto"/>
        <w:ind w:left="0" w:right="205"/>
        <w:jc w:val="right"/>
      </w:pPr>
      <w:r>
        <w:rPr>
          <w:spacing w:val="-4"/>
        </w:rPr>
        <w:t>与考核委员会第一次会议，听取公司高管人员</w:t>
      </w:r>
      <w:r>
        <w:rPr>
          <w:spacing w:val="-51"/>
        </w:rPr>
        <w:t> </w:t>
      </w:r>
      <w:r>
        <w:rPr/>
        <w:t>2009</w:t>
      </w:r>
      <w:r>
        <w:rPr>
          <w:spacing w:val="-51"/>
        </w:rPr>
        <w:t> </w:t>
      </w:r>
      <w:r>
        <w:rPr/>
        <w:t>年度述职报告并对其进行年度</w:t>
      </w:r>
      <w:r>
        <w:rPr/>
        <w:t> 考评，根据业绩考核结果及薪酬分配政策提出董事和高管人员的绩效工资方案。 公司还通过实施股票期权激励计划，建立股东与高管团队之间利益共享的激</w:t>
      </w:r>
    </w:p>
    <w:p>
      <w:pPr>
        <w:pStyle w:val="BodyText"/>
        <w:spacing w:line="357" w:lineRule="auto"/>
        <w:ind w:right="0"/>
        <w:jc w:val="left"/>
      </w:pPr>
      <w:r>
        <w:rPr>
          <w:spacing w:val="3"/>
        </w:rPr>
        <w:t>励约束机制，进一步建立健全高级管理人员薪酬与考核制度及激励与约束制度。</w:t>
      </w:r>
      <w:r>
        <w:rPr>
          <w:spacing w:val="-96"/>
        </w:rPr>
        <w:t> </w:t>
      </w:r>
      <w:r>
        <w:rPr>
          <w:spacing w:val="-96"/>
        </w:rPr>
      </w:r>
      <w:r>
        <w:rPr/>
        <w:t>根</w:t>
      </w:r>
      <w:r>
        <w:rPr>
          <w:spacing w:val="-89"/>
        </w:rPr>
        <w:t> </w:t>
      </w:r>
      <w:r>
        <w:rPr/>
        <w:t>据</w:t>
      </w:r>
      <w:r>
        <w:rPr>
          <w:spacing w:val="-89"/>
        </w:rPr>
        <w:t> </w:t>
      </w:r>
      <w:r>
        <w:rPr/>
        <w:t>公</w:t>
      </w:r>
      <w:r>
        <w:rPr>
          <w:spacing w:val="-87"/>
        </w:rPr>
        <w:t> </w:t>
      </w:r>
      <w:r>
        <w:rPr/>
        <w:t>司</w:t>
      </w:r>
      <w:r>
        <w:rPr>
          <w:spacing w:val="-89"/>
        </w:rPr>
        <w:t> </w:t>
      </w:r>
      <w:r>
        <w:rPr/>
        <w:t>股</w:t>
      </w:r>
      <w:r>
        <w:rPr>
          <w:spacing w:val="-87"/>
        </w:rPr>
        <w:t> </w:t>
      </w:r>
      <w:r>
        <w:rPr/>
        <w:t>改</w:t>
      </w:r>
      <w:r>
        <w:rPr>
          <w:spacing w:val="-89"/>
        </w:rPr>
        <w:t> </w:t>
      </w:r>
      <w:r>
        <w:rPr/>
        <w:t>方</w:t>
      </w:r>
      <w:r>
        <w:rPr>
          <w:spacing w:val="-87"/>
        </w:rPr>
        <w:t> </w:t>
      </w:r>
      <w:r>
        <w:rPr/>
        <w:t>案</w:t>
      </w:r>
      <w:r>
        <w:rPr>
          <w:spacing w:val="-89"/>
        </w:rPr>
        <w:t> </w:t>
      </w:r>
      <w:r>
        <w:rPr/>
        <w:t>，</w:t>
      </w:r>
      <w:r>
        <w:rPr>
          <w:spacing w:val="-80"/>
        </w:rPr>
        <w:t> </w:t>
      </w:r>
      <w:r>
        <w:rPr/>
        <w:t>11</w:t>
      </w:r>
      <w:r>
        <w:rPr>
          <w:spacing w:val="-27"/>
        </w:rPr>
        <w:t> </w:t>
      </w:r>
      <w:r>
        <w:rPr/>
        <w:t>家</w:t>
      </w:r>
      <w:r>
        <w:rPr>
          <w:spacing w:val="-89"/>
        </w:rPr>
        <w:t> </w:t>
      </w:r>
      <w:r>
        <w:rPr/>
        <w:t>法</w:t>
      </w:r>
      <w:r>
        <w:rPr>
          <w:spacing w:val="-89"/>
        </w:rPr>
        <w:t> </w:t>
      </w:r>
      <w:r>
        <w:rPr/>
        <w:t>人</w:t>
      </w:r>
      <w:r>
        <w:rPr>
          <w:spacing w:val="-87"/>
        </w:rPr>
        <w:t> </w:t>
      </w:r>
      <w:r>
        <w:rPr/>
        <w:t>股</w:t>
      </w:r>
      <w:r>
        <w:rPr>
          <w:spacing w:val="-89"/>
        </w:rPr>
        <w:t> </w:t>
      </w:r>
      <w:r>
        <w:rPr/>
        <w:t>股</w:t>
      </w:r>
      <w:r>
        <w:rPr>
          <w:spacing w:val="-87"/>
        </w:rPr>
        <w:t> </w:t>
      </w:r>
      <w:r>
        <w:rPr/>
        <w:t>东</w:t>
      </w:r>
      <w:r>
        <w:rPr>
          <w:spacing w:val="-89"/>
        </w:rPr>
        <w:t> </w:t>
      </w:r>
      <w:r>
        <w:rPr/>
        <w:t>将</w:t>
      </w:r>
      <w:r>
        <w:rPr>
          <w:spacing w:val="-87"/>
        </w:rPr>
        <w:t> </w:t>
      </w:r>
      <w:r>
        <w:rPr/>
        <w:t>其</w:t>
      </w:r>
      <w:r>
        <w:rPr>
          <w:spacing w:val="-89"/>
        </w:rPr>
        <w:t> </w:t>
      </w:r>
      <w:r>
        <w:rPr/>
        <w:t>拥</w:t>
      </w:r>
      <w:r>
        <w:rPr>
          <w:spacing w:val="-87"/>
        </w:rPr>
        <w:t> </w:t>
      </w:r>
      <w:r>
        <w:rPr/>
        <w:t>有</w:t>
      </w:r>
      <w:r>
        <w:rPr>
          <w:spacing w:val="-89"/>
        </w:rPr>
        <w:t> </w:t>
      </w:r>
      <w:r>
        <w:rPr/>
        <w:t>的</w:t>
      </w:r>
      <w:r>
        <w:rPr>
          <w:spacing w:val="-87"/>
        </w:rPr>
        <w:t> </w:t>
      </w:r>
      <w:r>
        <w:rPr/>
        <w:t>农</w:t>
      </w:r>
      <w:r>
        <w:rPr>
          <w:spacing w:val="-89"/>
        </w:rPr>
        <w:t> </w:t>
      </w:r>
      <w:r>
        <w:rPr/>
        <w:t>产</w:t>
      </w:r>
      <w:r>
        <w:rPr>
          <w:spacing w:val="-87"/>
        </w:rPr>
        <w:t> </w:t>
      </w:r>
      <w:r>
        <w:rPr/>
        <w:t>品</w:t>
      </w:r>
      <w:r>
        <w:rPr>
          <w:spacing w:val="-89"/>
        </w:rPr>
        <w:t> </w:t>
      </w:r>
      <w:r>
        <w:rPr/>
        <w:t>股</w:t>
      </w:r>
      <w:r>
        <w:rPr>
          <w:spacing w:val="-87"/>
        </w:rPr>
        <w:t> </w:t>
      </w:r>
      <w:r>
        <w:rPr/>
        <w:t>份</w:t>
      </w:r>
      <w:r>
        <w:rPr>
          <w:spacing w:val="-89"/>
        </w:rPr>
        <w:t> </w:t>
      </w:r>
      <w:r>
        <w:rPr/>
        <w:t>的</w:t>
      </w:r>
      <w:r>
        <w:rPr>
          <w:spacing w:val="-17"/>
        </w:rPr>
        <w:t> </w:t>
      </w:r>
      <w:r>
        <w:rPr/>
        <w:t>50%</w:t>
      </w:r>
      <w:r>
        <w:rPr>
          <w:spacing w:val="-87"/>
        </w:rPr>
        <w:t> </w:t>
      </w:r>
      <w:r>
        <w:rPr/>
        <w:t>合</w:t>
      </w:r>
      <w:r>
        <w:rPr>
          <w:spacing w:val="-89"/>
        </w:rPr>
        <w:t> </w:t>
      </w:r>
      <w:r>
        <w:rPr/>
        <w:t>计</w:t>
      </w:r>
      <w:r>
        <w:rPr/>
        <w:t> 26,204,253</w:t>
      </w:r>
      <w:r>
        <w:rPr>
          <w:spacing w:val="-57"/>
        </w:rPr>
        <w:t> </w:t>
      </w:r>
      <w:r>
        <w:rPr>
          <w:spacing w:val="-4"/>
        </w:rPr>
        <w:t>股过户至深圳市国际信托投资有限公司,作为对公司管理层、核心业务</w:t>
      </w:r>
    </w:p>
    <w:p>
      <w:pPr>
        <w:pStyle w:val="BodyText"/>
        <w:spacing w:line="357" w:lineRule="auto"/>
        <w:ind w:right="205"/>
        <w:jc w:val="both"/>
      </w:pPr>
      <w:r>
        <w:rPr>
          <w:spacing w:val="-3"/>
        </w:rPr>
        <w:t>骨干建立长期激励约束制度的股份来源。2008</w:t>
      </w:r>
      <w:r>
        <w:rPr>
          <w:spacing w:val="-58"/>
        </w:rPr>
        <w:t> </w:t>
      </w:r>
      <w:r>
        <w:rPr/>
        <w:t>年</w:t>
      </w:r>
      <w:r>
        <w:rPr>
          <w:spacing w:val="-58"/>
        </w:rPr>
        <w:t> </w:t>
      </w:r>
      <w:r>
        <w:rPr/>
        <w:t>8</w:t>
      </w:r>
      <w:r>
        <w:rPr>
          <w:spacing w:val="-58"/>
        </w:rPr>
        <w:t> </w:t>
      </w:r>
      <w:r>
        <w:rPr/>
        <w:t>月</w:t>
      </w:r>
      <w:r>
        <w:rPr>
          <w:spacing w:val="-58"/>
        </w:rPr>
        <w:t> </w:t>
      </w:r>
      <w:r>
        <w:rPr/>
        <w:t>25</w:t>
      </w:r>
      <w:r>
        <w:rPr>
          <w:spacing w:val="-58"/>
        </w:rPr>
        <w:t> </w:t>
      </w:r>
      <w:r>
        <w:rPr>
          <w:spacing w:val="-6"/>
        </w:rPr>
        <w:t>日，公司在中国证券登记</w:t>
      </w:r>
      <w:r>
        <w:rPr/>
        <w:t> 结算有限责任公司深圳分公司办理完成了农产品股权分置改革集合财产信托股权</w:t>
      </w:r>
      <w:r>
        <w:rPr>
          <w:spacing w:val="-91"/>
        </w:rPr>
        <w:t> </w:t>
      </w:r>
      <w:r>
        <w:rPr>
          <w:spacing w:val="-91"/>
        </w:rPr>
      </w:r>
      <w:r>
        <w:rPr/>
        <w:t>过户至激励对象名下的相关手续。根据中国证监会相关规定，公司董事、监事及</w:t>
      </w:r>
      <w:r>
        <w:rPr>
          <w:spacing w:val="-91"/>
        </w:rPr>
        <w:t> </w:t>
      </w:r>
      <w:r>
        <w:rPr>
          <w:spacing w:val="-91"/>
        </w:rPr>
      </w:r>
      <w:r>
        <w:rPr/>
        <w:t>高管人员所持股份自过户之日（2008</w:t>
      </w:r>
      <w:r>
        <w:rPr>
          <w:spacing w:val="-60"/>
        </w:rPr>
        <w:t> </w:t>
      </w:r>
      <w:r>
        <w:rPr/>
        <w:t>年</w:t>
      </w:r>
      <w:r>
        <w:rPr>
          <w:spacing w:val="-60"/>
        </w:rPr>
        <w:t> </w:t>
      </w:r>
      <w:r>
        <w:rPr/>
        <w:t>8</w:t>
      </w:r>
      <w:r>
        <w:rPr>
          <w:spacing w:val="-60"/>
        </w:rPr>
        <w:t> </w:t>
      </w:r>
      <w:r>
        <w:rPr/>
        <w:t>月</w:t>
      </w:r>
      <w:r>
        <w:rPr>
          <w:spacing w:val="-60"/>
        </w:rPr>
        <w:t> </w:t>
      </w:r>
      <w:r>
        <w:rPr/>
        <w:t>25</w:t>
      </w:r>
      <w:r>
        <w:rPr>
          <w:spacing w:val="-60"/>
        </w:rPr>
        <w:t> </w:t>
      </w:r>
      <w:r>
        <w:rPr/>
        <w:t>日）起</w:t>
      </w:r>
      <w:r>
        <w:rPr>
          <w:spacing w:val="-60"/>
        </w:rPr>
        <w:t> </w:t>
      </w:r>
      <w:r>
        <w:rPr/>
        <w:t>6</w:t>
      </w:r>
      <w:r>
        <w:rPr>
          <w:spacing w:val="-60"/>
        </w:rPr>
        <w:t> </w:t>
      </w:r>
      <w:r>
        <w:rPr/>
        <w:t>个月之内不上市交易，6</w:t>
      </w:r>
      <w:r>
        <w:rPr/>
        <w:t> 个月之后按中国证监会的有关规定执行。</w:t>
      </w:r>
    </w:p>
    <w:p>
      <w:pPr>
        <w:spacing w:before="61"/>
        <w:ind w:left="7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报告期内，公司其他管理人员及业务骨干所持股权激励限制性股票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13,148,253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p>
    <w:p>
      <w:pPr>
        <w:spacing w:before="177"/>
        <w:ind w:left="300"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日解除限售；公司董事、监事、高级管理人员所持股权激励限制性股票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13,056,000</w:t>
      </w:r>
    </w:p>
    <w:p>
      <w:pPr>
        <w:spacing w:after="0"/>
        <w:jc w:val="both"/>
        <w:rPr>
          <w:rFonts w:ascii="Times New Roman" w:hAnsi="Times New Roman" w:cs="Times New Roman" w:eastAsia="Times New Roman" w:hint="default"/>
          <w:sz w:val="21"/>
          <w:szCs w:val="21"/>
        </w:rPr>
        <w:sectPr>
          <w:headerReference w:type="default" r:id="rId63"/>
          <w:footerReference w:type="default" r:id="rId64"/>
          <w:pgSz w:w="11910" w:h="16840"/>
          <w:pgMar w:header="0" w:footer="1095" w:top="1100" w:bottom="1280" w:left="1680" w:right="1260"/>
          <w:pgNumType w:start="35"/>
        </w:sectPr>
      </w:pPr>
    </w:p>
    <w:p>
      <w:pPr>
        <w:spacing w:before="18"/>
        <w:ind w:left="300" w:right="0" w:firstLine="0"/>
        <w:jc w:val="left"/>
        <w:rPr>
          <w:rFonts w:ascii="宋体" w:hAnsi="宋体" w:cs="宋体" w:eastAsia="宋体" w:hint="default"/>
          <w:sz w:val="21"/>
          <w:szCs w:val="21"/>
        </w:rPr>
      </w:pPr>
      <w:r>
        <w:rPr>
          <w:rFonts w:ascii="宋体" w:hAnsi="宋体" w:cs="宋体" w:eastAsia="宋体" w:hint="default"/>
          <w:sz w:val="21"/>
          <w:szCs w:val="21"/>
        </w:rPr>
        <w:t>股于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日解除限售。</w:t>
      </w:r>
    </w:p>
    <w:p>
      <w:pPr>
        <w:spacing w:line="240" w:lineRule="auto" w:before="3"/>
        <w:rPr>
          <w:rFonts w:ascii="宋体" w:hAnsi="宋体" w:cs="宋体" w:eastAsia="宋体" w:hint="default"/>
          <w:sz w:val="17"/>
          <w:szCs w:val="17"/>
        </w:rPr>
      </w:pPr>
    </w:p>
    <w:p>
      <w:pPr>
        <w:pStyle w:val="Heading4"/>
        <w:tabs>
          <w:tab w:pos="3975" w:val="left" w:leader="none"/>
        </w:tabs>
        <w:spacing w:line="240" w:lineRule="auto"/>
        <w:ind w:left="2852" w:right="0"/>
        <w:jc w:val="left"/>
      </w:pPr>
      <w:r>
        <w:rPr/>
        <w:t>第六章</w:t>
        <w:tab/>
        <w:t>股东大会情况简介</w:t>
      </w:r>
    </w:p>
    <w:p>
      <w:pPr>
        <w:spacing w:line="240" w:lineRule="auto" w:before="12"/>
        <w:rPr>
          <w:rFonts w:ascii="宋体" w:hAnsi="宋体" w:cs="宋体" w:eastAsia="宋体" w:hint="default"/>
          <w:sz w:val="19"/>
          <w:szCs w:val="19"/>
        </w:rPr>
      </w:pPr>
    </w:p>
    <w:p>
      <w:pPr>
        <w:pStyle w:val="BodyText"/>
        <w:spacing w:line="307" w:lineRule="auto" w:before="0"/>
        <w:ind w:left="777" w:right="0" w:firstLine="2"/>
        <w:jc w:val="left"/>
      </w:pPr>
      <w:r>
        <w:rPr/>
        <w:t>报告期内公司召开年度股东大会一次，临时股东大会六次，具体情况如下： </w:t>
      </w:r>
      <w:r>
        <w:rPr>
          <w:rFonts w:ascii="Microsoft JhengHei" w:hAnsi="Microsoft JhengHei" w:cs="Microsoft JhengHei" w:eastAsia="Microsoft JhengHei" w:hint="default"/>
          <w:b/>
          <w:bCs/>
        </w:rPr>
        <w:t>一、2009 年第一次临时股东大会 </w:t>
      </w:r>
      <w:r>
        <w:rPr>
          <w:spacing w:val="-2"/>
        </w:rPr>
        <w:t>公司2009年第一次临时股东大会于2009年3月10日召开，会议决议公告刊登在</w:t>
      </w:r>
    </w:p>
    <w:p>
      <w:pPr>
        <w:pStyle w:val="BodyText"/>
        <w:spacing w:line="357" w:lineRule="auto" w:before="86"/>
        <w:ind w:right="204"/>
        <w:jc w:val="left"/>
      </w:pPr>
      <w:r>
        <w:rPr>
          <w:spacing w:val="-2"/>
        </w:rPr>
        <w:t>2009年3月11日的《证券时报》、《中国证券报》、《上海证券报》及巨潮资讯网</w:t>
      </w:r>
      <w:r>
        <w:rPr>
          <w:spacing w:val="-107"/>
        </w:rPr>
        <w:t> </w:t>
      </w:r>
      <w:r>
        <w:rPr>
          <w:spacing w:val="-107"/>
        </w:rPr>
      </w:r>
      <w:r>
        <w:rPr/>
        <w:t>上。</w:t>
      </w:r>
    </w:p>
    <w:p>
      <w:pPr>
        <w:pStyle w:val="Heading5"/>
        <w:spacing w:line="301" w:lineRule="exact"/>
        <w:ind w:right="0"/>
        <w:jc w:val="left"/>
        <w:rPr>
          <w:b w:val="0"/>
          <w:bCs w:val="0"/>
        </w:rPr>
      </w:pPr>
      <w:r>
        <w:rPr>
          <w:w w:val="95"/>
        </w:rPr>
        <w:t>二、2008</w:t>
      </w:r>
      <w:r>
        <w:rPr>
          <w:spacing w:val="45"/>
          <w:w w:val="95"/>
        </w:rPr>
        <w:t> </w:t>
      </w:r>
      <w:r>
        <w:rPr>
          <w:w w:val="95"/>
        </w:rPr>
        <w:t>年度股东大会</w:t>
      </w:r>
      <w:r>
        <w:rPr>
          <w:b w:val="0"/>
          <w:bCs w:val="0"/>
          <w:w w:val="95"/>
        </w:rPr>
      </w:r>
    </w:p>
    <w:p>
      <w:pPr>
        <w:pStyle w:val="BodyText"/>
        <w:spacing w:line="357" w:lineRule="auto" w:before="203"/>
        <w:ind w:right="249" w:firstLine="477"/>
        <w:jc w:val="left"/>
      </w:pPr>
      <w:r>
        <w:rPr/>
        <w:t>公司2008年度股东大会于2009年5月15日召开，会议决议公告刊登在2009年5 月16日的《证券时报》、《中国证券报》、《上海证券报》及巨潮资讯网上。</w:t>
      </w:r>
    </w:p>
    <w:p>
      <w:pPr>
        <w:pStyle w:val="Heading5"/>
        <w:spacing w:line="378" w:lineRule="exact"/>
        <w:ind w:left="777" w:right="0"/>
        <w:jc w:val="left"/>
        <w:rPr>
          <w:b w:val="0"/>
          <w:bCs w:val="0"/>
        </w:rPr>
      </w:pPr>
      <w:r>
        <w:rPr>
          <w:rFonts w:ascii="宋体" w:hAnsi="宋体" w:cs="宋体" w:eastAsia="宋体" w:hint="default"/>
          <w:b w:val="0"/>
          <w:bCs w:val="0"/>
        </w:rPr>
        <w:t>三、</w:t>
      </w:r>
      <w:r>
        <w:rPr/>
        <w:t>2009年第二次临时股东大会</w:t>
      </w:r>
      <w:r>
        <w:rPr>
          <w:b w:val="0"/>
          <w:bCs w:val="0"/>
        </w:rPr>
      </w:r>
    </w:p>
    <w:p>
      <w:pPr>
        <w:pStyle w:val="BodyText"/>
        <w:spacing w:line="240" w:lineRule="auto" w:before="50"/>
        <w:ind w:left="780" w:right="0"/>
        <w:jc w:val="left"/>
      </w:pPr>
      <w:r>
        <w:rPr/>
        <w:t>公司</w:t>
      </w:r>
      <w:r>
        <w:rPr>
          <w:spacing w:val="-52"/>
        </w:rPr>
        <w:t> </w:t>
      </w:r>
      <w:r>
        <w:rPr/>
        <w:t>2009</w:t>
      </w:r>
      <w:r>
        <w:rPr>
          <w:spacing w:val="-54"/>
        </w:rPr>
        <w:t> </w:t>
      </w:r>
      <w:r>
        <w:rPr/>
        <w:t>年第二次临时股东大会于</w:t>
      </w:r>
      <w:r>
        <w:rPr>
          <w:spacing w:val="-56"/>
        </w:rPr>
        <w:t> </w:t>
      </w:r>
      <w:r>
        <w:rPr/>
        <w:t>2009</w:t>
      </w:r>
      <w:r>
        <w:rPr>
          <w:spacing w:val="-54"/>
        </w:rPr>
        <w:t> </w:t>
      </w:r>
      <w:r>
        <w:rPr/>
        <w:t>年</w:t>
      </w:r>
      <w:r>
        <w:rPr>
          <w:spacing w:val="-56"/>
        </w:rPr>
        <w:t> </w:t>
      </w:r>
      <w:r>
        <w:rPr/>
        <w:t>6</w:t>
      </w:r>
      <w:r>
        <w:rPr>
          <w:spacing w:val="-54"/>
        </w:rPr>
        <w:t> </w:t>
      </w:r>
      <w:r>
        <w:rPr/>
        <w:t>月</w:t>
      </w:r>
      <w:r>
        <w:rPr>
          <w:spacing w:val="-54"/>
        </w:rPr>
        <w:t> </w:t>
      </w:r>
      <w:r>
        <w:rPr/>
        <w:t>5</w:t>
      </w:r>
      <w:r>
        <w:rPr>
          <w:spacing w:val="-54"/>
        </w:rPr>
        <w:t> </w:t>
      </w:r>
      <w:r>
        <w:rPr/>
        <w:t>日召开，会议决议公告刊</w:t>
      </w:r>
    </w:p>
    <w:p>
      <w:pPr>
        <w:pStyle w:val="BodyText"/>
        <w:spacing w:line="357" w:lineRule="auto" w:before="154"/>
        <w:ind w:right="195"/>
        <w:jc w:val="left"/>
      </w:pPr>
      <w:r>
        <w:rPr/>
        <w:t>登在</w:t>
      </w:r>
      <w:r>
        <w:rPr>
          <w:spacing w:val="-58"/>
        </w:rPr>
        <w:t> </w:t>
      </w:r>
      <w:r>
        <w:rPr/>
        <w:t>2009</w:t>
      </w:r>
      <w:r>
        <w:rPr>
          <w:spacing w:val="-58"/>
        </w:rPr>
        <w:t> </w:t>
      </w:r>
      <w:r>
        <w:rPr/>
        <w:t>年</w:t>
      </w:r>
      <w:r>
        <w:rPr>
          <w:spacing w:val="-58"/>
        </w:rPr>
        <w:t> </w:t>
      </w:r>
      <w:r>
        <w:rPr/>
        <w:t>6</w:t>
      </w:r>
      <w:r>
        <w:rPr>
          <w:spacing w:val="-58"/>
        </w:rPr>
        <w:t> </w:t>
      </w:r>
      <w:r>
        <w:rPr/>
        <w:t>月</w:t>
      </w:r>
      <w:r>
        <w:rPr>
          <w:spacing w:val="-58"/>
        </w:rPr>
        <w:t> </w:t>
      </w:r>
      <w:r>
        <w:rPr/>
        <w:t>6</w:t>
      </w:r>
      <w:r>
        <w:rPr>
          <w:spacing w:val="-58"/>
        </w:rPr>
        <w:t> </w:t>
      </w:r>
      <w:r>
        <w:rPr>
          <w:spacing w:val="-3"/>
        </w:rPr>
        <w:t>日的《证券时报》、《中国证券报》、《上海证券报》及巨潮</w:t>
      </w:r>
      <w:r>
        <w:rPr/>
        <w:t> 资讯网上。</w:t>
      </w:r>
    </w:p>
    <w:p>
      <w:pPr>
        <w:pStyle w:val="Heading5"/>
        <w:spacing w:line="240" w:lineRule="auto" w:before="36"/>
        <w:ind w:left="777" w:right="0"/>
        <w:jc w:val="left"/>
        <w:rPr>
          <w:b w:val="0"/>
          <w:bCs w:val="0"/>
        </w:rPr>
      </w:pPr>
      <w:r>
        <w:rPr/>
        <w:t>四、2009年第三次临时股东大会</w:t>
      </w:r>
      <w:r>
        <w:rPr>
          <w:b w:val="0"/>
          <w:bCs w:val="0"/>
        </w:rPr>
      </w:r>
    </w:p>
    <w:p>
      <w:pPr>
        <w:pStyle w:val="BodyText"/>
        <w:spacing w:line="240" w:lineRule="auto" w:before="50"/>
        <w:ind w:left="780" w:right="0"/>
        <w:jc w:val="left"/>
      </w:pPr>
      <w:r>
        <w:rPr/>
        <w:t>公司</w:t>
      </w:r>
      <w:r>
        <w:rPr>
          <w:spacing w:val="-60"/>
        </w:rPr>
        <w:t> </w:t>
      </w:r>
      <w:r>
        <w:rPr/>
        <w:t>2009</w:t>
      </w:r>
      <w:r>
        <w:rPr>
          <w:spacing w:val="-60"/>
        </w:rPr>
        <w:t> </w:t>
      </w:r>
      <w:r>
        <w:rPr/>
        <w:t>年第三次临时股东大会于</w:t>
      </w:r>
      <w:r>
        <w:rPr>
          <w:spacing w:val="-60"/>
        </w:rPr>
        <w:t> </w:t>
      </w:r>
      <w:r>
        <w:rPr/>
        <w:t>2009</w:t>
      </w:r>
      <w:r>
        <w:rPr>
          <w:spacing w:val="-60"/>
        </w:rPr>
        <w:t> </w:t>
      </w:r>
      <w:r>
        <w:rPr/>
        <w:t>年</w:t>
      </w:r>
      <w:r>
        <w:rPr>
          <w:spacing w:val="-60"/>
        </w:rPr>
        <w:t> </w:t>
      </w:r>
      <w:r>
        <w:rPr/>
        <w:t>7</w:t>
      </w:r>
      <w:r>
        <w:rPr>
          <w:spacing w:val="-60"/>
        </w:rPr>
        <w:t> </w:t>
      </w:r>
      <w:r>
        <w:rPr/>
        <w:t>月</w:t>
      </w:r>
      <w:r>
        <w:rPr>
          <w:spacing w:val="-60"/>
        </w:rPr>
        <w:t> </w:t>
      </w:r>
      <w:r>
        <w:rPr/>
        <w:t>31</w:t>
      </w:r>
      <w:r>
        <w:rPr>
          <w:spacing w:val="-60"/>
        </w:rPr>
        <w:t> </w:t>
      </w:r>
      <w:r>
        <w:rPr>
          <w:spacing w:val="-6"/>
        </w:rPr>
        <w:t>日召开，会议决议公告刊</w:t>
      </w:r>
    </w:p>
    <w:p>
      <w:pPr>
        <w:pStyle w:val="BodyText"/>
        <w:spacing w:line="357" w:lineRule="auto" w:before="154"/>
        <w:ind w:right="195"/>
        <w:jc w:val="left"/>
      </w:pPr>
      <w:r>
        <w:rPr/>
        <w:t>登在</w:t>
      </w:r>
      <w:r>
        <w:rPr>
          <w:spacing w:val="-58"/>
        </w:rPr>
        <w:t> </w:t>
      </w:r>
      <w:r>
        <w:rPr/>
        <w:t>2009</w:t>
      </w:r>
      <w:r>
        <w:rPr>
          <w:spacing w:val="-58"/>
        </w:rPr>
        <w:t> </w:t>
      </w:r>
      <w:r>
        <w:rPr/>
        <w:t>年</w:t>
      </w:r>
      <w:r>
        <w:rPr>
          <w:spacing w:val="-58"/>
        </w:rPr>
        <w:t> </w:t>
      </w:r>
      <w:r>
        <w:rPr/>
        <w:t>8</w:t>
      </w:r>
      <w:r>
        <w:rPr>
          <w:spacing w:val="-58"/>
        </w:rPr>
        <w:t> </w:t>
      </w:r>
      <w:r>
        <w:rPr/>
        <w:t>月</w:t>
      </w:r>
      <w:r>
        <w:rPr>
          <w:spacing w:val="-58"/>
        </w:rPr>
        <w:t> </w:t>
      </w:r>
      <w:r>
        <w:rPr/>
        <w:t>1</w:t>
      </w:r>
      <w:r>
        <w:rPr>
          <w:spacing w:val="-58"/>
        </w:rPr>
        <w:t> </w:t>
      </w:r>
      <w:r>
        <w:rPr>
          <w:spacing w:val="-3"/>
        </w:rPr>
        <w:t>日的《证券时报》、《中国证券报》、《上海证券报》、《证</w:t>
      </w:r>
      <w:r>
        <w:rPr/>
        <w:t> 券日报》及巨潮资讯网上。</w:t>
      </w:r>
    </w:p>
    <w:p>
      <w:pPr>
        <w:pStyle w:val="Heading5"/>
        <w:spacing w:line="240" w:lineRule="auto" w:before="36"/>
        <w:ind w:left="777" w:right="0"/>
        <w:jc w:val="left"/>
        <w:rPr>
          <w:b w:val="0"/>
          <w:bCs w:val="0"/>
        </w:rPr>
      </w:pPr>
      <w:r>
        <w:rPr/>
        <w:t>五、2009年第四次临时股东大会</w:t>
      </w:r>
      <w:r>
        <w:rPr>
          <w:b w:val="0"/>
          <w:bCs w:val="0"/>
        </w:rPr>
      </w:r>
    </w:p>
    <w:p>
      <w:pPr>
        <w:pStyle w:val="BodyText"/>
        <w:spacing w:line="240" w:lineRule="auto" w:before="50"/>
        <w:ind w:left="780" w:right="0"/>
        <w:jc w:val="left"/>
      </w:pPr>
      <w:r>
        <w:rPr/>
        <w:t>公司</w:t>
      </w:r>
      <w:r>
        <w:rPr>
          <w:spacing w:val="-60"/>
        </w:rPr>
        <w:t> </w:t>
      </w:r>
      <w:r>
        <w:rPr/>
        <w:t>2009</w:t>
      </w:r>
      <w:r>
        <w:rPr>
          <w:spacing w:val="-60"/>
        </w:rPr>
        <w:t> </w:t>
      </w:r>
      <w:r>
        <w:rPr/>
        <w:t>年第四次临时股东大会于</w:t>
      </w:r>
      <w:r>
        <w:rPr>
          <w:spacing w:val="-60"/>
        </w:rPr>
        <w:t> </w:t>
      </w:r>
      <w:r>
        <w:rPr/>
        <w:t>2009</w:t>
      </w:r>
      <w:r>
        <w:rPr>
          <w:spacing w:val="-60"/>
        </w:rPr>
        <w:t> </w:t>
      </w:r>
      <w:r>
        <w:rPr/>
        <w:t>年</w:t>
      </w:r>
      <w:r>
        <w:rPr>
          <w:spacing w:val="-60"/>
        </w:rPr>
        <w:t> </w:t>
      </w:r>
      <w:r>
        <w:rPr/>
        <w:t>8</w:t>
      </w:r>
      <w:r>
        <w:rPr>
          <w:spacing w:val="-60"/>
        </w:rPr>
        <w:t> </w:t>
      </w:r>
      <w:r>
        <w:rPr/>
        <w:t>月</w:t>
      </w:r>
      <w:r>
        <w:rPr>
          <w:spacing w:val="-60"/>
        </w:rPr>
        <w:t> </w:t>
      </w:r>
      <w:r>
        <w:rPr/>
        <w:t>31</w:t>
      </w:r>
      <w:r>
        <w:rPr>
          <w:spacing w:val="-60"/>
        </w:rPr>
        <w:t> </w:t>
      </w:r>
      <w:r>
        <w:rPr>
          <w:spacing w:val="-6"/>
        </w:rPr>
        <w:t>日召开，会议决议公告刊</w:t>
      </w:r>
    </w:p>
    <w:p>
      <w:pPr>
        <w:pStyle w:val="BodyText"/>
        <w:spacing w:line="357" w:lineRule="auto" w:before="154"/>
        <w:ind w:right="195"/>
        <w:jc w:val="left"/>
      </w:pPr>
      <w:r>
        <w:rPr/>
        <w:t>登在</w:t>
      </w:r>
      <w:r>
        <w:rPr>
          <w:spacing w:val="-58"/>
        </w:rPr>
        <w:t> </w:t>
      </w:r>
      <w:r>
        <w:rPr/>
        <w:t>2009</w:t>
      </w:r>
      <w:r>
        <w:rPr>
          <w:spacing w:val="-58"/>
        </w:rPr>
        <w:t> </w:t>
      </w:r>
      <w:r>
        <w:rPr/>
        <w:t>年</w:t>
      </w:r>
      <w:r>
        <w:rPr>
          <w:spacing w:val="-58"/>
        </w:rPr>
        <w:t> </w:t>
      </w:r>
      <w:r>
        <w:rPr/>
        <w:t>9</w:t>
      </w:r>
      <w:r>
        <w:rPr>
          <w:spacing w:val="-58"/>
        </w:rPr>
        <w:t> </w:t>
      </w:r>
      <w:r>
        <w:rPr/>
        <w:t>月</w:t>
      </w:r>
      <w:r>
        <w:rPr>
          <w:spacing w:val="-58"/>
        </w:rPr>
        <w:t> </w:t>
      </w:r>
      <w:r>
        <w:rPr/>
        <w:t>1</w:t>
      </w:r>
      <w:r>
        <w:rPr>
          <w:spacing w:val="-58"/>
        </w:rPr>
        <w:t> </w:t>
      </w:r>
      <w:r>
        <w:rPr>
          <w:spacing w:val="-3"/>
        </w:rPr>
        <w:t>日的《证券时报》、《中国证券报》、《上海证券报》、《证</w:t>
      </w:r>
      <w:r>
        <w:rPr/>
        <w:t> 券日报》及巨潮资讯网上。</w:t>
      </w:r>
    </w:p>
    <w:p>
      <w:pPr>
        <w:pStyle w:val="Heading5"/>
        <w:spacing w:line="240" w:lineRule="auto" w:before="36"/>
        <w:ind w:left="777" w:right="0"/>
        <w:jc w:val="left"/>
        <w:rPr>
          <w:b w:val="0"/>
          <w:bCs w:val="0"/>
        </w:rPr>
      </w:pPr>
      <w:r>
        <w:rPr/>
        <w:t>六、2009年第五次临时股东大会</w:t>
      </w:r>
      <w:r>
        <w:rPr>
          <w:b w:val="0"/>
          <w:bCs w:val="0"/>
        </w:rPr>
      </w:r>
    </w:p>
    <w:p>
      <w:pPr>
        <w:pStyle w:val="BodyText"/>
        <w:spacing w:line="240" w:lineRule="auto" w:before="50"/>
        <w:ind w:left="780" w:right="0"/>
        <w:jc w:val="left"/>
      </w:pPr>
      <w:r>
        <w:rPr/>
        <w:t>公司</w:t>
      </w:r>
      <w:r>
        <w:rPr>
          <w:spacing w:val="-52"/>
        </w:rPr>
        <w:t> </w:t>
      </w:r>
      <w:r>
        <w:rPr/>
        <w:t>2009</w:t>
      </w:r>
      <w:r>
        <w:rPr>
          <w:spacing w:val="-54"/>
        </w:rPr>
        <w:t> </w:t>
      </w:r>
      <w:r>
        <w:rPr/>
        <w:t>年第五次临时股东大会于</w:t>
      </w:r>
      <w:r>
        <w:rPr>
          <w:spacing w:val="-57"/>
        </w:rPr>
        <w:t> </w:t>
      </w:r>
      <w:r>
        <w:rPr/>
        <w:t>2009</w:t>
      </w:r>
      <w:r>
        <w:rPr>
          <w:spacing w:val="-54"/>
        </w:rPr>
        <w:t> </w:t>
      </w:r>
      <w:r>
        <w:rPr/>
        <w:t>年</w:t>
      </w:r>
      <w:r>
        <w:rPr>
          <w:spacing w:val="-57"/>
        </w:rPr>
        <w:t> </w:t>
      </w:r>
      <w:r>
        <w:rPr/>
        <w:t>10</w:t>
      </w:r>
      <w:r>
        <w:rPr>
          <w:spacing w:val="-54"/>
        </w:rPr>
        <w:t> </w:t>
      </w:r>
      <w:r>
        <w:rPr/>
        <w:t>月</w:t>
      </w:r>
      <w:r>
        <w:rPr>
          <w:spacing w:val="-54"/>
        </w:rPr>
        <w:t> </w:t>
      </w:r>
      <w:r>
        <w:rPr/>
        <w:t>30</w:t>
      </w:r>
      <w:r>
        <w:rPr>
          <w:spacing w:val="-54"/>
        </w:rPr>
        <w:t> </w:t>
      </w:r>
      <w:r>
        <w:rPr/>
        <w:t>日召开，会议决议公告</w:t>
      </w:r>
    </w:p>
    <w:p>
      <w:pPr>
        <w:pStyle w:val="BodyText"/>
        <w:spacing w:line="240" w:lineRule="auto" w:before="154"/>
        <w:ind w:right="0"/>
        <w:jc w:val="left"/>
      </w:pPr>
      <w:r>
        <w:rPr/>
        <w:t>刊登在</w:t>
      </w:r>
      <w:r>
        <w:rPr>
          <w:spacing w:val="-55"/>
        </w:rPr>
        <w:t> </w:t>
      </w:r>
      <w:r>
        <w:rPr/>
        <w:t>2009</w:t>
      </w:r>
      <w:r>
        <w:rPr>
          <w:spacing w:val="-55"/>
        </w:rPr>
        <w:t> </w:t>
      </w:r>
      <w:r>
        <w:rPr/>
        <w:t>年</w:t>
      </w:r>
      <w:r>
        <w:rPr>
          <w:spacing w:val="-57"/>
        </w:rPr>
        <w:t> </w:t>
      </w:r>
      <w:r>
        <w:rPr/>
        <w:t>10</w:t>
      </w:r>
      <w:r>
        <w:rPr>
          <w:spacing w:val="-55"/>
        </w:rPr>
        <w:t> </w:t>
      </w:r>
      <w:r>
        <w:rPr/>
        <w:t>月</w:t>
      </w:r>
      <w:r>
        <w:rPr>
          <w:spacing w:val="-57"/>
        </w:rPr>
        <w:t> </w:t>
      </w:r>
      <w:r>
        <w:rPr/>
        <w:t>31</w:t>
      </w:r>
      <w:r>
        <w:rPr>
          <w:spacing w:val="-57"/>
        </w:rPr>
        <w:t> </w:t>
      </w:r>
      <w:r>
        <w:rPr/>
        <w:t>日的《证券时报》、《中国证券报》、《上海证券报》、</w:t>
      </w:r>
    </w:p>
    <w:p>
      <w:pPr>
        <w:pStyle w:val="BodyText"/>
        <w:spacing w:line="240" w:lineRule="auto" w:before="154"/>
        <w:ind w:right="0"/>
        <w:jc w:val="left"/>
      </w:pPr>
      <w:r>
        <w:rPr/>
        <w:t>《证券日报》及巨潮资讯网上。</w:t>
      </w:r>
    </w:p>
    <w:p>
      <w:pPr>
        <w:pStyle w:val="Heading5"/>
        <w:spacing w:line="240" w:lineRule="auto" w:before="154"/>
        <w:ind w:left="777" w:right="0"/>
        <w:jc w:val="left"/>
        <w:rPr>
          <w:b w:val="0"/>
          <w:bCs w:val="0"/>
        </w:rPr>
      </w:pPr>
      <w:r>
        <w:rPr/>
        <w:t>七、2009年第六次临时股东大会</w:t>
      </w:r>
      <w:r>
        <w:rPr>
          <w:b w:val="0"/>
          <w:bCs w:val="0"/>
        </w:rPr>
      </w:r>
    </w:p>
    <w:p>
      <w:pPr>
        <w:spacing w:before="53"/>
        <w:ind w:left="7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年第六次临时股东大会于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日召开，会议决议公告刊登在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p>
    <w:p>
      <w:pPr>
        <w:spacing w:line="336" w:lineRule="auto" w:before="117"/>
        <w:ind w:left="300" w:right="203"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日的《证券时报》、《中国证券报》、《上海证券报》、《证券日报》及巨潮资</w:t>
      </w:r>
      <w:r>
        <w:rPr>
          <w:rFonts w:ascii="宋体" w:hAnsi="宋体" w:cs="宋体" w:eastAsia="宋体" w:hint="default"/>
          <w:w w:val="100"/>
          <w:sz w:val="21"/>
          <w:szCs w:val="21"/>
        </w:rPr>
        <w:t> </w:t>
      </w:r>
      <w:r>
        <w:rPr>
          <w:rFonts w:ascii="宋体" w:hAnsi="宋体" w:cs="宋体" w:eastAsia="宋体" w:hint="default"/>
          <w:sz w:val="21"/>
          <w:szCs w:val="21"/>
        </w:rPr>
        <w:t>讯网上。</w:t>
      </w:r>
    </w:p>
    <w:p>
      <w:pPr>
        <w:spacing w:after="0" w:line="336" w:lineRule="auto"/>
        <w:jc w:val="left"/>
        <w:rPr>
          <w:rFonts w:ascii="宋体" w:hAnsi="宋体" w:cs="宋体" w:eastAsia="宋体" w:hint="default"/>
          <w:sz w:val="21"/>
          <w:szCs w:val="21"/>
        </w:rPr>
        <w:sectPr>
          <w:headerReference w:type="default" r:id="rId65"/>
          <w:footerReference w:type="default" r:id="rId66"/>
          <w:pgSz w:w="11910" w:h="16840"/>
          <w:pgMar w:header="0" w:footer="1095" w:top="1120" w:bottom="1280" w:left="1680" w:right="1260"/>
          <w:pgNumType w:start="36"/>
        </w:sectPr>
      </w:pPr>
    </w:p>
    <w:p>
      <w:pPr>
        <w:pStyle w:val="Heading4"/>
        <w:spacing w:line="240" w:lineRule="auto" w:before="10"/>
        <w:ind w:left="3324" w:right="3174"/>
        <w:jc w:val="center"/>
      </w:pPr>
      <w:r>
        <w:rPr/>
        <w:t>第七章</w:t>
      </w:r>
      <w:r>
        <w:rPr>
          <w:spacing w:val="7"/>
        </w:rPr>
        <w:t> </w:t>
      </w:r>
      <w:r>
        <w:rPr/>
        <w:t>董事会报告</w:t>
      </w:r>
    </w:p>
    <w:p>
      <w:pPr>
        <w:pStyle w:val="Heading5"/>
        <w:spacing w:line="240" w:lineRule="auto" w:before="108"/>
        <w:ind w:right="92"/>
        <w:jc w:val="left"/>
        <w:rPr>
          <w:b w:val="0"/>
          <w:bCs w:val="0"/>
        </w:rPr>
      </w:pPr>
      <w:bookmarkStart w:name="第一节管理层讨论与分析" w:id="14"/>
      <w:bookmarkEnd w:id="14"/>
      <w:r>
        <w:rPr>
          <w:b w:val="0"/>
          <w:bCs w:val="0"/>
        </w:rPr>
      </w:r>
      <w:r>
        <w:rPr/>
        <w:t>第一节 </w:t>
      </w:r>
      <w:r>
        <w:rPr>
          <w:spacing w:val="7"/>
        </w:rPr>
        <w:t> </w:t>
      </w:r>
      <w:r>
        <w:rPr/>
        <w:t>管理层讨论与分析</w:t>
      </w:r>
      <w:r>
        <w:rPr>
          <w:b w:val="0"/>
          <w:bCs w:val="0"/>
        </w:rPr>
      </w:r>
    </w:p>
    <w:p>
      <w:pPr>
        <w:pStyle w:val="BodyText"/>
        <w:spacing w:line="357" w:lineRule="auto" w:before="126"/>
        <w:ind w:right="161" w:firstLine="600"/>
        <w:jc w:val="both"/>
      </w:pPr>
      <w:r>
        <w:rPr>
          <w:w w:val="95"/>
        </w:rPr>
        <w:t>根据董事会制定的“网络化”发展战略，2009</w:t>
      </w:r>
      <w:r>
        <w:rPr>
          <w:spacing w:val="82"/>
          <w:w w:val="95"/>
        </w:rPr>
        <w:t> </w:t>
      </w:r>
      <w:r>
        <w:rPr>
          <w:w w:val="95"/>
        </w:rPr>
        <w:t>年是公司全面推进“网络化”</w:t>
      </w:r>
      <w:r>
        <w:rPr>
          <w:w w:val="51"/>
        </w:rPr>
        <w:t> </w:t>
      </w:r>
      <w:r>
        <w:rPr/>
        <w:t>战略基础工作的一年，围绕这一工作重心，报告期内，公司经营管理主要情况如</w:t>
      </w:r>
      <w:r>
        <w:rPr>
          <w:spacing w:val="-91"/>
        </w:rPr>
        <w:t> </w:t>
      </w:r>
      <w:r>
        <w:rPr>
          <w:spacing w:val="-91"/>
        </w:rPr>
      </w:r>
      <w:r>
        <w:rPr/>
        <w:t>下：</w:t>
      </w:r>
    </w:p>
    <w:p>
      <w:pPr>
        <w:pStyle w:val="BodyText"/>
        <w:spacing w:line="240" w:lineRule="auto"/>
        <w:ind w:left="780" w:right="92"/>
        <w:jc w:val="left"/>
      </w:pPr>
      <w:r>
        <w:rPr/>
        <w:t>一、实体市场“网络化”工作推进情况</w:t>
      </w:r>
    </w:p>
    <w:p>
      <w:pPr>
        <w:pStyle w:val="BodyText"/>
        <w:spacing w:line="240" w:lineRule="auto" w:before="154"/>
        <w:ind w:left="780" w:right="92"/>
        <w:jc w:val="left"/>
      </w:pPr>
      <w:r>
        <w:rPr/>
        <w:t>（一）电子结算等“网络化”基础工作全面展开</w:t>
      </w:r>
    </w:p>
    <w:p>
      <w:pPr>
        <w:pStyle w:val="BodyText"/>
        <w:spacing w:line="357" w:lineRule="auto" w:before="154"/>
        <w:ind w:right="165" w:firstLine="480"/>
        <w:jc w:val="both"/>
      </w:pPr>
      <w:r>
        <w:rPr/>
        <w:t>2009</w:t>
      </w:r>
      <w:r>
        <w:rPr>
          <w:spacing w:val="-60"/>
        </w:rPr>
        <w:t> </w:t>
      </w:r>
      <w:r>
        <w:rPr/>
        <w:t>年，公司旗下实体市场基本全部实施了各种形式的电子结算项目，各市</w:t>
      </w:r>
      <w:r>
        <w:rPr/>
        <w:t> 场电子结算覆盖面有所扩展。各市场根据自身特点，摸索出适合自身发展的电子</w:t>
      </w:r>
      <w:r>
        <w:rPr>
          <w:spacing w:val="-91"/>
        </w:rPr>
        <w:t> </w:t>
      </w:r>
      <w:r>
        <w:rPr>
          <w:spacing w:val="-91"/>
        </w:rPr>
      </w:r>
      <w:r>
        <w:rPr/>
        <w:t>交易模式，呈现出多种电子交易方式并行的局面。</w:t>
      </w:r>
    </w:p>
    <w:p>
      <w:pPr>
        <w:pStyle w:val="BodyText"/>
        <w:spacing w:line="357" w:lineRule="auto"/>
        <w:ind w:right="146" w:firstLine="480"/>
        <w:jc w:val="left"/>
      </w:pPr>
      <w:r>
        <w:rPr/>
        <w:t>公司旗下多家实体市场建成海吉星客服中心，2009</w:t>
      </w:r>
      <w:r>
        <w:rPr>
          <w:spacing w:val="-60"/>
        </w:rPr>
        <w:t> </w:t>
      </w:r>
      <w:r>
        <w:rPr/>
        <w:t>年</w:t>
      </w:r>
      <w:r>
        <w:rPr>
          <w:spacing w:val="-60"/>
        </w:rPr>
        <w:t> </w:t>
      </w:r>
      <w:r>
        <w:rPr/>
        <w:t>10</w:t>
      </w:r>
      <w:r>
        <w:rPr>
          <w:spacing w:val="-60"/>
        </w:rPr>
        <w:t> </w:t>
      </w:r>
      <w:r>
        <w:rPr/>
        <w:t>月</w:t>
      </w:r>
      <w:r>
        <w:rPr>
          <w:spacing w:val="-60"/>
        </w:rPr>
        <w:t> </w:t>
      </w:r>
      <w:r>
        <w:rPr/>
        <w:t>28</w:t>
      </w:r>
      <w:r>
        <w:rPr>
          <w:spacing w:val="-60"/>
        </w:rPr>
        <w:t> </w:t>
      </w:r>
      <w:r>
        <w:rPr/>
        <w:t>日，海吉星客</w:t>
      </w:r>
      <w:r>
        <w:rPr/>
        <w:t> </w:t>
      </w:r>
      <w:r>
        <w:rPr>
          <w:spacing w:val="-2"/>
          <w:w w:val="95"/>
        </w:rPr>
        <w:t>服中心联网工作成功启动，统一了服务窗口，初步实现“一站式”基础客服服务。</w:t>
      </w:r>
      <w:r>
        <w:rPr>
          <w:spacing w:val="-2"/>
        </w:rPr>
      </w:r>
    </w:p>
    <w:p>
      <w:pPr>
        <w:pStyle w:val="BodyText"/>
        <w:spacing w:line="357" w:lineRule="auto"/>
        <w:ind w:left="780" w:right="92"/>
        <w:jc w:val="left"/>
      </w:pPr>
      <w:r>
        <w:rPr/>
        <w:t>（二）积极推进平湖、南宁等新建项目。 报告期内，平湖项目已完成一期场平工程，受项目地块红线周边交接地带遗</w:t>
      </w:r>
    </w:p>
    <w:p>
      <w:pPr>
        <w:pStyle w:val="BodyText"/>
        <w:spacing w:line="357" w:lineRule="auto"/>
        <w:ind w:right="161"/>
        <w:jc w:val="both"/>
      </w:pPr>
      <w:r>
        <w:rPr/>
        <w:t>留的部分市政设施未能在相关行政部门的配合下如期迁出项目所在地影响，平湖</w:t>
      </w:r>
      <w:r>
        <w:rPr>
          <w:spacing w:val="-91"/>
        </w:rPr>
        <w:t> </w:t>
      </w:r>
      <w:r>
        <w:rPr>
          <w:spacing w:val="-91"/>
        </w:rPr>
      </w:r>
      <w:r>
        <w:rPr>
          <w:spacing w:val="-2"/>
          <w:w w:val="95"/>
        </w:rPr>
        <w:t>项目一期工程未能如期推进，但影响工程进度的不利因素已在报告期内基本消除，</w:t>
      </w:r>
      <w:r>
        <w:rPr>
          <w:spacing w:val="97"/>
          <w:w w:val="95"/>
        </w:rPr>
        <w:t> </w:t>
      </w:r>
      <w:r>
        <w:rPr>
          <w:spacing w:val="97"/>
          <w:w w:val="95"/>
        </w:rPr>
      </w:r>
      <w:r>
        <w:rPr/>
        <w:t>平湖项目</w:t>
      </w:r>
      <w:r>
        <w:rPr>
          <w:spacing w:val="-58"/>
        </w:rPr>
        <w:t> </w:t>
      </w:r>
      <w:r>
        <w:rPr/>
        <w:t>5-6</w:t>
      </w:r>
      <w:r>
        <w:rPr>
          <w:spacing w:val="-58"/>
        </w:rPr>
        <w:t> </w:t>
      </w:r>
      <w:r>
        <w:rPr/>
        <w:t>号楼的主体工程预计</w:t>
      </w:r>
      <w:r>
        <w:rPr>
          <w:spacing w:val="-58"/>
        </w:rPr>
        <w:t> </w:t>
      </w:r>
      <w:r>
        <w:rPr/>
        <w:t>2010</w:t>
      </w:r>
      <w:r>
        <w:rPr>
          <w:spacing w:val="-58"/>
        </w:rPr>
        <w:t> </w:t>
      </w:r>
      <w:r>
        <w:rPr>
          <w:spacing w:val="-4"/>
        </w:rPr>
        <w:t>年底完工。南宁项目克服困难启动一期工</w:t>
      </w:r>
      <w:r>
        <w:rPr/>
        <w:t> 程建设，完成临时交易区建设并试营业。</w:t>
      </w:r>
    </w:p>
    <w:p>
      <w:pPr>
        <w:pStyle w:val="BodyText"/>
        <w:spacing w:line="240" w:lineRule="auto"/>
        <w:ind w:left="780" w:right="92"/>
        <w:jc w:val="left"/>
      </w:pPr>
      <w:r>
        <w:rPr/>
        <w:t>（三）新项目拓展取得突破，市场网络体系不断壮大</w:t>
      </w:r>
    </w:p>
    <w:p>
      <w:pPr>
        <w:pStyle w:val="BodyText"/>
        <w:spacing w:line="240" w:lineRule="auto" w:before="154"/>
        <w:ind w:left="780" w:right="92"/>
        <w:jc w:val="left"/>
      </w:pPr>
      <w:r>
        <w:rPr/>
        <w:t>2009</w:t>
      </w:r>
      <w:r>
        <w:rPr>
          <w:spacing w:val="-60"/>
        </w:rPr>
        <w:t> </w:t>
      </w:r>
      <w:r>
        <w:rPr/>
        <w:t>年，银川、广州、长春、柳州、昆明、蚌埠项目拓展顺利。目前，公司</w:t>
      </w:r>
    </w:p>
    <w:p>
      <w:pPr>
        <w:pStyle w:val="BodyText"/>
        <w:spacing w:line="357" w:lineRule="auto" w:before="154"/>
        <w:ind w:right="192"/>
        <w:jc w:val="both"/>
      </w:pPr>
      <w:r>
        <w:rPr/>
        <w:t>在</w:t>
      </w:r>
      <w:r>
        <w:rPr>
          <w:spacing w:val="-55"/>
        </w:rPr>
        <w:t> </w:t>
      </w:r>
      <w:r>
        <w:rPr/>
        <w:t>18</w:t>
      </w:r>
      <w:r>
        <w:rPr>
          <w:spacing w:val="-53"/>
        </w:rPr>
        <w:t> </w:t>
      </w:r>
      <w:r>
        <w:rPr/>
        <w:t>个主要城市拥有</w:t>
      </w:r>
      <w:r>
        <w:rPr>
          <w:spacing w:val="-53"/>
        </w:rPr>
        <w:t> </w:t>
      </w:r>
      <w:r>
        <w:rPr/>
        <w:t>25</w:t>
      </w:r>
      <w:r>
        <w:rPr>
          <w:spacing w:val="-55"/>
        </w:rPr>
        <w:t> </w:t>
      </w:r>
      <w:r>
        <w:rPr/>
        <w:t>家大型实体农产品批发市场和大宗农产品电子商务交易</w:t>
      </w:r>
      <w:r>
        <w:rPr/>
        <w:t> 市场。</w:t>
      </w:r>
    </w:p>
    <w:p>
      <w:pPr>
        <w:pStyle w:val="BodyText"/>
        <w:spacing w:line="240" w:lineRule="auto"/>
        <w:ind w:left="780" w:right="92"/>
        <w:jc w:val="left"/>
      </w:pPr>
      <w:r>
        <w:rPr/>
        <w:t>二、构建农产品电子交易大平台</w:t>
      </w:r>
    </w:p>
    <w:p>
      <w:pPr>
        <w:pStyle w:val="BodyText"/>
        <w:spacing w:line="357" w:lineRule="auto" w:before="154"/>
        <w:ind w:left="420" w:right="90" w:firstLine="360"/>
        <w:jc w:val="left"/>
      </w:pPr>
      <w:r>
        <w:rPr/>
        <w:t>合肥国家棉花交易中心于</w:t>
      </w:r>
      <w:r>
        <w:rPr>
          <w:spacing w:val="-58"/>
        </w:rPr>
        <w:t> </w:t>
      </w:r>
      <w:r>
        <w:rPr/>
        <w:t>2009</w:t>
      </w:r>
      <w:r>
        <w:rPr>
          <w:spacing w:val="-58"/>
        </w:rPr>
        <w:t> </w:t>
      </w:r>
      <w:r>
        <w:rPr/>
        <w:t>年</w:t>
      </w:r>
      <w:r>
        <w:rPr>
          <w:spacing w:val="-58"/>
        </w:rPr>
        <w:t> </w:t>
      </w:r>
      <w:r>
        <w:rPr/>
        <w:t>2</w:t>
      </w:r>
      <w:r>
        <w:rPr>
          <w:spacing w:val="-58"/>
        </w:rPr>
        <w:t> </w:t>
      </w:r>
      <w:r>
        <w:rPr>
          <w:spacing w:val="-4"/>
        </w:rPr>
        <w:t>月正式开业，为公司电子交易项目拓展了</w:t>
      </w:r>
      <w:r>
        <w:rPr/>
        <w:t> </w:t>
      </w:r>
      <w:r>
        <w:rPr>
          <w:spacing w:val="-6"/>
          <w:w w:val="95"/>
        </w:rPr>
        <w:t>新品种；公司通过资源整合，积极拓展电子交易新品种，筹建多品种的交易平台  </w:t>
      </w:r>
      <w:r>
        <w:rPr>
          <w:spacing w:val="68"/>
          <w:w w:val="95"/>
        </w:rPr>
        <w:t> </w:t>
      </w:r>
      <w:r>
        <w:rPr>
          <w:w w:val="95"/>
        </w:rPr>
        <w:t>。</w:t>
      </w:r>
      <w:r>
        <w:rPr/>
      </w:r>
    </w:p>
    <w:p>
      <w:pPr>
        <w:pStyle w:val="BodyText"/>
        <w:spacing w:line="357" w:lineRule="auto"/>
        <w:ind w:left="780" w:right="92"/>
        <w:jc w:val="left"/>
      </w:pPr>
      <w:r>
        <w:rPr/>
        <w:t>三、资产盘活工作继续推进 完成金信信托投资股份有限公司（简称“金信信托”）股权处置、深圳市海</w:t>
      </w:r>
    </w:p>
    <w:p>
      <w:pPr>
        <w:pStyle w:val="BodyText"/>
        <w:spacing w:line="357" w:lineRule="auto"/>
        <w:ind w:right="190"/>
        <w:jc w:val="both"/>
      </w:pPr>
      <w:r>
        <w:rPr/>
        <w:t>吉星渔港实业有限公司（简称“蛇口海吉星”）49％股权的转让，减持深深宝股</w:t>
      </w:r>
      <w:r>
        <w:rPr>
          <w:spacing w:val="-93"/>
        </w:rPr>
        <w:t> </w:t>
      </w:r>
      <w:r>
        <w:rPr>
          <w:spacing w:val="-93"/>
        </w:rPr>
      </w:r>
      <w:r>
        <w:rPr/>
        <w:t>份，增加了税前收益，获得了现金流，集中资源推进公司主业的发展。</w:t>
      </w:r>
    </w:p>
    <w:p>
      <w:pPr>
        <w:pStyle w:val="BodyText"/>
        <w:spacing w:line="240" w:lineRule="auto"/>
        <w:ind w:left="780" w:right="92"/>
        <w:jc w:val="left"/>
      </w:pPr>
      <w:r>
        <w:rPr/>
        <w:t>四、进一步提升公司整体管理水平</w:t>
      </w:r>
    </w:p>
    <w:p>
      <w:pPr>
        <w:pStyle w:val="BodyText"/>
        <w:spacing w:line="240" w:lineRule="auto" w:before="154"/>
        <w:ind w:left="780" w:right="92"/>
        <w:jc w:val="left"/>
      </w:pPr>
      <w:r>
        <w:rPr/>
        <w:t>（一）强化人力资源管理，使其逐步制度化、规范化和现代化。</w:t>
      </w:r>
    </w:p>
    <w:p>
      <w:pPr>
        <w:spacing w:after="0" w:line="240" w:lineRule="auto"/>
        <w:jc w:val="left"/>
        <w:sectPr>
          <w:headerReference w:type="default" r:id="rId67"/>
          <w:footerReference w:type="default" r:id="rId68"/>
          <w:pgSz w:w="11910" w:h="16840"/>
          <w:pgMar w:header="0" w:footer="1095" w:top="1020" w:bottom="1280" w:left="1680" w:right="1300"/>
          <w:pgNumType w:start="37"/>
        </w:sectPr>
      </w:pPr>
    </w:p>
    <w:p>
      <w:pPr>
        <w:pStyle w:val="BodyText"/>
        <w:spacing w:line="357" w:lineRule="auto" w:before="0"/>
        <w:ind w:right="195" w:firstLine="480"/>
        <w:jc w:val="both"/>
      </w:pPr>
      <w:r>
        <w:rPr/>
        <w:t>进一步完善绩效考核体系，在去年底实施二级企业</w:t>
      </w:r>
      <w:r>
        <w:rPr>
          <w:spacing w:val="-51"/>
        </w:rPr>
        <w:t> </w:t>
      </w:r>
      <w:r>
        <w:rPr/>
        <w:t>EVA</w:t>
      </w:r>
      <w:r>
        <w:rPr>
          <w:spacing w:val="-48"/>
        </w:rPr>
        <w:t> </w:t>
      </w:r>
      <w:r>
        <w:rPr/>
        <w:t>考核的基础上制订了</w:t>
      </w:r>
      <w:r>
        <w:rPr/>
        <w:t> 总部</w:t>
      </w:r>
      <w:r>
        <w:rPr>
          <w:spacing w:val="-54"/>
        </w:rPr>
        <w:t> </w:t>
      </w:r>
      <w:r>
        <w:rPr/>
        <w:t>EVA</w:t>
      </w:r>
      <w:r>
        <w:rPr>
          <w:spacing w:val="-56"/>
        </w:rPr>
        <w:t> </w:t>
      </w:r>
      <w:r>
        <w:rPr/>
        <w:t>管理办法，统一了全系统的价值导向并确保了</w:t>
      </w:r>
      <w:r>
        <w:rPr>
          <w:spacing w:val="-54"/>
        </w:rPr>
        <w:t> </w:t>
      </w:r>
      <w:r>
        <w:rPr/>
        <w:t>EVA</w:t>
      </w:r>
      <w:r>
        <w:rPr>
          <w:spacing w:val="-56"/>
        </w:rPr>
        <w:t> </w:t>
      </w:r>
      <w:r>
        <w:rPr/>
        <w:t>考核指标从上到下的</w:t>
      </w:r>
      <w:r>
        <w:rPr/>
        <w:t> 连贯性。</w:t>
      </w:r>
    </w:p>
    <w:p>
      <w:pPr>
        <w:pStyle w:val="BodyText"/>
        <w:spacing w:line="357" w:lineRule="auto"/>
        <w:ind w:right="195" w:firstLine="480"/>
        <w:jc w:val="both"/>
      </w:pPr>
      <w:r>
        <w:rPr/>
        <w:t>此外，还开展了全系统人才盘点，围绕“网络化”战略和经营管理重点开展 培训工作，并建立批发市场企业的组织架构标准化模型。</w:t>
      </w:r>
    </w:p>
    <w:p>
      <w:pPr>
        <w:pStyle w:val="BodyText"/>
        <w:spacing w:line="357" w:lineRule="auto"/>
        <w:ind w:right="165" w:firstLine="451"/>
        <w:jc w:val="both"/>
      </w:pPr>
      <w:r>
        <w:rPr>
          <w:spacing w:val="-1"/>
        </w:rPr>
        <w:t>（二）公司设立了从总部到二级企业的风险管理机构,正式启动全面风险管理</w:t>
      </w:r>
      <w:r>
        <w:rPr/>
        <w:t> 体系建设工作，增强公司抗风险能力。</w:t>
      </w:r>
    </w:p>
    <w:p>
      <w:pPr>
        <w:pStyle w:val="BodyText"/>
        <w:spacing w:line="357" w:lineRule="auto"/>
        <w:ind w:right="161" w:firstLine="480"/>
        <w:jc w:val="both"/>
      </w:pPr>
      <w:r>
        <w:rPr/>
        <w:t>（三）深化对标管理。公司对上市公司、国内同行和国际同行三个层面进行 </w:t>
      </w:r>
      <w:r>
        <w:rPr>
          <w:spacing w:val="-2"/>
          <w:w w:val="95"/>
        </w:rPr>
        <w:t>对标研究的基础上，参照对标企业的经验和做法，学习同行在各方面的成熟经验，</w:t>
      </w:r>
      <w:r>
        <w:rPr>
          <w:spacing w:val="96"/>
          <w:w w:val="95"/>
        </w:rPr>
        <w:t> </w:t>
      </w:r>
      <w:r>
        <w:rPr>
          <w:spacing w:val="96"/>
          <w:w w:val="95"/>
        </w:rPr>
      </w:r>
      <w:r>
        <w:rPr/>
        <w:t>制定具体的追赶提升方案和措施，进一步提升公司经营管理水平。</w:t>
      </w:r>
    </w:p>
    <w:p>
      <w:pPr>
        <w:pStyle w:val="BodyText"/>
        <w:spacing w:line="357" w:lineRule="auto"/>
        <w:ind w:right="105" w:firstLine="480"/>
        <w:jc w:val="both"/>
      </w:pPr>
      <w:r>
        <w:rPr/>
        <w:t>（四）开展财务金融创新，创新性地开展了通过商业汇票贴现融资业务，成 功发行了</w:t>
      </w:r>
      <w:r>
        <w:rPr>
          <w:spacing w:val="-60"/>
        </w:rPr>
        <w:t> </w:t>
      </w:r>
      <w:r>
        <w:rPr/>
        <w:t>2009</w:t>
      </w:r>
      <w:r>
        <w:rPr>
          <w:spacing w:val="-60"/>
        </w:rPr>
        <w:t> </w:t>
      </w:r>
      <w:r>
        <w:rPr/>
        <w:t>年首期</w:t>
      </w:r>
      <w:r>
        <w:rPr>
          <w:spacing w:val="-60"/>
        </w:rPr>
        <w:t> </w:t>
      </w:r>
      <w:r>
        <w:rPr/>
        <w:t>6</w:t>
      </w:r>
      <w:r>
        <w:rPr>
          <w:spacing w:val="-60"/>
        </w:rPr>
        <w:t> </w:t>
      </w:r>
      <w:r>
        <w:rPr/>
        <w:t>亿元的短期融资券，为网络化战略的顺利实施提供支持。</w:t>
      </w:r>
    </w:p>
    <w:p>
      <w:pPr>
        <w:pStyle w:val="BodyText"/>
        <w:spacing w:line="357" w:lineRule="auto"/>
        <w:ind w:right="192" w:firstLine="480"/>
        <w:jc w:val="both"/>
      </w:pPr>
      <w:r>
        <w:rPr/>
        <w:t>五、全面推进“以人为本”的企业文化体系的建设，加强安全管理规范化建 设，为公司正常的生产经营提供稳定环境</w:t>
      </w:r>
    </w:p>
    <w:p>
      <w:pPr>
        <w:pStyle w:val="BodyText"/>
        <w:spacing w:line="357" w:lineRule="auto"/>
        <w:ind w:right="161" w:firstLine="480"/>
        <w:jc w:val="both"/>
      </w:pPr>
      <w:r>
        <w:rPr/>
        <w:t>（一）制定了近三年企业文化发展规划，建立起较为完善的以人为本的企业 文化体系。不断提高员工的幸福感和归属感。对员工关心的问题，予以改进；完</w:t>
      </w:r>
      <w:r>
        <w:rPr>
          <w:spacing w:val="-91"/>
        </w:rPr>
        <w:t> </w:t>
      </w:r>
      <w:r>
        <w:rPr>
          <w:spacing w:val="-91"/>
        </w:rPr>
      </w:r>
      <w:r>
        <w:rPr/>
        <w:t>成了“情感互动”接待室的创建，同时开通了“情感互动”热线；制定了外派人</w:t>
      </w:r>
      <w:r>
        <w:rPr>
          <w:spacing w:val="-95"/>
        </w:rPr>
        <w:t> </w:t>
      </w:r>
      <w:r>
        <w:rPr>
          <w:spacing w:val="-95"/>
        </w:rPr>
      </w:r>
      <w:r>
        <w:rPr/>
        <w:t>员及其家属的关怀方案，并逐步开展实施。公司开展的第二届员工“工作幸福指</w:t>
      </w:r>
      <w:r>
        <w:rPr>
          <w:spacing w:val="-95"/>
        </w:rPr>
        <w:t> </w:t>
      </w:r>
      <w:r>
        <w:rPr>
          <w:spacing w:val="-95"/>
        </w:rPr>
      </w:r>
      <w:r>
        <w:rPr>
          <w:spacing w:val="-2"/>
          <w:w w:val="95"/>
        </w:rPr>
        <w:t>数调查”结果显示，员工幸福感提升。公司被深圳市关爱办授予“最具爱心企业”</w:t>
      </w:r>
      <w:r>
        <w:rPr>
          <w:spacing w:val="96"/>
          <w:w w:val="95"/>
        </w:rPr>
        <w:t> </w:t>
      </w:r>
      <w:r>
        <w:rPr>
          <w:spacing w:val="96"/>
          <w:w w:val="95"/>
        </w:rPr>
      </w:r>
      <w:r>
        <w:rPr/>
        <w:t>荣誉称号，成为深圳市“十大爱心企业”之一。</w:t>
      </w:r>
    </w:p>
    <w:p>
      <w:pPr>
        <w:pStyle w:val="BodyText"/>
        <w:spacing w:line="357" w:lineRule="auto"/>
        <w:ind w:right="161" w:firstLine="468"/>
        <w:jc w:val="both"/>
      </w:pPr>
      <w:r>
        <w:rPr>
          <w:spacing w:val="-2"/>
          <w:w w:val="95"/>
        </w:rPr>
        <w:t>（二）编写了《安全手册》，内容涵盖公司内部主要安全管理工作规章制度、</w:t>
      </w:r>
      <w:r>
        <w:rPr>
          <w:w w:val="51"/>
        </w:rPr>
        <w:t> </w:t>
      </w:r>
      <w:r>
        <w:rPr/>
        <w:t>日常管理规范与技巧、安全基础知识等；同时，探索食品安全管理新模式，理顺</w:t>
      </w:r>
      <w:r>
        <w:rPr>
          <w:spacing w:val="-91"/>
        </w:rPr>
        <w:t> </w:t>
      </w:r>
      <w:r>
        <w:rPr>
          <w:spacing w:val="-91"/>
        </w:rPr>
      </w:r>
      <w:r>
        <w:rPr/>
        <w:t>食品安全监管的职责，为食品安全监管的规范细致开展奠定了基础。2009</w:t>
      </w:r>
      <w:r>
        <w:rPr>
          <w:spacing w:val="-60"/>
        </w:rPr>
        <w:t> </w:t>
      </w:r>
      <w:r>
        <w:rPr/>
        <w:t>年，公</w:t>
      </w:r>
      <w:r>
        <w:rPr/>
        <w:t> 司系统内重大安全责任事故、治安恶性案件及食品中毒事故发生率均为零。</w:t>
      </w:r>
    </w:p>
    <w:p>
      <w:pPr>
        <w:pStyle w:val="Heading5"/>
        <w:spacing w:line="268" w:lineRule="auto" w:before="36"/>
        <w:ind w:right="4046"/>
        <w:jc w:val="left"/>
        <w:rPr>
          <w:b w:val="0"/>
          <w:bCs w:val="0"/>
        </w:rPr>
      </w:pPr>
      <w:bookmarkStart w:name="第二节报告期内经营情况回顾" w:id="15"/>
      <w:bookmarkEnd w:id="15"/>
      <w:r>
        <w:rPr>
          <w:b w:val="0"/>
          <w:bCs w:val="0"/>
        </w:rPr>
      </w:r>
      <w:r>
        <w:rPr/>
        <w:t>第二节</w:t>
      </w:r>
      <w:r>
        <w:rPr>
          <w:spacing w:val="9"/>
        </w:rPr>
        <w:t> </w:t>
      </w:r>
      <w:r>
        <w:rPr/>
        <w:t>报告期内经营情况回顾</w:t>
      </w:r>
      <w:r>
        <w:rPr/>
        <w:t> 一、报告期内总体经营情况</w:t>
      </w:r>
      <w:r>
        <w:rPr>
          <w:b w:val="0"/>
          <w:bCs w:val="0"/>
        </w:rPr>
      </w:r>
    </w:p>
    <w:p>
      <w:pPr>
        <w:pStyle w:val="BodyText"/>
        <w:spacing w:line="240" w:lineRule="auto" w:before="88"/>
        <w:ind w:left="780" w:right="92"/>
        <w:jc w:val="left"/>
      </w:pPr>
      <w:r>
        <w:rPr/>
        <w:t>2009</w:t>
      </w:r>
      <w:r>
        <w:rPr>
          <w:spacing w:val="-60"/>
        </w:rPr>
        <w:t> </w:t>
      </w:r>
      <w:r>
        <w:rPr/>
        <w:t>年，公司着力夯实“网络化”基础，稳步构建批发市场网络体系，积极</w:t>
      </w:r>
    </w:p>
    <w:p>
      <w:pPr>
        <w:pStyle w:val="BodyText"/>
        <w:spacing w:line="240" w:lineRule="auto" w:before="154"/>
        <w:ind w:right="0"/>
        <w:jc w:val="both"/>
      </w:pPr>
      <w:r>
        <w:rPr/>
        <w:t>拓展电子交易新品种，主业呈现持续健康发展态势。截至</w:t>
      </w:r>
      <w:r>
        <w:rPr>
          <w:spacing w:val="-70"/>
        </w:rPr>
        <w:t> </w:t>
      </w:r>
      <w:r>
        <w:rPr/>
        <w:t>2009</w:t>
      </w:r>
      <w:r>
        <w:rPr>
          <w:spacing w:val="-67"/>
        </w:rPr>
        <w:t> </w:t>
      </w:r>
      <w:r>
        <w:rPr/>
        <w:t>年</w:t>
      </w:r>
      <w:r>
        <w:rPr>
          <w:spacing w:val="-67"/>
        </w:rPr>
        <w:t> </w:t>
      </w:r>
      <w:r>
        <w:rPr/>
        <w:t>12</w:t>
      </w:r>
      <w:r>
        <w:rPr>
          <w:spacing w:val="-67"/>
        </w:rPr>
        <w:t> </w:t>
      </w:r>
      <w:r>
        <w:rPr/>
        <w:t>月</w:t>
      </w:r>
      <w:r>
        <w:rPr>
          <w:spacing w:val="-67"/>
        </w:rPr>
        <w:t> </w:t>
      </w:r>
      <w:r>
        <w:rPr/>
        <w:t>31</w:t>
      </w:r>
      <w:r>
        <w:rPr>
          <w:spacing w:val="-67"/>
        </w:rPr>
        <w:t> </w:t>
      </w:r>
      <w:r>
        <w:rPr>
          <w:spacing w:val="-7"/>
        </w:rPr>
        <w:t>日，公</w:t>
      </w:r>
    </w:p>
    <w:p>
      <w:pPr>
        <w:pStyle w:val="BodyText"/>
        <w:spacing w:line="470" w:lineRule="atLeast" w:before="0"/>
        <w:ind w:right="104"/>
        <w:jc w:val="both"/>
      </w:pPr>
      <w:r>
        <w:rPr/>
        <w:t>司总资产达</w:t>
      </w:r>
      <w:r>
        <w:rPr>
          <w:spacing w:val="-50"/>
        </w:rPr>
        <w:t> </w:t>
      </w:r>
      <w:r>
        <w:rPr/>
        <w:t>70.11</w:t>
      </w:r>
      <w:r>
        <w:rPr>
          <w:spacing w:val="-50"/>
        </w:rPr>
        <w:t> </w:t>
      </w:r>
      <w:r>
        <w:rPr/>
        <w:t>亿元，净资产达</w:t>
      </w:r>
      <w:r>
        <w:rPr>
          <w:spacing w:val="-50"/>
        </w:rPr>
        <w:t> </w:t>
      </w:r>
      <w:r>
        <w:rPr/>
        <w:t>34.68</w:t>
      </w:r>
      <w:r>
        <w:rPr>
          <w:spacing w:val="-50"/>
        </w:rPr>
        <w:t> </w:t>
      </w:r>
      <w:r>
        <w:rPr/>
        <w:t>亿元，其中归属于母公司所有者权益合</w:t>
      </w:r>
      <w:r>
        <w:rPr>
          <w:spacing w:val="-110"/>
        </w:rPr>
        <w:t> </w:t>
      </w:r>
      <w:r>
        <w:rPr>
          <w:spacing w:val="-110"/>
        </w:rPr>
      </w:r>
      <w:r>
        <w:rPr/>
        <w:t>计</w:t>
      </w:r>
      <w:r>
        <w:rPr>
          <w:spacing w:val="-60"/>
        </w:rPr>
        <w:t> </w:t>
      </w:r>
      <w:r>
        <w:rPr/>
        <w:t>28.85</w:t>
      </w:r>
      <w:r>
        <w:rPr>
          <w:spacing w:val="-60"/>
        </w:rPr>
        <w:t> </w:t>
      </w:r>
      <w:r>
        <w:rPr/>
        <w:t>亿元，公司资产负债率</w:t>
      </w:r>
      <w:r>
        <w:rPr>
          <w:spacing w:val="-60"/>
        </w:rPr>
        <w:t> </w:t>
      </w:r>
      <w:r>
        <w:rPr/>
        <w:t>50.54％。2009</w:t>
      </w:r>
      <w:r>
        <w:rPr>
          <w:spacing w:val="-60"/>
        </w:rPr>
        <w:t> </w:t>
      </w:r>
      <w:r>
        <w:rPr/>
        <w:t>年</w:t>
      </w:r>
      <w:r>
        <w:rPr>
          <w:spacing w:val="-60"/>
        </w:rPr>
        <w:t> </w:t>
      </w:r>
      <w:r>
        <w:rPr/>
        <w:t>1－12 月，公司累计实现营业</w:t>
      </w:r>
      <w:r>
        <w:rPr/>
        <w:t> 收入</w:t>
      </w:r>
      <w:r>
        <w:rPr>
          <w:spacing w:val="-76"/>
        </w:rPr>
        <w:t> </w:t>
      </w:r>
      <w:r>
        <w:rPr/>
        <w:t>12.46</w:t>
      </w:r>
      <w:r>
        <w:rPr>
          <w:spacing w:val="-76"/>
        </w:rPr>
        <w:t> </w:t>
      </w:r>
      <w:r>
        <w:rPr>
          <w:spacing w:val="-15"/>
        </w:rPr>
        <w:t>亿元，净利润</w:t>
      </w:r>
      <w:r>
        <w:rPr>
          <w:spacing w:val="-76"/>
        </w:rPr>
        <w:t> </w:t>
      </w:r>
      <w:r>
        <w:rPr/>
        <w:t>1.56</w:t>
      </w:r>
      <w:r>
        <w:rPr>
          <w:spacing w:val="-76"/>
        </w:rPr>
        <w:t> </w:t>
      </w:r>
      <w:r>
        <w:rPr>
          <w:spacing w:val="-6"/>
        </w:rPr>
        <w:t>亿元，其中归属于母公司所有者净利润</w:t>
      </w:r>
      <w:r>
        <w:rPr>
          <w:spacing w:val="-78"/>
        </w:rPr>
        <w:t> </w:t>
      </w:r>
      <w:r>
        <w:rPr/>
        <w:t>8,519</w:t>
      </w:r>
      <w:r>
        <w:rPr>
          <w:spacing w:val="-76"/>
        </w:rPr>
        <w:t> </w:t>
      </w:r>
      <w:r>
        <w:rPr/>
        <w:t>万元</w:t>
      </w:r>
      <w:r>
        <w:rPr>
          <w:spacing w:val="-77"/>
        </w:rPr>
        <w:t> </w:t>
      </w:r>
      <w:r>
        <w:rPr/>
        <w:t>；</w:t>
      </w:r>
    </w:p>
    <w:p>
      <w:pPr>
        <w:spacing w:after="0" w:line="470" w:lineRule="atLeast"/>
        <w:jc w:val="both"/>
        <w:sectPr>
          <w:headerReference w:type="default" r:id="rId69"/>
          <w:footerReference w:type="default" r:id="rId70"/>
          <w:pgSz w:w="11910" w:h="16840"/>
          <w:pgMar w:header="0" w:footer="1095" w:top="1040" w:bottom="1280" w:left="1680" w:right="1300"/>
          <w:pgNumType w:start="38"/>
        </w:sectPr>
      </w:pPr>
    </w:p>
    <w:p>
      <w:pPr>
        <w:spacing w:line="300" w:lineRule="auto" w:before="13"/>
        <w:ind w:left="1500" w:right="482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净资产收益率</w:t>
      </w:r>
      <w:r>
        <w:rPr>
          <w:rFonts w:ascii="宋体" w:hAnsi="宋体" w:cs="宋体" w:eastAsia="宋体" w:hint="default"/>
          <w:spacing w:val="-60"/>
          <w:sz w:val="24"/>
          <w:szCs w:val="24"/>
        </w:rPr>
        <w:t> </w:t>
      </w:r>
      <w:r>
        <w:rPr>
          <w:rFonts w:ascii="宋体" w:hAnsi="宋体" w:cs="宋体" w:eastAsia="宋体" w:hint="default"/>
          <w:sz w:val="24"/>
          <w:szCs w:val="24"/>
        </w:rPr>
        <w:t>2.97％。</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二、公司主营业务及其经营状况</w:t>
      </w:r>
      <w:r>
        <w:rPr>
          <w:rFonts w:ascii="Microsoft JhengHei" w:hAnsi="Microsoft JhengHei" w:cs="Microsoft JhengHei" w:eastAsia="Microsoft JhengHei" w:hint="default"/>
          <w:sz w:val="24"/>
          <w:szCs w:val="24"/>
        </w:rPr>
      </w:r>
    </w:p>
    <w:p>
      <w:pPr>
        <w:pStyle w:val="BodyText"/>
        <w:spacing w:line="357" w:lineRule="auto" w:before="47"/>
        <w:ind w:left="1020" w:right="0" w:firstLine="480"/>
        <w:jc w:val="left"/>
      </w:pPr>
      <w:r>
        <w:rPr/>
        <w:t>公司主要业务为农产品批发市场的开发、建设、经营和管理，业务范围涉及 农产品流通、大宗农产品电子交易和蔬菜种植、牲畜养殖、屠宰加工等。</w:t>
      </w:r>
    </w:p>
    <w:p>
      <w:pPr>
        <w:pStyle w:val="BodyText"/>
        <w:spacing w:line="240" w:lineRule="auto"/>
        <w:ind w:left="1497" w:right="4826"/>
        <w:jc w:val="left"/>
      </w:pPr>
      <w:r>
        <w:rPr/>
        <w:t>1、主营业务分行业构成情况：</w:t>
      </w:r>
    </w:p>
    <w:p>
      <w:pPr>
        <w:spacing w:before="179"/>
        <w:ind w:left="0" w:right="249" w:firstLine="0"/>
        <w:jc w:val="right"/>
        <w:rPr>
          <w:rFonts w:ascii="宋体" w:hAnsi="宋体" w:cs="宋体" w:eastAsia="宋体" w:hint="default"/>
          <w:sz w:val="21"/>
          <w:szCs w:val="21"/>
        </w:rPr>
      </w:pPr>
      <w:r>
        <w:rPr/>
        <w:pict>
          <v:shape style="position:absolute;margin-left:53.759998pt;margin-top:29.013676pt;width:474.15pt;height:13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38"/>
                    <w:gridCol w:w="1078"/>
                    <w:gridCol w:w="1262"/>
                    <w:gridCol w:w="1090"/>
                    <w:gridCol w:w="1236"/>
                    <w:gridCol w:w="1238"/>
                    <w:gridCol w:w="1226"/>
                  </w:tblGrid>
                  <w:tr>
                    <w:trPr>
                      <w:trHeight w:val="370" w:hRule="exact"/>
                    </w:trPr>
                    <w:tc>
                      <w:tcPr>
                        <w:tcW w:w="2338" w:type="dxa"/>
                        <w:vMerge w:val="restart"/>
                        <w:tcBorders>
                          <w:top w:val="single" w:sz="4" w:space="0" w:color="000008"/>
                          <w:left w:val="single" w:sz="4" w:space="0" w:color="000008"/>
                          <w:right w:val="single" w:sz="4" w:space="0" w:color="000008"/>
                        </w:tcBorders>
                        <w:shd w:val="clear" w:color="auto" w:fill="D9D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w:t>
                        </w:r>
                      </w:p>
                    </w:tc>
                    <w:tc>
                      <w:tcPr>
                        <w:tcW w:w="2340" w:type="dxa"/>
                        <w:gridSpan w:val="2"/>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26" w:type="dxa"/>
                        <w:gridSpan w:val="2"/>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465" w:type="dxa"/>
                        <w:gridSpan w:val="2"/>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372" w:hRule="exact"/>
                    </w:trPr>
                    <w:tc>
                      <w:tcPr>
                        <w:tcW w:w="2338" w:type="dxa"/>
                        <w:vMerge/>
                        <w:tcBorders>
                          <w:left w:val="single" w:sz="4" w:space="0" w:color="000008"/>
                          <w:bottom w:val="single" w:sz="4" w:space="0" w:color="000008"/>
                          <w:right w:val="single" w:sz="4" w:space="0" w:color="000008"/>
                        </w:tcBorders>
                        <w:shd w:val="clear" w:color="auto" w:fill="D9D9D9"/>
                      </w:tcPr>
                      <w:p>
                        <w:pPr/>
                      </w:p>
                    </w:tc>
                    <w:tc>
                      <w:tcPr>
                        <w:tcW w:w="1078"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41"/>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62"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c>
                      <w:tcPr>
                        <w:tcW w:w="1090"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3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c>
                      <w:tcPr>
                        <w:tcW w:w="1238"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370" w:hRule="exact"/>
                    </w:trPr>
                    <w:tc>
                      <w:tcPr>
                        <w:tcW w:w="2338"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农产品批发市场业务</w:t>
                        </w:r>
                      </w:p>
                    </w:tc>
                    <w:tc>
                      <w:tcPr>
                        <w:tcW w:w="10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117" w:right="0"/>
                          <w:jc w:val="left"/>
                          <w:rPr>
                            <w:rFonts w:ascii="Times New Roman" w:hAnsi="Times New Roman" w:cs="Times New Roman" w:eastAsia="Times New Roman" w:hint="default"/>
                            <w:sz w:val="18"/>
                            <w:szCs w:val="18"/>
                          </w:rPr>
                        </w:pPr>
                        <w:r>
                          <w:rPr>
                            <w:rFonts w:ascii="Times New Roman"/>
                            <w:sz w:val="18"/>
                          </w:rPr>
                          <w:t>67,717.95</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9.14</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15,029.58</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15.15</w:t>
                        </w:r>
                      </w:p>
                    </w:tc>
                    <w:tc>
                      <w:tcPr>
                        <w:tcW w:w="12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52,688.37</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7.54</w:t>
                        </w:r>
                      </w:p>
                    </w:tc>
                  </w:tr>
                  <w:tr>
                    <w:trPr>
                      <w:trHeight w:val="370" w:hRule="exact"/>
                    </w:trPr>
                    <w:tc>
                      <w:tcPr>
                        <w:tcW w:w="2338"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农产品生产加工养殖业务</w:t>
                        </w:r>
                      </w:p>
                    </w:tc>
                    <w:tc>
                      <w:tcPr>
                        <w:tcW w:w="10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72" w:right="0"/>
                          <w:jc w:val="left"/>
                          <w:rPr>
                            <w:rFonts w:ascii="Times New Roman" w:hAnsi="Times New Roman" w:cs="Times New Roman" w:eastAsia="Times New Roman" w:hint="default"/>
                            <w:sz w:val="18"/>
                            <w:szCs w:val="18"/>
                          </w:rPr>
                        </w:pPr>
                        <w:r>
                          <w:rPr>
                            <w:rFonts w:ascii="Times New Roman"/>
                            <w:sz w:val="18"/>
                          </w:rPr>
                          <w:t>49,936.23</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-7.67</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44,574.70</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-2.19</w:t>
                        </w:r>
                      </w:p>
                    </w:tc>
                    <w:tc>
                      <w:tcPr>
                        <w:tcW w:w="12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5,361.53</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-37.03</w:t>
                        </w:r>
                      </w:p>
                    </w:tc>
                  </w:tr>
                  <w:tr>
                    <w:trPr>
                      <w:trHeight w:val="370" w:hRule="exact"/>
                    </w:trPr>
                    <w:tc>
                      <w:tcPr>
                        <w:tcW w:w="2338"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农批市场配套服务业务</w:t>
                        </w:r>
                      </w:p>
                    </w:tc>
                    <w:tc>
                      <w:tcPr>
                        <w:tcW w:w="10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18" w:right="0"/>
                          <w:jc w:val="left"/>
                          <w:rPr>
                            <w:rFonts w:ascii="Times New Roman" w:hAnsi="Times New Roman" w:cs="Times New Roman" w:eastAsia="Times New Roman" w:hint="default"/>
                            <w:sz w:val="18"/>
                            <w:szCs w:val="18"/>
                          </w:rPr>
                        </w:pPr>
                        <w:r>
                          <w:rPr>
                            <w:rFonts w:ascii="Times New Roman"/>
                            <w:sz w:val="18"/>
                          </w:rPr>
                          <w:t>6,264.31</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-10.38</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2,487.32</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-24.86</w:t>
                        </w:r>
                      </w:p>
                    </w:tc>
                    <w:tc>
                      <w:tcPr>
                        <w:tcW w:w="12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3,776.99</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2.65</w:t>
                        </w:r>
                      </w:p>
                    </w:tc>
                  </w:tr>
                  <w:tr>
                    <w:trPr>
                      <w:trHeight w:val="370" w:hRule="exact"/>
                    </w:trPr>
                    <w:tc>
                      <w:tcPr>
                        <w:tcW w:w="2338"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减内部行业之间抵消</w:t>
                        </w:r>
                      </w:p>
                    </w:tc>
                    <w:tc>
                      <w:tcPr>
                        <w:tcW w:w="10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9"/>
                          <w:ind w:left="285" w:right="0"/>
                          <w:jc w:val="left"/>
                          <w:rPr>
                            <w:rFonts w:ascii="Times New Roman" w:hAnsi="Times New Roman" w:cs="Times New Roman" w:eastAsia="Times New Roman" w:hint="default"/>
                            <w:sz w:val="18"/>
                            <w:szCs w:val="18"/>
                          </w:rPr>
                        </w:pPr>
                        <w:r>
                          <w:rPr>
                            <w:rFonts w:ascii="Times New Roman"/>
                            <w:sz w:val="18"/>
                          </w:rPr>
                          <w:t>846.59</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7.29</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208.79</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-33.15</w:t>
                        </w:r>
                      </w:p>
                    </w:tc>
                    <w:tc>
                      <w:tcPr>
                        <w:tcW w:w="12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637.80</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33.79</w:t>
                        </w:r>
                      </w:p>
                    </w:tc>
                  </w:tr>
                  <w:tr>
                    <w:trPr>
                      <w:trHeight w:val="370" w:hRule="exact"/>
                    </w:trPr>
                    <w:tc>
                      <w:tcPr>
                        <w:tcW w:w="2338"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37"/>
                          <w:ind w:left="715" w:right="0"/>
                          <w:jc w:val="left"/>
                          <w:rPr>
                            <w:rFonts w:ascii="宋体" w:hAnsi="宋体" w:cs="宋体" w:eastAsia="宋体" w:hint="default"/>
                            <w:sz w:val="18"/>
                            <w:szCs w:val="18"/>
                          </w:rPr>
                        </w:pPr>
                        <w:r>
                          <w:rPr>
                            <w:rFonts w:ascii="宋体" w:hAnsi="宋体" w:cs="宋体" w:eastAsia="宋体" w:hint="default"/>
                            <w:sz w:val="18"/>
                            <w:szCs w:val="18"/>
                          </w:rPr>
                          <w:t>抵消后合计</w:t>
                        </w:r>
                      </w:p>
                    </w:tc>
                    <w:tc>
                      <w:tcPr>
                        <w:tcW w:w="10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29" w:right="0"/>
                          <w:jc w:val="left"/>
                          <w:rPr>
                            <w:rFonts w:ascii="Times New Roman" w:hAnsi="Times New Roman" w:cs="Times New Roman" w:eastAsia="Times New Roman" w:hint="default"/>
                            <w:sz w:val="18"/>
                            <w:szCs w:val="18"/>
                          </w:rPr>
                        </w:pPr>
                        <w:r>
                          <w:rPr>
                            <w:rFonts w:ascii="Times New Roman"/>
                            <w:sz w:val="18"/>
                          </w:rPr>
                          <w:t>123,071.90</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0.61</w:t>
                        </w:r>
                      </w:p>
                    </w:tc>
                    <w:tc>
                      <w:tcPr>
                        <w:tcW w:w="10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61,882.81</w:t>
                        </w:r>
                      </w:p>
                    </w:tc>
                    <w:tc>
                      <w:tcPr>
                        <w:tcW w:w="12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0.43</w:t>
                        </w:r>
                      </w:p>
                    </w:tc>
                    <w:tc>
                      <w:tcPr>
                        <w:tcW w:w="12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61,189.09</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0.79</w:t>
                        </w:r>
                      </w:p>
                    </w:tc>
                  </w:tr>
                </w:tbl>
                <w:p>
                  <w:pPr/>
                </w:p>
              </w:txbxContent>
            </v:textbox>
            <w10:wrap type="none"/>
          </v:shape>
        </w:pict>
      </w:r>
      <w:r>
        <w:rPr>
          <w:rFonts w:ascii="宋体" w:hAnsi="宋体" w:cs="宋体" w:eastAsia="宋体" w:hint="default"/>
          <w:spacing w:val="-2"/>
          <w:sz w:val="21"/>
          <w:szCs w:val="21"/>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5"/>
        <w:spacing w:line="268" w:lineRule="auto"/>
        <w:ind w:left="1020" w:right="144" w:firstLine="480"/>
        <w:jc w:val="both"/>
        <w:rPr>
          <w:b w:val="0"/>
          <w:bCs w:val="0"/>
        </w:rPr>
      </w:pPr>
      <w:r>
        <w:rPr/>
        <w:t>从公司涉及的行业构成来看，报告期内，农产品批发市场业务主营收入同比 增长</w:t>
      </w:r>
      <w:r>
        <w:rPr>
          <w:spacing w:val="43"/>
        </w:rPr>
        <w:t> </w:t>
      </w:r>
      <w:r>
        <w:rPr/>
        <w:t>9.14％，稳步提升。生产加工养殖业务与市场配套服务行业收入有所下降，</w:t>
      </w:r>
      <w:r>
        <w:rPr>
          <w:spacing w:val="-48"/>
        </w:rPr>
        <w:t> </w:t>
      </w:r>
      <w:r>
        <w:rPr>
          <w:spacing w:val="-48"/>
        </w:rPr>
      </w:r>
      <w:r>
        <w:rPr/>
        <w:t>整体主业经营情况保持稳定趋好。</w:t>
      </w:r>
      <w:r>
        <w:rPr>
          <w:b w:val="0"/>
          <w:bCs w:val="0"/>
        </w:rPr>
      </w:r>
    </w:p>
    <w:p>
      <w:pPr>
        <w:pStyle w:val="BodyText"/>
        <w:spacing w:line="240" w:lineRule="auto" w:before="88"/>
        <w:ind w:left="1500" w:right="4826"/>
        <w:jc w:val="left"/>
      </w:pPr>
      <w:r>
        <w:rPr/>
        <w:t>2、业务分地区构成情况：</w:t>
      </w:r>
    </w:p>
    <w:p>
      <w:pPr>
        <w:spacing w:before="177"/>
        <w:ind w:left="0" w:right="221" w:firstLine="0"/>
        <w:jc w:val="right"/>
        <w:rPr>
          <w:rFonts w:ascii="宋体" w:hAnsi="宋体" w:cs="宋体" w:eastAsia="宋体" w:hint="default"/>
          <w:sz w:val="21"/>
          <w:szCs w:val="21"/>
        </w:rPr>
      </w:pPr>
      <w:r>
        <w:rPr>
          <w:rFonts w:ascii="宋体" w:hAnsi="宋体" w:cs="宋体" w:eastAsia="宋体" w:hint="default"/>
          <w:spacing w:val="-2"/>
          <w:sz w:val="21"/>
          <w:szCs w:val="21"/>
        </w:rPr>
        <w:t>单位：万元</w:t>
      </w:r>
    </w:p>
    <w:p>
      <w:pPr>
        <w:spacing w:line="240" w:lineRule="auto" w:before="11"/>
        <w:rPr>
          <w:rFonts w:ascii="宋体" w:hAnsi="宋体" w:cs="宋体" w:eastAsia="宋体" w:hint="default"/>
          <w:sz w:val="9"/>
          <w:szCs w:val="9"/>
        </w:rPr>
      </w:pPr>
    </w:p>
    <w:tbl>
      <w:tblPr>
        <w:tblW w:w="0" w:type="auto"/>
        <w:jc w:val="left"/>
        <w:tblInd w:w="907" w:type="dxa"/>
        <w:tblLayout w:type="fixed"/>
        <w:tblCellMar>
          <w:top w:w="0" w:type="dxa"/>
          <w:left w:w="0" w:type="dxa"/>
          <w:bottom w:w="0" w:type="dxa"/>
          <w:right w:w="0" w:type="dxa"/>
        </w:tblCellMar>
        <w:tblLook w:val="01E0"/>
      </w:tblPr>
      <w:tblGrid>
        <w:gridCol w:w="1226"/>
        <w:gridCol w:w="1277"/>
        <w:gridCol w:w="1370"/>
        <w:gridCol w:w="1116"/>
        <w:gridCol w:w="1229"/>
        <w:gridCol w:w="1231"/>
        <w:gridCol w:w="1226"/>
      </w:tblGrid>
      <w:tr>
        <w:trPr>
          <w:trHeight w:val="478" w:hRule="exact"/>
        </w:trPr>
        <w:tc>
          <w:tcPr>
            <w:tcW w:w="1226" w:type="dxa"/>
            <w:vMerge w:val="restart"/>
            <w:tcBorders>
              <w:top w:val="single" w:sz="4" w:space="0" w:color="000008"/>
              <w:left w:val="single" w:sz="4" w:space="0" w:color="000008"/>
              <w:right w:val="single" w:sz="4" w:space="0" w:color="000008"/>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647" w:type="dxa"/>
            <w:gridSpan w:val="2"/>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87"/>
              <w:ind w:left="868"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2345" w:type="dxa"/>
            <w:gridSpan w:val="2"/>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87"/>
              <w:ind w:left="720"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2458" w:type="dxa"/>
            <w:gridSpan w:val="2"/>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营业收益</w:t>
            </w:r>
          </w:p>
        </w:tc>
      </w:tr>
      <w:tr>
        <w:trPr>
          <w:trHeight w:val="478" w:hRule="exact"/>
        </w:trPr>
        <w:tc>
          <w:tcPr>
            <w:tcW w:w="1226" w:type="dxa"/>
            <w:vMerge/>
            <w:tcBorders>
              <w:left w:val="single" w:sz="4" w:space="0" w:color="000008"/>
              <w:bottom w:val="single" w:sz="4" w:space="0" w:color="000008"/>
              <w:right w:val="single" w:sz="4" w:space="0" w:color="000008"/>
            </w:tcBorders>
            <w:shd w:val="clear" w:color="auto" w:fill="D9D9D9"/>
          </w:tcPr>
          <w:p>
            <w:pPr/>
          </w:p>
        </w:tc>
        <w:tc>
          <w:tcPr>
            <w:tcW w:w="1277"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年度</w:t>
            </w:r>
          </w:p>
        </w:tc>
        <w:tc>
          <w:tcPr>
            <w:tcW w:w="1370"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4"/>
              <w:ind w:left="3"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111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4"/>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29"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4"/>
              <w:ind w:left="6"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1231"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8" w:hRule="exact"/>
        </w:trPr>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广东省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86,834.33</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-6.32</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6" w:right="0"/>
              <w:jc w:val="center"/>
              <w:rPr>
                <w:rFonts w:ascii="宋体" w:hAnsi="宋体" w:cs="宋体" w:eastAsia="宋体" w:hint="default"/>
                <w:sz w:val="18"/>
                <w:szCs w:val="18"/>
              </w:rPr>
            </w:pPr>
            <w:r>
              <w:rPr>
                <w:rFonts w:ascii="宋体"/>
                <w:sz w:val="18"/>
              </w:rPr>
              <w:t>95,539.15</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-5.46</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-8,704.82</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w:t>
            </w:r>
          </w:p>
        </w:tc>
      </w:tr>
      <w:tr>
        <w:trPr>
          <w:trHeight w:val="478" w:hRule="exact"/>
        </w:trPr>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江西省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 w:right="0"/>
              <w:jc w:val="center"/>
              <w:rPr>
                <w:rFonts w:ascii="宋体" w:hAnsi="宋体" w:cs="宋体" w:eastAsia="宋体" w:hint="default"/>
                <w:sz w:val="18"/>
                <w:szCs w:val="18"/>
              </w:rPr>
            </w:pPr>
            <w:r>
              <w:rPr>
                <w:rFonts w:ascii="宋体"/>
                <w:sz w:val="18"/>
              </w:rPr>
              <w:t>4,268.20</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 w:right="0"/>
              <w:jc w:val="center"/>
              <w:rPr>
                <w:rFonts w:ascii="宋体" w:hAnsi="宋体" w:cs="宋体" w:eastAsia="宋体" w:hint="default"/>
                <w:sz w:val="18"/>
                <w:szCs w:val="18"/>
              </w:rPr>
            </w:pPr>
            <w:r>
              <w:rPr>
                <w:rFonts w:ascii="宋体"/>
                <w:sz w:val="18"/>
              </w:rPr>
              <w:t>31.06</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8" w:right="0"/>
              <w:jc w:val="center"/>
              <w:rPr>
                <w:rFonts w:ascii="宋体" w:hAnsi="宋体" w:cs="宋体" w:eastAsia="宋体" w:hint="default"/>
                <w:sz w:val="18"/>
                <w:szCs w:val="18"/>
              </w:rPr>
            </w:pPr>
            <w:r>
              <w:rPr>
                <w:rFonts w:ascii="宋体"/>
                <w:sz w:val="18"/>
              </w:rPr>
              <w:t>2,528.40</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3" w:right="0"/>
              <w:jc w:val="center"/>
              <w:rPr>
                <w:rFonts w:ascii="宋体" w:hAnsi="宋体" w:cs="宋体" w:eastAsia="宋体" w:hint="default"/>
                <w:sz w:val="18"/>
                <w:szCs w:val="18"/>
              </w:rPr>
            </w:pPr>
            <w:r>
              <w:rPr>
                <w:rFonts w:ascii="宋体"/>
                <w:sz w:val="18"/>
              </w:rPr>
              <w:t>16.27</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1,739.80</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60.80</w:t>
            </w:r>
          </w:p>
        </w:tc>
      </w:tr>
      <w:tr>
        <w:trPr>
          <w:trHeight w:val="478" w:hRule="exact"/>
        </w:trPr>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10,619.77</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13.96</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8" w:right="0"/>
              <w:jc w:val="center"/>
              <w:rPr>
                <w:rFonts w:ascii="宋体" w:hAnsi="宋体" w:cs="宋体" w:eastAsia="宋体" w:hint="default"/>
                <w:sz w:val="18"/>
                <w:szCs w:val="18"/>
              </w:rPr>
            </w:pPr>
            <w:r>
              <w:rPr>
                <w:rFonts w:ascii="宋体"/>
                <w:sz w:val="18"/>
              </w:rPr>
              <w:t>5,386.94</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6" w:right="0"/>
              <w:jc w:val="center"/>
              <w:rPr>
                <w:rFonts w:ascii="宋体" w:hAnsi="宋体" w:cs="宋体" w:eastAsia="宋体" w:hint="default"/>
                <w:sz w:val="18"/>
                <w:szCs w:val="18"/>
              </w:rPr>
            </w:pPr>
            <w:r>
              <w:rPr>
                <w:rFonts w:ascii="宋体"/>
                <w:sz w:val="18"/>
              </w:rPr>
              <w:t>5.41</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5,232.83</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24.35</w:t>
            </w:r>
          </w:p>
        </w:tc>
      </w:tr>
      <w:tr>
        <w:trPr>
          <w:trHeight w:val="480" w:hRule="exact"/>
        </w:trPr>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山东省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 w:right="0"/>
              <w:jc w:val="center"/>
              <w:rPr>
                <w:rFonts w:ascii="宋体" w:hAnsi="宋体" w:cs="宋体" w:eastAsia="宋体" w:hint="default"/>
                <w:sz w:val="18"/>
                <w:szCs w:val="18"/>
              </w:rPr>
            </w:pPr>
            <w:r>
              <w:rPr>
                <w:rFonts w:ascii="宋体"/>
                <w:sz w:val="18"/>
              </w:rPr>
              <w:t>5,479.26</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 w:right="0"/>
              <w:jc w:val="center"/>
              <w:rPr>
                <w:rFonts w:ascii="宋体" w:hAnsi="宋体" w:cs="宋体" w:eastAsia="宋体" w:hint="default"/>
                <w:sz w:val="18"/>
                <w:szCs w:val="18"/>
              </w:rPr>
            </w:pPr>
            <w:r>
              <w:rPr>
                <w:rFonts w:ascii="宋体"/>
                <w:sz w:val="18"/>
              </w:rPr>
              <w:t>-10.97</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8" w:right="0"/>
              <w:jc w:val="center"/>
              <w:rPr>
                <w:rFonts w:ascii="宋体" w:hAnsi="宋体" w:cs="宋体" w:eastAsia="宋体" w:hint="default"/>
                <w:sz w:val="18"/>
                <w:szCs w:val="18"/>
              </w:rPr>
            </w:pPr>
            <w:r>
              <w:rPr>
                <w:rFonts w:ascii="宋体"/>
                <w:sz w:val="18"/>
              </w:rPr>
              <w:t>3,657.49</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3" w:right="0"/>
              <w:jc w:val="center"/>
              <w:rPr>
                <w:rFonts w:ascii="宋体" w:hAnsi="宋体" w:cs="宋体" w:eastAsia="宋体" w:hint="default"/>
                <w:sz w:val="18"/>
                <w:szCs w:val="18"/>
              </w:rPr>
            </w:pPr>
            <w:r>
              <w:rPr>
                <w:rFonts w:ascii="宋体"/>
                <w:sz w:val="18"/>
              </w:rPr>
              <w:t>13.37</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1,821.77</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 w:right="0"/>
              <w:jc w:val="center"/>
              <w:rPr>
                <w:rFonts w:ascii="宋体" w:hAnsi="宋体" w:cs="宋体" w:eastAsia="宋体" w:hint="default"/>
                <w:sz w:val="18"/>
                <w:szCs w:val="18"/>
              </w:rPr>
            </w:pPr>
            <w:r>
              <w:rPr>
                <w:rFonts w:ascii="宋体"/>
                <w:sz w:val="18"/>
              </w:rPr>
              <w:t>-37.78</w:t>
            </w:r>
          </w:p>
        </w:tc>
      </w:tr>
      <w:tr>
        <w:trPr>
          <w:trHeight w:val="946" w:hRule="exact"/>
        </w:trPr>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陕西省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1,334.35</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55.07</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 w:right="0"/>
              <w:jc w:val="center"/>
              <w:rPr>
                <w:rFonts w:ascii="宋体" w:hAnsi="宋体" w:cs="宋体" w:eastAsia="宋体" w:hint="default"/>
                <w:sz w:val="18"/>
                <w:szCs w:val="18"/>
              </w:rPr>
            </w:pPr>
            <w:r>
              <w:rPr>
                <w:rFonts w:ascii="宋体"/>
                <w:sz w:val="18"/>
              </w:rPr>
              <w:t>2,537.25</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 w:right="0"/>
              <w:jc w:val="center"/>
              <w:rPr>
                <w:rFonts w:ascii="宋体" w:hAnsi="宋体" w:cs="宋体" w:eastAsia="宋体" w:hint="default"/>
                <w:sz w:val="18"/>
                <w:szCs w:val="18"/>
              </w:rPr>
            </w:pPr>
            <w:r>
              <w:rPr>
                <w:rFonts w:ascii="宋体"/>
                <w:sz w:val="18"/>
              </w:rPr>
              <w:t>0.11</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-1,202.90</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减亏</w:t>
            </w:r>
            <w:r>
              <w:rPr>
                <w:rFonts w:ascii="宋体" w:hAnsi="宋体" w:cs="宋体" w:eastAsia="宋体" w:hint="default"/>
                <w:spacing w:val="-46"/>
                <w:sz w:val="18"/>
                <w:szCs w:val="18"/>
              </w:rPr>
              <w:t> </w:t>
            </w:r>
            <w:r>
              <w:rPr>
                <w:rFonts w:ascii="宋体" w:hAnsi="宋体" w:cs="宋体" w:eastAsia="宋体" w:hint="default"/>
                <w:sz w:val="18"/>
                <w:szCs w:val="18"/>
              </w:rPr>
              <w:t>471.11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478" w:hRule="exact"/>
        </w:trPr>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四川省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3,398.18</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40.16</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8" w:right="0"/>
              <w:jc w:val="center"/>
              <w:rPr>
                <w:rFonts w:ascii="宋体" w:hAnsi="宋体" w:cs="宋体" w:eastAsia="宋体" w:hint="default"/>
                <w:sz w:val="18"/>
                <w:szCs w:val="18"/>
              </w:rPr>
            </w:pPr>
            <w:r>
              <w:rPr>
                <w:rFonts w:ascii="宋体"/>
                <w:sz w:val="18"/>
              </w:rPr>
              <w:t>2,738.89</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6" w:right="0"/>
              <w:jc w:val="center"/>
              <w:rPr>
                <w:rFonts w:ascii="宋体" w:hAnsi="宋体" w:cs="宋体" w:eastAsia="宋体" w:hint="default"/>
                <w:sz w:val="18"/>
                <w:szCs w:val="18"/>
              </w:rPr>
            </w:pPr>
            <w:r>
              <w:rPr>
                <w:rFonts w:ascii="宋体"/>
                <w:sz w:val="18"/>
              </w:rPr>
              <w:t>5.65</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659.29</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由负转正</w:t>
            </w:r>
          </w:p>
        </w:tc>
      </w:tr>
      <w:tr>
        <w:trPr>
          <w:trHeight w:val="478" w:hRule="exact"/>
        </w:trPr>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云南省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5,196.14</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60.60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8" w:right="0"/>
              <w:jc w:val="center"/>
              <w:rPr>
                <w:rFonts w:ascii="宋体" w:hAnsi="宋体" w:cs="宋体" w:eastAsia="宋体" w:hint="default"/>
                <w:sz w:val="18"/>
                <w:szCs w:val="18"/>
              </w:rPr>
            </w:pPr>
            <w:r>
              <w:rPr>
                <w:rFonts w:ascii="宋体"/>
                <w:sz w:val="18"/>
              </w:rPr>
              <w:t>2,759.60</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468.74</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2,436.54</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-11.41</w:t>
            </w:r>
          </w:p>
        </w:tc>
      </w:tr>
      <w:tr>
        <w:trPr>
          <w:trHeight w:val="946" w:hRule="exact"/>
        </w:trPr>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湖南省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7,692.94</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33.04</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 w:right="0"/>
              <w:jc w:val="center"/>
              <w:rPr>
                <w:rFonts w:ascii="宋体" w:hAnsi="宋体" w:cs="宋体" w:eastAsia="宋体" w:hint="default"/>
                <w:sz w:val="18"/>
                <w:szCs w:val="18"/>
              </w:rPr>
            </w:pPr>
            <w:r>
              <w:rPr>
                <w:rFonts w:ascii="宋体"/>
                <w:sz w:val="18"/>
              </w:rPr>
              <w:t>5,814.30</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14.40</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1,878.64</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 w:right="0"/>
              <w:jc w:val="center"/>
              <w:rPr>
                <w:rFonts w:ascii="宋体" w:hAnsi="宋体" w:cs="宋体" w:eastAsia="宋体" w:hint="default"/>
                <w:sz w:val="18"/>
                <w:szCs w:val="18"/>
              </w:rPr>
            </w:pPr>
            <w:r>
              <w:rPr>
                <w:rFonts w:ascii="宋体"/>
                <w:sz w:val="18"/>
              </w:rPr>
              <w:t>168.35</w:t>
            </w:r>
          </w:p>
        </w:tc>
      </w:tr>
      <w:tr>
        <w:trPr>
          <w:trHeight w:val="946" w:hRule="exact"/>
        </w:trPr>
        <w:tc>
          <w:tcPr>
            <w:tcW w:w="1226"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广西省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572.53</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170.70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 w:right="0"/>
              <w:jc w:val="center"/>
              <w:rPr>
                <w:rFonts w:ascii="宋体" w:hAnsi="宋体" w:cs="宋体" w:eastAsia="宋体" w:hint="default"/>
                <w:sz w:val="18"/>
                <w:szCs w:val="18"/>
              </w:rPr>
            </w:pPr>
            <w:r>
              <w:rPr>
                <w:rFonts w:ascii="宋体"/>
                <w:sz w:val="18"/>
              </w:rPr>
              <w:t>808.00</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73.54</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-235.47</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减亏</w:t>
            </w:r>
            <w:r>
              <w:rPr>
                <w:rFonts w:ascii="宋体" w:hAnsi="宋体" w:cs="宋体" w:eastAsia="宋体" w:hint="default"/>
                <w:spacing w:val="-47"/>
                <w:sz w:val="18"/>
                <w:szCs w:val="18"/>
              </w:rPr>
              <w:t> </w:t>
            </w:r>
            <w:r>
              <w:rPr>
                <w:rFonts w:ascii="宋体" w:hAnsi="宋体" w:cs="宋体" w:eastAsia="宋体" w:hint="default"/>
                <w:sz w:val="18"/>
                <w:szCs w:val="18"/>
              </w:rPr>
              <w:t>18.63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r>
    </w:tbl>
    <w:p>
      <w:pPr>
        <w:spacing w:after="0" w:line="240" w:lineRule="auto"/>
        <w:jc w:val="center"/>
        <w:rPr>
          <w:rFonts w:ascii="宋体" w:hAnsi="宋体" w:cs="宋体" w:eastAsia="宋体" w:hint="default"/>
          <w:sz w:val="18"/>
          <w:szCs w:val="18"/>
        </w:rPr>
        <w:sectPr>
          <w:headerReference w:type="default" r:id="rId71"/>
          <w:footerReference w:type="default" r:id="rId72"/>
          <w:pgSz w:w="11910" w:h="16840"/>
          <w:pgMar w:header="0" w:footer="1095" w:top="1100" w:bottom="1280" w:left="960" w:right="1240"/>
          <w:pgNumType w:start="39"/>
        </w:sectPr>
      </w:pPr>
    </w:p>
    <w:p>
      <w:pPr>
        <w:spacing w:line="240" w:lineRule="auto" w:before="6"/>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1224"/>
        <w:gridCol w:w="1277"/>
        <w:gridCol w:w="1373"/>
        <w:gridCol w:w="1116"/>
        <w:gridCol w:w="1229"/>
        <w:gridCol w:w="1231"/>
        <w:gridCol w:w="1226"/>
      </w:tblGrid>
      <w:tr>
        <w:trPr>
          <w:trHeight w:val="478" w:hRule="exact"/>
        </w:trPr>
        <w:tc>
          <w:tcPr>
            <w:tcW w:w="1224"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安徽省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46.39</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452"/>
              <w:jc w:val="right"/>
              <w:rPr>
                <w:rFonts w:ascii="宋体" w:hAnsi="宋体" w:cs="宋体" w:eastAsia="宋体" w:hint="default"/>
                <w:sz w:val="18"/>
                <w:szCs w:val="18"/>
              </w:rPr>
            </w:pPr>
            <w:r>
              <w:rPr>
                <w:rFonts w:ascii="宋体"/>
                <w:spacing w:val="-1"/>
                <w:sz w:val="18"/>
              </w:rPr>
              <w:t>-0.18</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6" w:right="0"/>
              <w:jc w:val="center"/>
              <w:rPr>
                <w:rFonts w:ascii="宋体" w:hAnsi="宋体" w:cs="宋体" w:eastAsia="宋体" w:hint="default"/>
                <w:sz w:val="18"/>
                <w:szCs w:val="18"/>
              </w:rPr>
            </w:pPr>
            <w:r>
              <w:rPr>
                <w:rFonts w:ascii="宋体"/>
                <w:sz w:val="18"/>
              </w:rPr>
              <w:t>337.22</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335"/>
              <w:jc w:val="right"/>
              <w:rPr>
                <w:rFonts w:ascii="宋体" w:hAnsi="宋体" w:cs="宋体" w:eastAsia="宋体" w:hint="default"/>
                <w:sz w:val="18"/>
                <w:szCs w:val="18"/>
              </w:rPr>
            </w:pPr>
            <w:r>
              <w:rPr>
                <w:rFonts w:ascii="宋体"/>
                <w:spacing w:val="-1"/>
                <w:sz w:val="18"/>
              </w:rPr>
              <w:t>151.44</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294"/>
              <w:jc w:val="right"/>
              <w:rPr>
                <w:rFonts w:ascii="宋体" w:hAnsi="宋体" w:cs="宋体" w:eastAsia="宋体" w:hint="default"/>
                <w:sz w:val="18"/>
                <w:szCs w:val="18"/>
              </w:rPr>
            </w:pPr>
            <w:r>
              <w:rPr>
                <w:rFonts w:ascii="宋体"/>
                <w:spacing w:val="-1"/>
                <w:sz w:val="18"/>
              </w:rPr>
              <w:t>-290.83</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w:t>
            </w:r>
          </w:p>
        </w:tc>
      </w:tr>
      <w:tr>
        <w:trPr>
          <w:trHeight w:val="480" w:hRule="exact"/>
        </w:trPr>
        <w:tc>
          <w:tcPr>
            <w:tcW w:w="1224"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辽宁省</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3" w:right="0"/>
              <w:jc w:val="center"/>
              <w:rPr>
                <w:rFonts w:ascii="宋体" w:hAnsi="宋体" w:cs="宋体" w:eastAsia="宋体" w:hint="default"/>
                <w:sz w:val="18"/>
                <w:szCs w:val="18"/>
              </w:rPr>
            </w:pPr>
            <w:r>
              <w:rPr>
                <w:rFonts w:ascii="宋体"/>
                <w:sz w:val="18"/>
              </w:rPr>
              <w:t>--</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3" w:right="0"/>
              <w:jc w:val="center"/>
              <w:rPr>
                <w:rFonts w:ascii="宋体" w:hAnsi="宋体" w:cs="宋体" w:eastAsia="宋体" w:hint="default"/>
                <w:sz w:val="18"/>
                <w:szCs w:val="18"/>
              </w:rPr>
            </w:pPr>
            <w:r>
              <w:rPr>
                <w:rFonts w:ascii="宋体"/>
                <w:sz w:val="18"/>
              </w:rPr>
              <w:t>--</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6" w:right="0"/>
              <w:jc w:val="center"/>
              <w:rPr>
                <w:rFonts w:ascii="宋体" w:hAnsi="宋体" w:cs="宋体" w:eastAsia="宋体" w:hint="default"/>
                <w:sz w:val="18"/>
                <w:szCs w:val="18"/>
              </w:rPr>
            </w:pPr>
            <w:r>
              <w:rPr>
                <w:rFonts w:ascii="宋体"/>
                <w:sz w:val="18"/>
              </w:rPr>
              <w:t>181.47</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right="425"/>
              <w:jc w:val="right"/>
              <w:rPr>
                <w:rFonts w:ascii="宋体" w:hAnsi="宋体" w:cs="宋体" w:eastAsia="宋体" w:hint="default"/>
                <w:sz w:val="18"/>
                <w:szCs w:val="18"/>
              </w:rPr>
            </w:pPr>
            <w:r>
              <w:rPr>
                <w:rFonts w:ascii="宋体"/>
                <w:sz w:val="18"/>
              </w:rPr>
              <w:t>6.37</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right="294"/>
              <w:jc w:val="right"/>
              <w:rPr>
                <w:rFonts w:ascii="宋体" w:hAnsi="宋体" w:cs="宋体" w:eastAsia="宋体" w:hint="default"/>
                <w:sz w:val="18"/>
                <w:szCs w:val="18"/>
              </w:rPr>
            </w:pPr>
            <w:r>
              <w:rPr>
                <w:rFonts w:ascii="宋体"/>
                <w:spacing w:val="-1"/>
                <w:sz w:val="18"/>
              </w:rPr>
              <w:t>-181.47</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 w:right="0"/>
              <w:jc w:val="center"/>
              <w:rPr>
                <w:rFonts w:ascii="宋体" w:hAnsi="宋体" w:cs="宋体" w:eastAsia="宋体" w:hint="default"/>
                <w:sz w:val="18"/>
                <w:szCs w:val="18"/>
              </w:rPr>
            </w:pPr>
            <w:r>
              <w:rPr>
                <w:rFonts w:ascii="宋体"/>
                <w:sz w:val="18"/>
              </w:rPr>
              <w:t>--</w:t>
            </w:r>
          </w:p>
        </w:tc>
      </w:tr>
      <w:tr>
        <w:trPr>
          <w:trHeight w:val="478" w:hRule="exact"/>
        </w:trPr>
        <w:tc>
          <w:tcPr>
            <w:tcW w:w="1224"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减:内部抵消</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846.59</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497"/>
              <w:jc w:val="right"/>
              <w:rPr>
                <w:rFonts w:ascii="宋体" w:hAnsi="宋体" w:cs="宋体" w:eastAsia="宋体" w:hint="default"/>
                <w:sz w:val="18"/>
                <w:szCs w:val="18"/>
              </w:rPr>
            </w:pPr>
            <w:r>
              <w:rPr>
                <w:rFonts w:ascii="宋体"/>
                <w:sz w:val="18"/>
              </w:rPr>
              <w:t>7.29</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6" w:right="0"/>
              <w:jc w:val="center"/>
              <w:rPr>
                <w:rFonts w:ascii="宋体" w:hAnsi="宋体" w:cs="宋体" w:eastAsia="宋体" w:hint="default"/>
                <w:sz w:val="18"/>
                <w:szCs w:val="18"/>
              </w:rPr>
            </w:pPr>
            <w:r>
              <w:rPr>
                <w:rFonts w:ascii="宋体"/>
                <w:sz w:val="18"/>
              </w:rPr>
              <w:t>171.39</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335"/>
              <w:jc w:val="right"/>
              <w:rPr>
                <w:rFonts w:ascii="宋体" w:hAnsi="宋体" w:cs="宋体" w:eastAsia="宋体" w:hint="default"/>
                <w:sz w:val="18"/>
                <w:szCs w:val="18"/>
              </w:rPr>
            </w:pPr>
            <w:r>
              <w:rPr>
                <w:rFonts w:ascii="宋体"/>
                <w:spacing w:val="-1"/>
                <w:sz w:val="18"/>
              </w:rPr>
              <w:t>-56.27</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340" w:right="0"/>
              <w:jc w:val="left"/>
              <w:rPr>
                <w:rFonts w:ascii="宋体" w:hAnsi="宋体" w:cs="宋体" w:eastAsia="宋体" w:hint="default"/>
                <w:sz w:val="18"/>
                <w:szCs w:val="18"/>
              </w:rPr>
            </w:pPr>
            <w:r>
              <w:rPr>
                <w:rFonts w:ascii="宋体"/>
                <w:sz w:val="18"/>
              </w:rPr>
              <w:t>675.20</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70.02</w:t>
            </w:r>
          </w:p>
        </w:tc>
      </w:tr>
      <w:tr>
        <w:trPr>
          <w:trHeight w:val="478" w:hRule="exact"/>
        </w:trPr>
        <w:tc>
          <w:tcPr>
            <w:tcW w:w="1224" w:type="dxa"/>
            <w:tcBorders>
              <w:top w:val="single" w:sz="4" w:space="0" w:color="000008"/>
              <w:left w:val="single" w:sz="4" w:space="0" w:color="000008"/>
              <w:bottom w:val="single" w:sz="4" w:space="0" w:color="000008"/>
              <w:right w:val="single" w:sz="4" w:space="0" w:color="000008"/>
            </w:tcBorders>
            <w:shd w:val="clear" w:color="auto" w:fill="D9D9D9"/>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计</w:t>
            </w:r>
            <w:r>
              <w:rPr>
                <w:rFonts w:ascii="Microsoft JhengHei" w:hAnsi="Microsoft JhengHei" w:cs="Microsoft JhengHei" w:eastAsia="Microsoft JhengHei" w:hint="default"/>
                <w:sz w:val="18"/>
                <w:szCs w:val="18"/>
              </w:rPr>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124,595.50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497"/>
              <w:jc w:val="right"/>
              <w:rPr>
                <w:rFonts w:ascii="宋体" w:hAnsi="宋体" w:cs="宋体" w:eastAsia="宋体" w:hint="default"/>
                <w:sz w:val="18"/>
                <w:szCs w:val="18"/>
              </w:rPr>
            </w:pPr>
            <w:r>
              <w:rPr>
                <w:rFonts w:ascii="宋体"/>
                <w:sz w:val="18"/>
              </w:rPr>
              <w:t>1.14</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6" w:right="0"/>
              <w:jc w:val="center"/>
              <w:rPr>
                <w:rFonts w:ascii="宋体" w:hAnsi="宋体" w:cs="宋体" w:eastAsia="宋体" w:hint="default"/>
                <w:sz w:val="18"/>
                <w:szCs w:val="18"/>
              </w:rPr>
            </w:pPr>
            <w:r>
              <w:rPr>
                <w:rFonts w:ascii="宋体"/>
                <w:sz w:val="18"/>
              </w:rPr>
              <w:t>122,117.32</w:t>
            </w:r>
          </w:p>
        </w:tc>
        <w:tc>
          <w:tcPr>
            <w:tcW w:w="12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380"/>
              <w:jc w:val="right"/>
              <w:rPr>
                <w:rFonts w:ascii="宋体" w:hAnsi="宋体" w:cs="宋体" w:eastAsia="宋体" w:hint="default"/>
                <w:sz w:val="18"/>
                <w:szCs w:val="18"/>
              </w:rPr>
            </w:pPr>
            <w:r>
              <w:rPr>
                <w:rFonts w:ascii="宋体"/>
                <w:spacing w:val="-1"/>
                <w:sz w:val="18"/>
              </w:rPr>
              <w:t>-0.42</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248"/>
              <w:jc w:val="right"/>
              <w:rPr>
                <w:rFonts w:ascii="宋体" w:hAnsi="宋体" w:cs="宋体" w:eastAsia="宋体" w:hint="default"/>
                <w:sz w:val="18"/>
                <w:szCs w:val="18"/>
              </w:rPr>
            </w:pPr>
            <w:r>
              <w:rPr>
                <w:rFonts w:ascii="宋体"/>
                <w:spacing w:val="-1"/>
                <w:sz w:val="18"/>
              </w:rPr>
              <w:t>2,478.18</w:t>
            </w:r>
          </w:p>
        </w:tc>
        <w:tc>
          <w:tcPr>
            <w:tcW w:w="12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349.10</w:t>
            </w:r>
          </w:p>
        </w:tc>
      </w:tr>
    </w:tbl>
    <w:p>
      <w:pPr>
        <w:spacing w:line="304" w:lineRule="auto" w:before="32"/>
        <w:ind w:left="300" w:right="683" w:firstLine="0"/>
        <w:jc w:val="left"/>
        <w:rPr>
          <w:rFonts w:ascii="宋体" w:hAnsi="宋体" w:cs="宋体" w:eastAsia="宋体" w:hint="default"/>
          <w:sz w:val="18"/>
          <w:szCs w:val="18"/>
        </w:rPr>
      </w:pPr>
      <w:r>
        <w:rPr>
          <w:rFonts w:ascii="宋体" w:hAnsi="宋体" w:cs="宋体" w:eastAsia="宋体" w:hint="default"/>
          <w:spacing w:val="-2"/>
          <w:sz w:val="18"/>
          <w:szCs w:val="18"/>
        </w:rPr>
        <w:t>注：1.广东省，报告期实现营业收益（不含投资收益，下同）为-8,705</w:t>
      </w:r>
      <w:r>
        <w:rPr>
          <w:rFonts w:ascii="宋体" w:hAnsi="宋体" w:cs="宋体" w:eastAsia="宋体" w:hint="default"/>
          <w:spacing w:val="-21"/>
          <w:sz w:val="18"/>
          <w:szCs w:val="18"/>
        </w:rPr>
        <w:t> </w:t>
      </w:r>
      <w:r>
        <w:rPr>
          <w:rFonts w:ascii="宋体" w:hAnsi="宋体" w:cs="宋体" w:eastAsia="宋体" w:hint="default"/>
          <w:spacing w:val="-1"/>
          <w:sz w:val="18"/>
          <w:szCs w:val="18"/>
        </w:rPr>
        <w:t>万元，主要原因有二个方面：一是计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提民润公司应收款项坏账准备</w:t>
      </w:r>
      <w:r>
        <w:rPr>
          <w:rFonts w:ascii="宋体" w:hAnsi="宋体" w:cs="宋体" w:eastAsia="宋体" w:hint="default"/>
          <w:spacing w:val="-40"/>
          <w:sz w:val="18"/>
          <w:szCs w:val="18"/>
        </w:rPr>
        <w:t> </w:t>
      </w:r>
      <w:r>
        <w:rPr>
          <w:rFonts w:ascii="宋体" w:hAnsi="宋体" w:cs="宋体" w:eastAsia="宋体" w:hint="default"/>
          <w:sz w:val="18"/>
          <w:szCs w:val="18"/>
        </w:rPr>
        <w:t>7,101</w:t>
      </w:r>
      <w:r>
        <w:rPr>
          <w:rFonts w:ascii="宋体" w:hAnsi="宋体" w:cs="宋体" w:eastAsia="宋体" w:hint="default"/>
          <w:spacing w:val="-41"/>
          <w:sz w:val="18"/>
          <w:szCs w:val="18"/>
        </w:rPr>
        <w:t> </w:t>
      </w:r>
      <w:r>
        <w:rPr>
          <w:rFonts w:ascii="宋体" w:hAnsi="宋体" w:cs="宋体" w:eastAsia="宋体" w:hint="default"/>
          <w:sz w:val="18"/>
          <w:szCs w:val="18"/>
        </w:rPr>
        <w:t>万元；二是下属西岸渔人码头公司</w:t>
      </w:r>
      <w:r>
        <w:rPr>
          <w:rFonts w:ascii="宋体" w:hAnsi="宋体" w:cs="宋体" w:eastAsia="宋体" w:hint="default"/>
          <w:spacing w:val="-37"/>
          <w:sz w:val="18"/>
          <w:szCs w:val="18"/>
        </w:rPr>
        <w:t> </w:t>
      </w:r>
      <w:r>
        <w:rPr>
          <w:rFonts w:ascii="宋体" w:hAnsi="宋体" w:cs="宋体" w:eastAsia="宋体" w:hint="default"/>
          <w:sz w:val="18"/>
          <w:szCs w:val="18"/>
        </w:rPr>
        <w:t>2009</w:t>
      </w:r>
      <w:r>
        <w:rPr>
          <w:rFonts w:ascii="宋体" w:hAnsi="宋体" w:cs="宋体" w:eastAsia="宋体" w:hint="default"/>
          <w:spacing w:val="-41"/>
          <w:sz w:val="18"/>
          <w:szCs w:val="18"/>
        </w:rPr>
        <w:t> </w:t>
      </w:r>
      <w:r>
        <w:rPr>
          <w:rFonts w:ascii="宋体" w:hAnsi="宋体" w:cs="宋体" w:eastAsia="宋体" w:hint="default"/>
          <w:sz w:val="18"/>
          <w:szCs w:val="18"/>
        </w:rPr>
        <w:t>年营业收益为-2,772</w:t>
      </w:r>
      <w:r>
        <w:rPr>
          <w:rFonts w:ascii="宋体" w:hAnsi="宋体" w:cs="宋体" w:eastAsia="宋体" w:hint="default"/>
          <w:spacing w:val="-41"/>
          <w:sz w:val="18"/>
          <w:szCs w:val="18"/>
        </w:rPr>
        <w:t> </w:t>
      </w:r>
      <w:r>
        <w:rPr>
          <w:rFonts w:ascii="宋体" w:hAnsi="宋体" w:cs="宋体" w:eastAsia="宋体" w:hint="default"/>
          <w:sz w:val="18"/>
          <w:szCs w:val="18"/>
        </w:rPr>
        <w:t>万元。剔</w:t>
      </w:r>
    </w:p>
    <w:p>
      <w:pPr>
        <w:spacing w:before="16"/>
        <w:ind w:left="300" w:right="683" w:firstLine="0"/>
        <w:jc w:val="left"/>
        <w:rPr>
          <w:rFonts w:ascii="宋体" w:hAnsi="宋体" w:cs="宋体" w:eastAsia="宋体" w:hint="default"/>
          <w:sz w:val="18"/>
          <w:szCs w:val="18"/>
        </w:rPr>
      </w:pPr>
      <w:r>
        <w:rPr>
          <w:rFonts w:ascii="宋体" w:hAnsi="宋体" w:cs="宋体" w:eastAsia="宋体" w:hint="default"/>
          <w:sz w:val="18"/>
          <w:szCs w:val="18"/>
        </w:rPr>
        <w:t>除上述因素后的营业收益为</w:t>
      </w:r>
      <w:r>
        <w:rPr>
          <w:rFonts w:ascii="宋体" w:hAnsi="宋体" w:cs="宋体" w:eastAsia="宋体" w:hint="default"/>
          <w:spacing w:val="-45"/>
          <w:sz w:val="18"/>
          <w:szCs w:val="18"/>
        </w:rPr>
        <w:t> </w:t>
      </w:r>
      <w:r>
        <w:rPr>
          <w:rFonts w:ascii="宋体" w:hAnsi="宋体" w:cs="宋体" w:eastAsia="宋体" w:hint="default"/>
          <w:sz w:val="18"/>
          <w:szCs w:val="18"/>
        </w:rPr>
        <w:t>1,168</w:t>
      </w:r>
      <w:r>
        <w:rPr>
          <w:rFonts w:ascii="宋体" w:hAnsi="宋体" w:cs="宋体" w:eastAsia="宋体" w:hint="default"/>
          <w:spacing w:val="-48"/>
          <w:sz w:val="18"/>
          <w:szCs w:val="18"/>
        </w:rPr>
        <w:t> </w:t>
      </w:r>
      <w:r>
        <w:rPr>
          <w:rFonts w:ascii="宋体" w:hAnsi="宋体" w:cs="宋体" w:eastAsia="宋体" w:hint="default"/>
          <w:sz w:val="18"/>
          <w:szCs w:val="18"/>
        </w:rPr>
        <w:t>万元。</w:t>
      </w:r>
    </w:p>
    <w:p>
      <w:pPr>
        <w:spacing w:line="304" w:lineRule="auto" w:before="64"/>
        <w:ind w:left="300" w:right="685" w:firstLine="360"/>
        <w:jc w:val="both"/>
        <w:rPr>
          <w:rFonts w:ascii="宋体" w:hAnsi="宋体" w:cs="宋体" w:eastAsia="宋体" w:hint="default"/>
          <w:sz w:val="18"/>
          <w:szCs w:val="18"/>
        </w:rPr>
      </w:pPr>
      <w:r>
        <w:rPr>
          <w:rFonts w:ascii="宋体" w:hAnsi="宋体" w:cs="宋体" w:eastAsia="宋体" w:hint="default"/>
          <w:spacing w:val="-3"/>
          <w:sz w:val="18"/>
          <w:szCs w:val="18"/>
        </w:rPr>
        <w:t>2.江西省，营业总收入和营业收益同比分别增长 </w:t>
      </w:r>
      <w:r>
        <w:rPr>
          <w:rFonts w:ascii="宋体" w:hAnsi="宋体" w:cs="宋体" w:eastAsia="宋体" w:hint="default"/>
          <w:sz w:val="18"/>
          <w:szCs w:val="18"/>
        </w:rPr>
        <w:t>31.06%和</w:t>
      </w:r>
      <w:r>
        <w:rPr>
          <w:rFonts w:ascii="宋体" w:hAnsi="宋体" w:cs="宋体" w:eastAsia="宋体" w:hint="default"/>
          <w:spacing w:val="-58"/>
          <w:sz w:val="18"/>
          <w:szCs w:val="18"/>
        </w:rPr>
        <w:t> </w:t>
      </w:r>
      <w:r>
        <w:rPr>
          <w:rFonts w:ascii="宋体" w:hAnsi="宋体" w:cs="宋体" w:eastAsia="宋体" w:hint="default"/>
          <w:spacing w:val="-3"/>
          <w:sz w:val="18"/>
          <w:szCs w:val="18"/>
        </w:rPr>
        <w:t>60.80%，主要系南昌市场调整收费模式后提升</w:t>
      </w:r>
      <w:r>
        <w:rPr>
          <w:rFonts w:ascii="宋体" w:hAnsi="宋体" w:cs="宋体" w:eastAsia="宋体" w:hint="default"/>
          <w:sz w:val="18"/>
          <w:szCs w:val="18"/>
        </w:rPr>
        <w:t> 了市场交易费收入，加强市场场地资源的综合开发利用后增加了市场租赁收入。</w:t>
      </w:r>
    </w:p>
    <w:p>
      <w:pPr>
        <w:spacing w:before="16"/>
        <w:ind w:left="660" w:right="0" w:firstLine="0"/>
        <w:jc w:val="left"/>
        <w:rPr>
          <w:rFonts w:ascii="宋体" w:hAnsi="宋体" w:cs="宋体" w:eastAsia="宋体" w:hint="default"/>
          <w:sz w:val="18"/>
          <w:szCs w:val="18"/>
        </w:rPr>
      </w:pPr>
      <w:r>
        <w:rPr>
          <w:rFonts w:ascii="宋体" w:hAnsi="宋体" w:cs="宋体" w:eastAsia="宋体" w:hint="default"/>
          <w:spacing w:val="-3"/>
          <w:sz w:val="18"/>
          <w:szCs w:val="18"/>
        </w:rPr>
        <w:t>3.山东省，09</w:t>
      </w:r>
      <w:r>
        <w:rPr>
          <w:rFonts w:ascii="宋体" w:hAnsi="宋体" w:cs="宋体" w:eastAsia="宋体" w:hint="default"/>
          <w:spacing w:val="-74"/>
          <w:sz w:val="18"/>
          <w:szCs w:val="18"/>
        </w:rPr>
        <w:t> </w:t>
      </w:r>
      <w:r>
        <w:rPr>
          <w:rFonts w:ascii="宋体" w:hAnsi="宋体" w:cs="宋体" w:eastAsia="宋体" w:hint="default"/>
          <w:sz w:val="18"/>
          <w:szCs w:val="18"/>
        </w:rPr>
        <w:t>年公司退出山东寿光市场，详见</w:t>
      </w:r>
      <w:r>
        <w:rPr>
          <w:rFonts w:ascii="宋体" w:hAnsi="宋体" w:cs="宋体" w:eastAsia="宋体" w:hint="default"/>
          <w:spacing w:val="-75"/>
          <w:sz w:val="18"/>
          <w:szCs w:val="18"/>
        </w:rPr>
        <w:t> </w:t>
      </w:r>
      <w:r>
        <w:rPr>
          <w:rFonts w:ascii="宋体" w:hAnsi="宋体" w:cs="宋体" w:eastAsia="宋体" w:hint="default"/>
          <w:sz w:val="18"/>
          <w:szCs w:val="18"/>
        </w:rPr>
        <w:t>2009</w:t>
      </w:r>
      <w:r>
        <w:rPr>
          <w:rFonts w:ascii="宋体" w:hAnsi="宋体" w:cs="宋体" w:eastAsia="宋体" w:hint="default"/>
          <w:spacing w:val="-7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宋体" w:hAnsi="宋体" w:cs="宋体" w:eastAsia="宋体" w:hint="default"/>
          <w:sz w:val="18"/>
          <w:szCs w:val="18"/>
        </w:rPr>
        <w:t>10</w:t>
      </w:r>
      <w:r>
        <w:rPr>
          <w:rFonts w:ascii="宋体" w:hAnsi="宋体" w:cs="宋体" w:eastAsia="宋体" w:hint="default"/>
          <w:spacing w:val="-74"/>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宋体" w:hAnsi="宋体" w:cs="宋体" w:eastAsia="宋体" w:hint="default"/>
          <w:sz w:val="18"/>
          <w:szCs w:val="18"/>
        </w:rPr>
        <w:t>24</w:t>
      </w:r>
      <w:r>
        <w:rPr>
          <w:rFonts w:ascii="宋体" w:hAnsi="宋体" w:cs="宋体" w:eastAsia="宋体" w:hint="default"/>
          <w:spacing w:val="-74"/>
          <w:sz w:val="18"/>
          <w:szCs w:val="18"/>
        </w:rPr>
        <w:t> </w:t>
      </w:r>
      <w:r>
        <w:rPr>
          <w:rFonts w:ascii="宋体" w:hAnsi="宋体" w:cs="宋体" w:eastAsia="宋体" w:hint="default"/>
          <w:spacing w:val="-5"/>
          <w:sz w:val="18"/>
          <w:szCs w:val="18"/>
        </w:rPr>
        <w:t>日刊登在《中国证券报》、《证券时报》、</w:t>
      </w:r>
    </w:p>
    <w:p>
      <w:pPr>
        <w:spacing w:before="64"/>
        <w:ind w:left="300" w:right="683" w:firstLine="0"/>
        <w:jc w:val="left"/>
        <w:rPr>
          <w:rFonts w:ascii="宋体" w:hAnsi="宋体" w:cs="宋体" w:eastAsia="宋体" w:hint="default"/>
          <w:sz w:val="18"/>
          <w:szCs w:val="18"/>
        </w:rPr>
      </w:pPr>
      <w:r>
        <w:rPr>
          <w:rFonts w:ascii="宋体" w:hAnsi="宋体" w:cs="宋体" w:eastAsia="宋体" w:hint="default"/>
          <w:sz w:val="18"/>
          <w:szCs w:val="18"/>
        </w:rPr>
        <w:t>《证券日报》、《上海证券报》和巨潮网站上的公告内容。</w:t>
      </w:r>
    </w:p>
    <w:p>
      <w:pPr>
        <w:spacing w:line="304" w:lineRule="auto" w:before="64"/>
        <w:ind w:left="300" w:right="685" w:firstLine="360"/>
        <w:jc w:val="both"/>
        <w:rPr>
          <w:rFonts w:ascii="宋体" w:hAnsi="宋体" w:cs="宋体" w:eastAsia="宋体" w:hint="default"/>
          <w:sz w:val="18"/>
          <w:szCs w:val="18"/>
        </w:rPr>
      </w:pPr>
      <w:r>
        <w:rPr>
          <w:rFonts w:ascii="宋体" w:hAnsi="宋体" w:cs="宋体" w:eastAsia="宋体" w:hint="default"/>
          <w:spacing w:val="-1"/>
          <w:sz w:val="18"/>
          <w:szCs w:val="18"/>
        </w:rPr>
        <w:t>4.陕西省，营业总收入同比增长</w:t>
      </w:r>
      <w:r>
        <w:rPr>
          <w:rFonts w:ascii="宋体" w:hAnsi="宋体" w:cs="宋体" w:eastAsia="宋体" w:hint="default"/>
          <w:spacing w:val="-23"/>
          <w:sz w:val="18"/>
          <w:szCs w:val="18"/>
        </w:rPr>
        <w:t> </w:t>
      </w:r>
      <w:r>
        <w:rPr>
          <w:rFonts w:ascii="宋体" w:hAnsi="宋体" w:cs="宋体" w:eastAsia="宋体" w:hint="default"/>
          <w:spacing w:val="-2"/>
          <w:sz w:val="18"/>
          <w:szCs w:val="18"/>
        </w:rPr>
        <w:t>55.07%，主要系西安市场水果交易旺盛，交易费收入成倍增长，并根据</w:t>
      </w:r>
      <w:r>
        <w:rPr>
          <w:rFonts w:ascii="宋体" w:hAnsi="宋体" w:cs="宋体" w:eastAsia="宋体" w:hint="default"/>
          <w:sz w:val="18"/>
          <w:szCs w:val="18"/>
        </w:rPr>
        <w:t> 市场发展的成熟度适度提高了档位租金标准，进一步加强了对临时档位的管理，市场租赁收入因此得到大幅 提升。</w:t>
      </w:r>
    </w:p>
    <w:p>
      <w:pPr>
        <w:spacing w:line="304" w:lineRule="auto" w:before="16"/>
        <w:ind w:left="300" w:right="685" w:firstLine="360"/>
        <w:jc w:val="both"/>
        <w:rPr>
          <w:rFonts w:ascii="宋体" w:hAnsi="宋体" w:cs="宋体" w:eastAsia="宋体" w:hint="default"/>
          <w:sz w:val="18"/>
          <w:szCs w:val="18"/>
        </w:rPr>
      </w:pPr>
      <w:r>
        <w:rPr>
          <w:rFonts w:ascii="宋体" w:hAnsi="宋体" w:cs="宋体" w:eastAsia="宋体" w:hint="default"/>
          <w:spacing w:val="-2"/>
          <w:sz w:val="18"/>
          <w:szCs w:val="18"/>
        </w:rPr>
        <w:t>5.四川省，营业总收入同比增长</w:t>
      </w:r>
      <w:r>
        <w:rPr>
          <w:rFonts w:ascii="宋体" w:hAnsi="宋体" w:cs="宋体" w:eastAsia="宋体" w:hint="default"/>
          <w:spacing w:val="-9"/>
          <w:sz w:val="18"/>
          <w:szCs w:val="18"/>
        </w:rPr>
        <w:t> </w:t>
      </w:r>
      <w:r>
        <w:rPr>
          <w:rFonts w:ascii="宋体" w:hAnsi="宋体" w:cs="宋体" w:eastAsia="宋体" w:hint="default"/>
          <w:spacing w:val="-2"/>
          <w:sz w:val="18"/>
          <w:szCs w:val="18"/>
        </w:rPr>
        <w:t>40.16%，主要系成都市场调整收费模式后提升了市场交易费收入，并根</w:t>
      </w:r>
      <w:r>
        <w:rPr>
          <w:rFonts w:ascii="宋体" w:hAnsi="宋体" w:cs="宋体" w:eastAsia="宋体" w:hint="default"/>
          <w:sz w:val="18"/>
          <w:szCs w:val="18"/>
        </w:rPr>
        <w:t> 据市场发展的成熟度适度提高了部分交易区域的档位租金标准。</w:t>
      </w:r>
    </w:p>
    <w:p>
      <w:pPr>
        <w:spacing w:line="304" w:lineRule="auto" w:before="16"/>
        <w:ind w:left="300" w:right="691" w:firstLine="360"/>
        <w:jc w:val="both"/>
        <w:rPr>
          <w:rFonts w:ascii="宋体" w:hAnsi="宋体" w:cs="宋体" w:eastAsia="宋体" w:hint="default"/>
          <w:sz w:val="18"/>
          <w:szCs w:val="18"/>
        </w:rPr>
      </w:pPr>
      <w:r>
        <w:rPr>
          <w:rFonts w:ascii="宋体" w:hAnsi="宋体" w:cs="宋体" w:eastAsia="宋体" w:hint="default"/>
          <w:sz w:val="18"/>
          <w:szCs w:val="18"/>
        </w:rPr>
        <w:t>6.云南省，营业总收入同比增长</w:t>
      </w:r>
      <w:r>
        <w:rPr>
          <w:rFonts w:ascii="宋体" w:hAnsi="宋体" w:cs="宋体" w:eastAsia="宋体" w:hint="default"/>
          <w:spacing w:val="-36"/>
          <w:sz w:val="18"/>
          <w:szCs w:val="18"/>
        </w:rPr>
        <w:t> </w:t>
      </w:r>
      <w:r>
        <w:rPr>
          <w:rFonts w:ascii="宋体" w:hAnsi="宋体" w:cs="宋体" w:eastAsia="宋体" w:hint="default"/>
          <w:sz w:val="18"/>
          <w:szCs w:val="18"/>
        </w:rPr>
        <w:t>60.60%，主要系鲲鹏公司抓住</w:t>
      </w:r>
      <w:r>
        <w:rPr>
          <w:rFonts w:ascii="宋体" w:hAnsi="宋体" w:cs="宋体" w:eastAsia="宋体" w:hint="default"/>
          <w:spacing w:val="-36"/>
          <w:sz w:val="18"/>
          <w:szCs w:val="18"/>
        </w:rPr>
        <w:t> </w:t>
      </w:r>
      <w:r>
        <w:rPr>
          <w:rFonts w:ascii="宋体" w:hAnsi="宋体" w:cs="宋体" w:eastAsia="宋体" w:hint="default"/>
          <w:sz w:val="18"/>
          <w:szCs w:val="18"/>
        </w:rPr>
        <w:t>2009</w:t>
      </w:r>
      <w:r>
        <w:rPr>
          <w:rFonts w:ascii="宋体" w:hAnsi="宋体" w:cs="宋体" w:eastAsia="宋体" w:hint="default"/>
          <w:spacing w:val="-40"/>
          <w:sz w:val="18"/>
          <w:szCs w:val="18"/>
        </w:rPr>
        <w:t> </w:t>
      </w:r>
      <w:r>
        <w:rPr>
          <w:rFonts w:ascii="宋体" w:hAnsi="宋体" w:cs="宋体" w:eastAsia="宋体" w:hint="default"/>
          <w:sz w:val="18"/>
          <w:szCs w:val="18"/>
        </w:rPr>
        <w:t>年白糖价格波动较大的机会大力拓</w:t>
      </w:r>
      <w:r>
        <w:rPr>
          <w:rFonts w:ascii="宋体" w:hAnsi="宋体" w:cs="宋体" w:eastAsia="宋体" w:hint="default"/>
          <w:sz w:val="18"/>
          <w:szCs w:val="18"/>
        </w:rPr>
        <w:t> 展业务，增加市场交易费收入。</w:t>
      </w:r>
    </w:p>
    <w:p>
      <w:pPr>
        <w:spacing w:line="304" w:lineRule="auto" w:before="16"/>
        <w:ind w:left="300" w:right="685" w:firstLine="360"/>
        <w:jc w:val="both"/>
        <w:rPr>
          <w:rFonts w:ascii="宋体" w:hAnsi="宋体" w:cs="宋体" w:eastAsia="宋体" w:hint="default"/>
          <w:sz w:val="18"/>
          <w:szCs w:val="18"/>
        </w:rPr>
      </w:pPr>
      <w:r>
        <w:rPr>
          <w:rFonts w:ascii="宋体" w:hAnsi="宋体" w:cs="宋体" w:eastAsia="宋体" w:hint="default"/>
          <w:sz w:val="18"/>
          <w:szCs w:val="18"/>
        </w:rPr>
        <w:t>7.湖南省，营业总收入和营业收益同比分别增长</w:t>
      </w:r>
      <w:r>
        <w:rPr>
          <w:rFonts w:ascii="宋体" w:hAnsi="宋体" w:cs="宋体" w:eastAsia="宋体" w:hint="default"/>
          <w:spacing w:val="-49"/>
          <w:sz w:val="18"/>
          <w:szCs w:val="18"/>
        </w:rPr>
        <w:t> </w:t>
      </w:r>
      <w:r>
        <w:rPr>
          <w:rFonts w:ascii="宋体" w:hAnsi="宋体" w:cs="宋体" w:eastAsia="宋体" w:hint="default"/>
          <w:sz w:val="18"/>
          <w:szCs w:val="18"/>
        </w:rPr>
        <w:t>33.04%和</w:t>
      </w:r>
      <w:r>
        <w:rPr>
          <w:rFonts w:ascii="宋体" w:hAnsi="宋体" w:cs="宋体" w:eastAsia="宋体" w:hint="default"/>
          <w:spacing w:val="-49"/>
          <w:sz w:val="18"/>
          <w:szCs w:val="18"/>
        </w:rPr>
        <w:t> </w:t>
      </w:r>
      <w:r>
        <w:rPr>
          <w:rFonts w:ascii="宋体" w:hAnsi="宋体" w:cs="宋体" w:eastAsia="宋体" w:hint="default"/>
          <w:sz w:val="18"/>
          <w:szCs w:val="18"/>
        </w:rPr>
        <w:t>168.35%，主要系长沙市场根据市场发展的成</w:t>
      </w:r>
      <w:r>
        <w:rPr>
          <w:rFonts w:ascii="宋体" w:hAnsi="宋体" w:cs="宋体" w:eastAsia="宋体" w:hint="default"/>
          <w:sz w:val="18"/>
          <w:szCs w:val="18"/>
        </w:rPr>
        <w:t> 熟度适度提高了部分交易区域的档位收费标准和车辆进场收费标准。</w:t>
      </w:r>
    </w:p>
    <w:p>
      <w:pPr>
        <w:spacing w:line="304" w:lineRule="auto" w:before="16"/>
        <w:ind w:left="300" w:right="685" w:firstLine="360"/>
        <w:jc w:val="both"/>
        <w:rPr>
          <w:rFonts w:ascii="宋体" w:hAnsi="宋体" w:cs="宋体" w:eastAsia="宋体" w:hint="default"/>
          <w:sz w:val="18"/>
          <w:szCs w:val="18"/>
        </w:rPr>
      </w:pPr>
      <w:r>
        <w:rPr>
          <w:rFonts w:ascii="宋体" w:hAnsi="宋体" w:cs="宋体" w:eastAsia="宋体" w:hint="default"/>
          <w:sz w:val="18"/>
          <w:szCs w:val="18"/>
        </w:rPr>
        <w:t>8.广西省，营业总收入和营业总成本同比分别增长</w:t>
      </w:r>
      <w:r>
        <w:rPr>
          <w:rFonts w:ascii="宋体" w:hAnsi="宋体" w:cs="宋体" w:eastAsia="宋体" w:hint="default"/>
          <w:spacing w:val="-49"/>
          <w:sz w:val="18"/>
          <w:szCs w:val="18"/>
        </w:rPr>
        <w:t> </w:t>
      </w:r>
      <w:r>
        <w:rPr>
          <w:rFonts w:ascii="宋体" w:hAnsi="宋体" w:cs="宋体" w:eastAsia="宋体" w:hint="default"/>
          <w:sz w:val="18"/>
          <w:szCs w:val="18"/>
        </w:rPr>
        <w:t>170.70%和</w:t>
      </w:r>
      <w:r>
        <w:rPr>
          <w:rFonts w:ascii="宋体" w:hAnsi="宋体" w:cs="宋体" w:eastAsia="宋体" w:hint="default"/>
          <w:spacing w:val="-49"/>
          <w:sz w:val="18"/>
          <w:szCs w:val="18"/>
        </w:rPr>
        <w:t> </w:t>
      </w:r>
      <w:r>
        <w:rPr>
          <w:rFonts w:ascii="宋体" w:hAnsi="宋体" w:cs="宋体" w:eastAsia="宋体" w:hint="default"/>
          <w:sz w:val="18"/>
          <w:szCs w:val="18"/>
        </w:rPr>
        <w:t>73.54%，主要系南宁茧丝市场交易模式逐</w:t>
      </w:r>
      <w:r>
        <w:rPr>
          <w:rFonts w:ascii="宋体" w:hAnsi="宋体" w:cs="宋体" w:eastAsia="宋体" w:hint="default"/>
          <w:sz w:val="18"/>
          <w:szCs w:val="18"/>
        </w:rPr>
        <w:t> 步完善，手续费收入和管理费收入同比大幅增长。</w:t>
      </w:r>
    </w:p>
    <w:p>
      <w:pPr>
        <w:pStyle w:val="Heading5"/>
        <w:spacing w:line="240" w:lineRule="auto" w:before="61"/>
        <w:ind w:left="777" w:right="683"/>
        <w:jc w:val="left"/>
        <w:rPr>
          <w:b w:val="0"/>
          <w:bCs w:val="0"/>
        </w:rPr>
      </w:pPr>
      <w:r>
        <w:rPr/>
        <w:t>三、公司资产构成及费用的变动情况</w:t>
      </w:r>
      <w:r>
        <w:rPr>
          <w:b w:val="0"/>
          <w:bCs w:val="0"/>
        </w:rPr>
      </w:r>
    </w:p>
    <w:p>
      <w:pPr>
        <w:tabs>
          <w:tab w:pos="7723" w:val="left" w:leader="none"/>
        </w:tabs>
        <w:spacing w:before="9"/>
        <w:ind w:left="780"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4"/>
          <w:szCs w:val="24"/>
        </w:rPr>
        <w:t>1</w:t>
      </w:r>
      <w:r>
        <w:rPr>
          <w:rFonts w:ascii="宋体" w:hAnsi="宋体" w:cs="宋体" w:eastAsia="宋体" w:hint="default"/>
          <w:spacing w:val="-1"/>
          <w:w w:val="95"/>
          <w:sz w:val="24"/>
          <w:szCs w:val="24"/>
        </w:rPr>
        <w:t>、报告期内公司资产构成及变动情况</w:t>
        <w:tab/>
      </w:r>
      <w:r>
        <w:rPr>
          <w:rFonts w:ascii="宋体" w:hAnsi="宋体" w:cs="宋体" w:eastAsia="宋体" w:hint="default"/>
          <w:spacing w:val="-4"/>
          <w:sz w:val="21"/>
          <w:szCs w:val="21"/>
        </w:rPr>
        <w:t>单位：万元</w:t>
      </w:r>
    </w:p>
    <w:p>
      <w:pPr>
        <w:spacing w:line="240" w:lineRule="auto" w:before="1"/>
        <w:rPr>
          <w:rFonts w:ascii="宋体" w:hAnsi="宋体" w:cs="宋体" w:eastAsia="宋体" w:hint="default"/>
          <w:sz w:val="13"/>
          <w:szCs w:val="13"/>
        </w:rPr>
      </w:pPr>
    </w:p>
    <w:tbl>
      <w:tblPr>
        <w:tblW w:w="0" w:type="auto"/>
        <w:jc w:val="left"/>
        <w:tblInd w:w="187" w:type="dxa"/>
        <w:tblLayout w:type="fixed"/>
        <w:tblCellMar>
          <w:top w:w="0" w:type="dxa"/>
          <w:left w:w="0" w:type="dxa"/>
          <w:bottom w:w="0" w:type="dxa"/>
          <w:right w:w="0" w:type="dxa"/>
        </w:tblCellMar>
        <w:tblLook w:val="01E0"/>
      </w:tblPr>
      <w:tblGrid>
        <w:gridCol w:w="614"/>
        <w:gridCol w:w="1654"/>
        <w:gridCol w:w="1800"/>
        <w:gridCol w:w="1440"/>
        <w:gridCol w:w="1142"/>
        <w:gridCol w:w="785"/>
        <w:gridCol w:w="864"/>
        <w:gridCol w:w="835"/>
      </w:tblGrid>
      <w:tr>
        <w:trPr>
          <w:trHeight w:val="322" w:hRule="exact"/>
        </w:trPr>
        <w:tc>
          <w:tcPr>
            <w:tcW w:w="614"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654"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tabs>
                <w:tab w:pos="957" w:val="left" w:leader="none"/>
              </w:tabs>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24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192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4" w:type="dxa"/>
            <w:vMerge w:val="restart"/>
            <w:tcBorders>
              <w:top w:val="single" w:sz="4" w:space="0" w:color="000008"/>
              <w:left w:val="single" w:sz="4" w:space="0" w:color="000008"/>
              <w:right w:val="single" w:sz="4" w:space="0" w:color="000008"/>
            </w:tcBorders>
          </w:tcPr>
          <w:p>
            <w:pPr>
              <w:pStyle w:val="TableParagraph"/>
              <w:spacing w:line="316" w:lineRule="auto" w:before="22"/>
              <w:ind w:left="156" w:right="156" w:firstLine="91"/>
              <w:jc w:val="left"/>
              <w:rPr>
                <w:rFonts w:ascii="宋体" w:hAnsi="宋体" w:cs="宋体" w:eastAsia="宋体" w:hint="default"/>
                <w:sz w:val="18"/>
                <w:szCs w:val="18"/>
              </w:rPr>
            </w:pPr>
            <w:r>
              <w:rPr>
                <w:rFonts w:ascii="宋体" w:hAnsi="宋体" w:cs="宋体" w:eastAsia="宋体" w:hint="default"/>
                <w:sz w:val="18"/>
                <w:szCs w:val="18"/>
              </w:rPr>
              <w:t>同比 增减％</w:t>
            </w:r>
          </w:p>
        </w:tc>
        <w:tc>
          <w:tcPr>
            <w:tcW w:w="835" w:type="dxa"/>
            <w:vMerge w:val="restart"/>
            <w:tcBorders>
              <w:top w:val="single" w:sz="4" w:space="0" w:color="000008"/>
              <w:left w:val="single" w:sz="4" w:space="0" w:color="000008"/>
              <w:right w:val="single" w:sz="4" w:space="0" w:color="000008"/>
            </w:tcBorders>
          </w:tcPr>
          <w:p>
            <w:pPr>
              <w:pStyle w:val="TableParagraph"/>
              <w:spacing w:line="316" w:lineRule="auto" w:before="22"/>
              <w:ind w:left="321" w:right="143" w:hanging="180"/>
              <w:jc w:val="left"/>
              <w:rPr>
                <w:rFonts w:ascii="宋体" w:hAnsi="宋体" w:cs="宋体" w:eastAsia="宋体" w:hint="default"/>
                <w:sz w:val="18"/>
                <w:szCs w:val="18"/>
              </w:rPr>
            </w:pPr>
            <w:r>
              <w:rPr>
                <w:rFonts w:ascii="宋体" w:hAnsi="宋体" w:cs="宋体" w:eastAsia="宋体" w:hint="default"/>
                <w:sz w:val="18"/>
                <w:szCs w:val="18"/>
              </w:rPr>
              <w:t>变化原 因</w:t>
            </w:r>
          </w:p>
        </w:tc>
      </w:tr>
      <w:tr>
        <w:trPr>
          <w:trHeight w:val="322" w:hRule="exact"/>
        </w:trPr>
        <w:tc>
          <w:tcPr>
            <w:tcW w:w="614" w:type="dxa"/>
            <w:vMerge/>
            <w:tcBorders>
              <w:left w:val="single" w:sz="4" w:space="0" w:color="000008"/>
              <w:bottom w:val="single" w:sz="4" w:space="0" w:color="000008"/>
              <w:right w:val="single" w:sz="4" w:space="0" w:color="000008"/>
            </w:tcBorders>
          </w:tcPr>
          <w:p>
            <w:pPr/>
          </w:p>
        </w:tc>
        <w:tc>
          <w:tcPr>
            <w:tcW w:w="1654" w:type="dxa"/>
            <w:vMerge/>
            <w:tcBorders>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比重％</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15"/>
              <w:jc w:val="right"/>
              <w:rPr>
                <w:rFonts w:ascii="宋体" w:hAnsi="宋体" w:cs="宋体" w:eastAsia="宋体" w:hint="default"/>
                <w:sz w:val="18"/>
                <w:szCs w:val="18"/>
              </w:rPr>
            </w:pPr>
            <w:r>
              <w:rPr>
                <w:rFonts w:ascii="宋体" w:hAnsi="宋体" w:cs="宋体" w:eastAsia="宋体" w:hint="default"/>
                <w:sz w:val="18"/>
                <w:szCs w:val="18"/>
              </w:rPr>
              <w:t>比重％</w:t>
            </w:r>
          </w:p>
        </w:tc>
        <w:tc>
          <w:tcPr>
            <w:tcW w:w="864" w:type="dxa"/>
            <w:vMerge/>
            <w:tcBorders>
              <w:left w:val="single" w:sz="4" w:space="0" w:color="000008"/>
              <w:bottom w:val="single" w:sz="4" w:space="0" w:color="000008"/>
              <w:right w:val="single" w:sz="4" w:space="0" w:color="000008"/>
            </w:tcBorders>
          </w:tcPr>
          <w:p>
            <w:pPr/>
          </w:p>
        </w:tc>
        <w:tc>
          <w:tcPr>
            <w:tcW w:w="835" w:type="dxa"/>
            <w:vMerge/>
            <w:tcBorders>
              <w:left w:val="single" w:sz="4" w:space="0" w:color="000008"/>
              <w:bottom w:val="single" w:sz="4" w:space="0" w:color="000008"/>
              <w:right w:val="single" w:sz="4" w:space="0" w:color="000008"/>
            </w:tcBorders>
          </w:tcPr>
          <w:p>
            <w:pPr/>
          </w:p>
        </w:tc>
      </w:tr>
      <w:tr>
        <w:trPr>
          <w:trHeight w:val="324"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1</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440"/>
              <w:jc w:val="right"/>
              <w:rPr>
                <w:rFonts w:ascii="宋体" w:hAnsi="宋体" w:cs="宋体" w:eastAsia="宋体" w:hint="default"/>
                <w:sz w:val="18"/>
                <w:szCs w:val="18"/>
              </w:rPr>
            </w:pPr>
            <w:r>
              <w:rPr>
                <w:rFonts w:ascii="宋体"/>
                <w:spacing w:val="-1"/>
                <w:sz w:val="18"/>
              </w:rPr>
              <w:t>221,229.91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31.55</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156,121.67</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62"/>
              <w:jc w:val="right"/>
              <w:rPr>
                <w:rFonts w:ascii="宋体" w:hAnsi="宋体" w:cs="宋体" w:eastAsia="宋体" w:hint="default"/>
                <w:sz w:val="18"/>
                <w:szCs w:val="18"/>
              </w:rPr>
            </w:pPr>
            <w:r>
              <w:rPr>
                <w:rFonts w:ascii="宋体"/>
                <w:spacing w:val="-1"/>
                <w:sz w:val="18"/>
              </w:rPr>
              <w:t>25.37</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41.70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533"/>
              <w:jc w:val="right"/>
              <w:rPr>
                <w:rFonts w:ascii="宋体" w:hAnsi="宋体" w:cs="宋体" w:eastAsia="宋体" w:hint="default"/>
                <w:sz w:val="18"/>
                <w:szCs w:val="18"/>
              </w:rPr>
            </w:pPr>
            <w:r>
              <w:rPr>
                <w:rFonts w:ascii="宋体"/>
                <w:spacing w:val="-1"/>
                <w:sz w:val="18"/>
              </w:rPr>
              <w:t>4,132.10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0.59</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6,220.87</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1.01</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-33.58</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3</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488"/>
              <w:jc w:val="right"/>
              <w:rPr>
                <w:rFonts w:ascii="宋体" w:hAnsi="宋体" w:cs="宋体" w:eastAsia="宋体" w:hint="default"/>
                <w:sz w:val="18"/>
                <w:szCs w:val="18"/>
              </w:rPr>
            </w:pPr>
            <w:r>
              <w:rPr>
                <w:rFonts w:ascii="宋体"/>
                <w:spacing w:val="-1"/>
                <w:sz w:val="18"/>
              </w:rPr>
              <w:t>47,661.30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6.80</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24,455.40</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3.97</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94.89</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4</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488"/>
              <w:jc w:val="right"/>
              <w:rPr>
                <w:rFonts w:ascii="宋体" w:hAnsi="宋体" w:cs="宋体" w:eastAsia="宋体" w:hint="default"/>
                <w:sz w:val="18"/>
                <w:szCs w:val="18"/>
              </w:rPr>
            </w:pPr>
            <w:r>
              <w:rPr>
                <w:rFonts w:ascii="宋体"/>
                <w:spacing w:val="-1"/>
                <w:sz w:val="18"/>
              </w:rPr>
              <w:t>10,150.29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1.45</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25,366.65</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4.12</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-59.99</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4</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5</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488"/>
              <w:jc w:val="right"/>
              <w:rPr>
                <w:rFonts w:ascii="宋体" w:hAnsi="宋体" w:cs="宋体" w:eastAsia="宋体" w:hint="default"/>
                <w:sz w:val="18"/>
                <w:szCs w:val="18"/>
              </w:rPr>
            </w:pPr>
            <w:r>
              <w:rPr>
                <w:rFonts w:ascii="宋体"/>
                <w:spacing w:val="-1"/>
                <w:sz w:val="18"/>
              </w:rPr>
              <w:t>70,482.48</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10.05</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46,372.99</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05"/>
              <w:jc w:val="right"/>
              <w:rPr>
                <w:rFonts w:ascii="宋体" w:hAnsi="宋体" w:cs="宋体" w:eastAsia="宋体" w:hint="default"/>
                <w:sz w:val="18"/>
                <w:szCs w:val="18"/>
              </w:rPr>
            </w:pPr>
            <w:r>
              <w:rPr>
                <w:rFonts w:ascii="宋体"/>
                <w:sz w:val="18"/>
              </w:rPr>
              <w:t>7.53</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51.99</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5</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6</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533"/>
              <w:jc w:val="right"/>
              <w:rPr>
                <w:rFonts w:ascii="宋体" w:hAnsi="宋体" w:cs="宋体" w:eastAsia="宋体" w:hint="default"/>
                <w:sz w:val="18"/>
                <w:szCs w:val="18"/>
              </w:rPr>
            </w:pPr>
            <w:r>
              <w:rPr>
                <w:rFonts w:ascii="宋体"/>
                <w:spacing w:val="-1"/>
                <w:sz w:val="18"/>
              </w:rPr>
              <w:t>2,759.88</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0.39</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1,581.91</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05"/>
              <w:jc w:val="right"/>
              <w:rPr>
                <w:rFonts w:ascii="宋体" w:hAnsi="宋体" w:cs="宋体" w:eastAsia="宋体" w:hint="default"/>
                <w:sz w:val="18"/>
                <w:szCs w:val="18"/>
              </w:rPr>
            </w:pPr>
            <w:r>
              <w:rPr>
                <w:rFonts w:ascii="宋体"/>
                <w:sz w:val="18"/>
              </w:rPr>
              <w:t>0.26</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74.47</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6</w:t>
            </w:r>
          </w:p>
        </w:tc>
      </w:tr>
      <w:tr>
        <w:trPr>
          <w:trHeight w:val="324"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7</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533"/>
              <w:jc w:val="right"/>
              <w:rPr>
                <w:rFonts w:ascii="宋体" w:hAnsi="宋体" w:cs="宋体" w:eastAsia="宋体" w:hint="default"/>
                <w:sz w:val="18"/>
                <w:szCs w:val="18"/>
              </w:rPr>
            </w:pPr>
            <w:r>
              <w:rPr>
                <w:rFonts w:ascii="宋体"/>
                <w:spacing w:val="-1"/>
                <w:sz w:val="18"/>
              </w:rPr>
              <w:t>4,979.54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0.71</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7,219.31</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05"/>
              <w:jc w:val="right"/>
              <w:rPr>
                <w:rFonts w:ascii="宋体" w:hAnsi="宋体" w:cs="宋体" w:eastAsia="宋体" w:hint="default"/>
                <w:sz w:val="18"/>
                <w:szCs w:val="18"/>
              </w:rPr>
            </w:pPr>
            <w:r>
              <w:rPr>
                <w:rFonts w:ascii="宋体"/>
                <w:sz w:val="18"/>
              </w:rPr>
              <w:t>1.17</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-31.02</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7</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8</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533"/>
              <w:jc w:val="right"/>
              <w:rPr>
                <w:rFonts w:ascii="宋体" w:hAnsi="宋体" w:cs="宋体" w:eastAsia="宋体" w:hint="default"/>
                <w:sz w:val="18"/>
                <w:szCs w:val="18"/>
              </w:rPr>
            </w:pPr>
            <w:r>
              <w:rPr>
                <w:rFonts w:ascii="宋体"/>
                <w:spacing w:val="-1"/>
                <w:sz w:val="18"/>
              </w:rPr>
              <w:t>4,977.34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0.71</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3,037.96</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0.49</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63.84</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8</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9</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107.55</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0.02</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14.54</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639.68</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9</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10</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150.92</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0.02</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6,033.06</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0.98</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-97.50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10</w:t>
            </w:r>
          </w:p>
        </w:tc>
      </w:tr>
      <w:tr>
        <w:trPr>
          <w:trHeight w:val="634"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11</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463" w:right="191" w:hanging="2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33"/>
              <w:jc w:val="right"/>
              <w:rPr>
                <w:rFonts w:ascii="宋体" w:hAnsi="宋体" w:cs="宋体" w:eastAsia="宋体" w:hint="default"/>
                <w:sz w:val="18"/>
                <w:szCs w:val="18"/>
              </w:rPr>
            </w:pPr>
            <w:r>
              <w:rPr>
                <w:rFonts w:ascii="宋体"/>
                <w:spacing w:val="-1"/>
                <w:sz w:val="18"/>
              </w:rPr>
              <w:t>2,660.00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0.38</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8,710.00</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5"/>
              <w:jc w:val="right"/>
              <w:rPr>
                <w:rFonts w:ascii="宋体" w:hAnsi="宋体" w:cs="宋体" w:eastAsia="宋体" w:hint="default"/>
                <w:sz w:val="18"/>
                <w:szCs w:val="18"/>
              </w:rPr>
            </w:pPr>
            <w:r>
              <w:rPr>
                <w:rFonts w:ascii="宋体"/>
                <w:sz w:val="18"/>
              </w:rPr>
              <w:t>1.42</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-69.46</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11</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12</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488"/>
              <w:jc w:val="right"/>
              <w:rPr>
                <w:rFonts w:ascii="宋体" w:hAnsi="宋体" w:cs="宋体" w:eastAsia="宋体" w:hint="default"/>
                <w:sz w:val="18"/>
                <w:szCs w:val="18"/>
              </w:rPr>
            </w:pPr>
            <w:r>
              <w:rPr>
                <w:rFonts w:ascii="宋体"/>
                <w:spacing w:val="-1"/>
                <w:sz w:val="18"/>
              </w:rPr>
              <w:t>44,895.12</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6.40</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30,247.62</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05"/>
              <w:jc w:val="right"/>
              <w:rPr>
                <w:rFonts w:ascii="宋体" w:hAnsi="宋体" w:cs="宋体" w:eastAsia="宋体" w:hint="default"/>
                <w:sz w:val="18"/>
                <w:szCs w:val="18"/>
              </w:rPr>
            </w:pPr>
            <w:r>
              <w:rPr>
                <w:rFonts w:ascii="宋体"/>
                <w:sz w:val="18"/>
              </w:rPr>
              <w:t>4.91</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48.43</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12</w:t>
            </w:r>
          </w:p>
        </w:tc>
      </w:tr>
      <w:tr>
        <w:trPr>
          <w:trHeight w:val="324"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13</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488"/>
              <w:jc w:val="right"/>
              <w:rPr>
                <w:rFonts w:ascii="宋体" w:hAnsi="宋体" w:cs="宋体" w:eastAsia="宋体" w:hint="default"/>
                <w:sz w:val="18"/>
                <w:szCs w:val="18"/>
              </w:rPr>
            </w:pPr>
            <w:r>
              <w:rPr>
                <w:rFonts w:ascii="宋体"/>
                <w:spacing w:val="-1"/>
                <w:sz w:val="18"/>
              </w:rPr>
              <w:t>60,000.00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8.56</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0</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0</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13</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14</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专项应付款</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533"/>
              <w:jc w:val="right"/>
              <w:rPr>
                <w:rFonts w:ascii="宋体" w:hAnsi="宋体" w:cs="宋体" w:eastAsia="宋体" w:hint="default"/>
                <w:sz w:val="18"/>
                <w:szCs w:val="18"/>
              </w:rPr>
            </w:pPr>
            <w:r>
              <w:rPr>
                <w:rFonts w:ascii="宋体"/>
                <w:spacing w:val="-1"/>
                <w:sz w:val="18"/>
              </w:rPr>
              <w:t>8,648.99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1.23</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8,395.61</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05"/>
              <w:jc w:val="right"/>
              <w:rPr>
                <w:rFonts w:ascii="宋体" w:hAnsi="宋体" w:cs="宋体" w:eastAsia="宋体" w:hint="default"/>
                <w:sz w:val="18"/>
                <w:szCs w:val="18"/>
              </w:rPr>
            </w:pPr>
            <w:r>
              <w:rPr>
                <w:rFonts w:ascii="宋体"/>
                <w:sz w:val="18"/>
              </w:rPr>
              <w:t>1.36</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3.02</w:t>
            </w:r>
          </w:p>
        </w:tc>
        <w:tc>
          <w:tcPr>
            <w:tcW w:w="835" w:type="dxa"/>
            <w:tcBorders>
              <w:top w:val="single" w:sz="4" w:space="0" w:color="000008"/>
              <w:left w:val="single" w:sz="4" w:space="0" w:color="000008"/>
              <w:bottom w:val="single" w:sz="4" w:space="0" w:color="000008"/>
              <w:right w:val="single" w:sz="4" w:space="0" w:color="000008"/>
            </w:tcBorders>
          </w:tcPr>
          <w:p>
            <w:pPr/>
          </w:p>
        </w:tc>
      </w:tr>
      <w:tr>
        <w:trPr>
          <w:trHeight w:val="331"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15</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7.92</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0.00</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15.04</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-47.34</w:t>
            </w:r>
          </w:p>
        </w:tc>
        <w:tc>
          <w:tcPr>
            <w:tcW w:w="835" w:type="dxa"/>
            <w:tcBorders>
              <w:top w:val="single" w:sz="4" w:space="0" w:color="000008"/>
              <w:left w:val="single" w:sz="4" w:space="0" w:color="000008"/>
              <w:bottom w:val="single" w:sz="4" w:space="0" w:color="000008"/>
              <w:right w:val="single" w:sz="4" w:space="0" w:color="000008"/>
            </w:tcBorders>
          </w:tcPr>
          <w:p>
            <w:pPr/>
          </w:p>
        </w:tc>
      </w:tr>
    </w:tbl>
    <w:p>
      <w:pPr>
        <w:spacing w:after="0"/>
        <w:sectPr>
          <w:headerReference w:type="default" r:id="rId73"/>
          <w:footerReference w:type="default" r:id="rId74"/>
          <w:pgSz w:w="11910" w:h="16840"/>
          <w:pgMar w:header="0" w:footer="1095" w:top="1000" w:bottom="1280" w:left="1680" w:right="780"/>
          <w:pgNumType w:start="40"/>
        </w:sectPr>
      </w:pPr>
    </w:p>
    <w:p>
      <w:pPr>
        <w:spacing w:line="240" w:lineRule="auto" w:before="6"/>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614"/>
        <w:gridCol w:w="1654"/>
        <w:gridCol w:w="1800"/>
        <w:gridCol w:w="1440"/>
        <w:gridCol w:w="1142"/>
        <w:gridCol w:w="785"/>
        <w:gridCol w:w="864"/>
        <w:gridCol w:w="835"/>
      </w:tblGrid>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
        </w:tc>
        <w:tc>
          <w:tcPr>
            <w:tcW w:w="1654"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785" w:type="dxa"/>
            <w:tcBorders>
              <w:top w:val="single" w:sz="4" w:space="0" w:color="000008"/>
              <w:left w:val="single" w:sz="4" w:space="0" w:color="000008"/>
              <w:bottom w:val="single" w:sz="4" w:space="0" w:color="000008"/>
              <w:right w:val="single" w:sz="4" w:space="0" w:color="000008"/>
            </w:tcBorders>
          </w:tcPr>
          <w:p>
            <w:pPr/>
          </w:p>
        </w:tc>
        <w:tc>
          <w:tcPr>
            <w:tcW w:w="864" w:type="dxa"/>
            <w:tcBorders>
              <w:top w:val="single" w:sz="4" w:space="0" w:color="000008"/>
              <w:left w:val="single" w:sz="4" w:space="0" w:color="000008"/>
              <w:bottom w:val="single" w:sz="4" w:space="0" w:color="000008"/>
              <w:right w:val="single" w:sz="4" w:space="0" w:color="000008"/>
            </w:tcBorders>
          </w:tcPr>
          <w:p>
            <w:pPr/>
          </w:p>
        </w:tc>
        <w:tc>
          <w:tcPr>
            <w:tcW w:w="835" w:type="dxa"/>
            <w:tcBorders>
              <w:top w:val="single" w:sz="4" w:space="0" w:color="000008"/>
              <w:left w:val="single" w:sz="4" w:space="0" w:color="000008"/>
              <w:bottom w:val="single" w:sz="4" w:space="0" w:color="000008"/>
              <w:right w:val="single" w:sz="4" w:space="0" w:color="000008"/>
            </w:tcBorders>
          </w:tcPr>
          <w:p>
            <w:pPr/>
          </w:p>
        </w:tc>
      </w:tr>
      <w:tr>
        <w:trPr>
          <w:trHeight w:val="636"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16</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预计负债</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33"/>
              <w:jc w:val="right"/>
              <w:rPr>
                <w:rFonts w:ascii="宋体" w:hAnsi="宋体" w:cs="宋体" w:eastAsia="宋体" w:hint="default"/>
                <w:sz w:val="18"/>
                <w:szCs w:val="18"/>
              </w:rPr>
            </w:pPr>
            <w:r>
              <w:rPr>
                <w:rFonts w:ascii="宋体"/>
                <w:spacing w:val="-1"/>
                <w:sz w:val="18"/>
              </w:rPr>
              <w:t>6,500.00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0.93</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400.00</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0.06</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1,525.0</w:t>
            </w:r>
          </w:p>
          <w:p>
            <w:pPr>
              <w:pStyle w:val="TableParagraph"/>
              <w:spacing w:line="240" w:lineRule="auto" w:before="76"/>
              <w:ind w:right="1"/>
              <w:jc w:val="center"/>
              <w:rPr>
                <w:rFonts w:ascii="宋体" w:hAnsi="宋体" w:cs="宋体" w:eastAsia="宋体" w:hint="default"/>
                <w:sz w:val="18"/>
                <w:szCs w:val="18"/>
              </w:rPr>
            </w:pPr>
            <w:r>
              <w:rPr>
                <w:rFonts w:ascii="宋体"/>
                <w:sz w:val="18"/>
              </w:rPr>
              <w:t>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14</w:t>
            </w: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17</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实收资本</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488"/>
              <w:jc w:val="right"/>
              <w:rPr>
                <w:rFonts w:ascii="宋体" w:hAnsi="宋体" w:cs="宋体" w:eastAsia="宋体" w:hint="default"/>
                <w:sz w:val="18"/>
                <w:szCs w:val="18"/>
              </w:rPr>
            </w:pPr>
            <w:r>
              <w:rPr>
                <w:rFonts w:ascii="宋体"/>
                <w:spacing w:val="-1"/>
                <w:sz w:val="18"/>
              </w:rPr>
              <w:t>76,850.79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10.96</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45,206.34</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7.35</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15</w:t>
            </w:r>
          </w:p>
        </w:tc>
      </w:tr>
      <w:tr>
        <w:trPr>
          <w:trHeight w:val="468"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3" w:right="0"/>
              <w:jc w:val="center"/>
              <w:rPr>
                <w:rFonts w:ascii="宋体" w:hAnsi="宋体" w:cs="宋体" w:eastAsia="宋体" w:hint="default"/>
                <w:sz w:val="18"/>
                <w:szCs w:val="18"/>
              </w:rPr>
            </w:pPr>
            <w:r>
              <w:rPr>
                <w:rFonts w:ascii="宋体"/>
                <w:sz w:val="18"/>
              </w:rPr>
              <w:t>18</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440"/>
              <w:jc w:val="right"/>
              <w:rPr>
                <w:rFonts w:ascii="宋体" w:hAnsi="宋体" w:cs="宋体" w:eastAsia="宋体" w:hint="default"/>
                <w:sz w:val="18"/>
                <w:szCs w:val="18"/>
              </w:rPr>
            </w:pPr>
            <w:r>
              <w:rPr>
                <w:rFonts w:ascii="宋体"/>
                <w:spacing w:val="-1"/>
                <w:sz w:val="18"/>
              </w:rPr>
              <w:t>165,172.16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23.56</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194,260.17</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31.56</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-14.97</w:t>
            </w:r>
          </w:p>
        </w:tc>
        <w:tc>
          <w:tcPr>
            <w:tcW w:w="835"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19</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488"/>
              <w:jc w:val="right"/>
              <w:rPr>
                <w:rFonts w:ascii="宋体" w:hAnsi="宋体" w:cs="宋体" w:eastAsia="宋体" w:hint="default"/>
                <w:sz w:val="18"/>
                <w:szCs w:val="18"/>
              </w:rPr>
            </w:pPr>
            <w:r>
              <w:rPr>
                <w:rFonts w:ascii="宋体"/>
                <w:spacing w:val="-1"/>
                <w:sz w:val="18"/>
              </w:rPr>
              <w:t>10,428.38</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1.49</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9,242.09</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1.50</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12.84</w:t>
            </w:r>
          </w:p>
        </w:tc>
        <w:tc>
          <w:tcPr>
            <w:tcW w:w="835"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20</w:t>
            </w:r>
          </w:p>
        </w:tc>
        <w:tc>
          <w:tcPr>
            <w:tcW w:w="16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486"/>
              <w:jc w:val="right"/>
              <w:rPr>
                <w:rFonts w:ascii="宋体" w:hAnsi="宋体" w:cs="宋体" w:eastAsia="宋体" w:hint="default"/>
                <w:sz w:val="18"/>
                <w:szCs w:val="18"/>
              </w:rPr>
            </w:pPr>
            <w:r>
              <w:rPr>
                <w:rFonts w:ascii="宋体"/>
                <w:spacing w:val="-1"/>
                <w:sz w:val="18"/>
              </w:rPr>
              <w:t>36,047.46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5.14</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35,495.93</w:t>
            </w:r>
          </w:p>
        </w:tc>
        <w:tc>
          <w:tcPr>
            <w:tcW w:w="7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5.77</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1.55</w:t>
            </w:r>
          </w:p>
        </w:tc>
        <w:tc>
          <w:tcPr>
            <w:tcW w:w="835" w:type="dxa"/>
            <w:tcBorders>
              <w:top w:val="single" w:sz="4" w:space="0" w:color="000008"/>
              <w:left w:val="single" w:sz="4" w:space="0" w:color="000008"/>
              <w:bottom w:val="single" w:sz="4" w:space="0" w:color="000008"/>
              <w:right w:val="single" w:sz="4" w:space="0" w:color="000008"/>
            </w:tcBorders>
          </w:tcPr>
          <w:p>
            <w:pPr/>
          </w:p>
        </w:tc>
      </w:tr>
    </w:tbl>
    <w:p>
      <w:pPr>
        <w:spacing w:line="304" w:lineRule="auto" w:before="32"/>
        <w:ind w:left="660" w:right="3636" w:hanging="360"/>
        <w:jc w:val="left"/>
        <w:rPr>
          <w:rFonts w:ascii="宋体" w:hAnsi="宋体" w:cs="宋体" w:eastAsia="宋体" w:hint="default"/>
          <w:sz w:val="18"/>
          <w:szCs w:val="18"/>
        </w:rPr>
      </w:pPr>
      <w:r>
        <w:rPr>
          <w:rFonts w:ascii="宋体" w:hAnsi="宋体" w:cs="宋体" w:eastAsia="宋体" w:hint="default"/>
          <w:sz w:val="18"/>
          <w:szCs w:val="18"/>
        </w:rPr>
        <w:t>注：1、货币资金：主要系本期发行短期融资券</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亿元。</w:t>
      </w:r>
      <w:r>
        <w:rPr>
          <w:rFonts w:ascii="宋体" w:hAnsi="宋体" w:cs="宋体" w:eastAsia="宋体" w:hint="default"/>
          <w:sz w:val="18"/>
          <w:szCs w:val="18"/>
        </w:rPr>
        <w:t> 2、应收账款：主要系下属批发市场收回以前年度商铺销售款项。</w:t>
      </w:r>
    </w:p>
    <w:p>
      <w:pPr>
        <w:spacing w:line="304" w:lineRule="auto" w:before="16"/>
        <w:ind w:left="300" w:right="668" w:firstLine="360"/>
        <w:jc w:val="left"/>
        <w:rPr>
          <w:rFonts w:ascii="宋体" w:hAnsi="宋体" w:cs="宋体" w:eastAsia="宋体" w:hint="default"/>
          <w:sz w:val="18"/>
          <w:szCs w:val="18"/>
        </w:rPr>
      </w:pPr>
      <w:r>
        <w:rPr>
          <w:rFonts w:ascii="宋体" w:hAnsi="宋体" w:cs="宋体" w:eastAsia="宋体" w:hint="default"/>
          <w:spacing w:val="-2"/>
          <w:sz w:val="18"/>
          <w:szCs w:val="18"/>
        </w:rPr>
        <w:t>3、预付款项：主要系增加的预付土地款、购置房产的款项、拟设立子公司的投资款以及以抵押方式预付</w:t>
      </w:r>
      <w:r>
        <w:rPr>
          <w:rFonts w:ascii="宋体" w:hAnsi="宋体" w:cs="宋体" w:eastAsia="宋体" w:hint="default"/>
          <w:sz w:val="18"/>
          <w:szCs w:val="18"/>
        </w:rPr>
        <w:t> 的货款。</w:t>
      </w:r>
    </w:p>
    <w:p>
      <w:pPr>
        <w:spacing w:line="304" w:lineRule="auto" w:before="16"/>
        <w:ind w:left="300" w:right="683" w:firstLine="360"/>
        <w:jc w:val="left"/>
        <w:rPr>
          <w:rFonts w:ascii="宋体" w:hAnsi="宋体" w:cs="宋体" w:eastAsia="宋体" w:hint="default"/>
          <w:sz w:val="18"/>
          <w:szCs w:val="18"/>
        </w:rPr>
      </w:pPr>
      <w:r>
        <w:rPr>
          <w:rFonts w:ascii="宋体" w:hAnsi="宋体" w:cs="宋体" w:eastAsia="宋体" w:hint="default"/>
          <w:spacing w:val="-3"/>
          <w:sz w:val="18"/>
          <w:szCs w:val="18"/>
        </w:rPr>
        <w:t>4、其他应收款：主要系寿光蔬菜公司退出合并报表，以及本公司对民润公司的应收款项计提坏账准备所</w:t>
      </w:r>
      <w:r>
        <w:rPr>
          <w:rFonts w:ascii="宋体" w:hAnsi="宋体" w:cs="宋体" w:eastAsia="宋体" w:hint="default"/>
          <w:sz w:val="18"/>
          <w:szCs w:val="18"/>
        </w:rPr>
        <w:t> 致。</w:t>
      </w:r>
    </w:p>
    <w:p>
      <w:pPr>
        <w:spacing w:line="304" w:lineRule="auto" w:before="16"/>
        <w:ind w:left="300" w:right="683" w:firstLine="360"/>
        <w:jc w:val="left"/>
        <w:rPr>
          <w:rFonts w:ascii="宋体" w:hAnsi="宋体" w:cs="宋体" w:eastAsia="宋体" w:hint="default"/>
          <w:sz w:val="18"/>
          <w:szCs w:val="18"/>
        </w:rPr>
      </w:pPr>
      <w:r>
        <w:rPr>
          <w:rFonts w:ascii="宋体" w:hAnsi="宋体" w:cs="宋体" w:eastAsia="宋体" w:hint="default"/>
          <w:spacing w:val="-3"/>
          <w:sz w:val="18"/>
          <w:szCs w:val="18"/>
        </w:rPr>
        <w:t>5、在建工程：主要系平湖国际物流园项目工程、农牧美益肉联厂工程、果菜益民豆制品基地项目、沈阳</w:t>
      </w:r>
      <w:r>
        <w:rPr>
          <w:rFonts w:ascii="宋体" w:hAnsi="宋体" w:cs="宋体" w:eastAsia="宋体" w:hint="default"/>
          <w:sz w:val="18"/>
          <w:szCs w:val="18"/>
        </w:rPr>
        <w:t> 海吉星农产品物流园工程、广西海吉星农产品物流园、宁夏海吉星市场工程等工程项目支出增加所致。</w:t>
      </w:r>
    </w:p>
    <w:p>
      <w:pPr>
        <w:spacing w:before="16"/>
        <w:ind w:left="660" w:right="683" w:firstLine="0"/>
        <w:jc w:val="left"/>
        <w:rPr>
          <w:rFonts w:ascii="宋体" w:hAnsi="宋体" w:cs="宋体" w:eastAsia="宋体" w:hint="default"/>
          <w:sz w:val="18"/>
          <w:szCs w:val="18"/>
        </w:rPr>
      </w:pPr>
      <w:r>
        <w:rPr>
          <w:rFonts w:ascii="宋体" w:hAnsi="宋体" w:cs="宋体" w:eastAsia="宋体" w:hint="default"/>
          <w:sz w:val="18"/>
          <w:szCs w:val="18"/>
        </w:rPr>
        <w:t>6、长期待摊费用：主要系固定资产改良支出增加和固定资产重分类所致。</w:t>
      </w:r>
    </w:p>
    <w:p>
      <w:pPr>
        <w:spacing w:before="64"/>
        <w:ind w:left="660" w:right="683" w:firstLine="0"/>
        <w:jc w:val="left"/>
        <w:rPr>
          <w:rFonts w:ascii="宋体" w:hAnsi="宋体" w:cs="宋体" w:eastAsia="宋体" w:hint="default"/>
          <w:sz w:val="18"/>
          <w:szCs w:val="18"/>
        </w:rPr>
      </w:pPr>
      <w:r>
        <w:rPr>
          <w:rFonts w:ascii="宋体" w:hAnsi="宋体" w:cs="宋体" w:eastAsia="宋体" w:hint="default"/>
          <w:sz w:val="18"/>
          <w:szCs w:val="18"/>
        </w:rPr>
        <w:t>7、应付账款：主要系下属批发市场支付工程结算款项所致。</w:t>
      </w:r>
    </w:p>
    <w:p>
      <w:pPr>
        <w:spacing w:before="64"/>
        <w:ind w:left="660" w:right="683" w:firstLine="0"/>
        <w:jc w:val="left"/>
        <w:rPr>
          <w:rFonts w:ascii="宋体" w:hAnsi="宋体" w:cs="宋体" w:eastAsia="宋体" w:hint="default"/>
          <w:sz w:val="18"/>
          <w:szCs w:val="18"/>
        </w:rPr>
      </w:pPr>
      <w:r>
        <w:rPr>
          <w:rFonts w:ascii="宋体" w:hAnsi="宋体" w:cs="宋体" w:eastAsia="宋体" w:hint="default"/>
          <w:sz w:val="18"/>
          <w:szCs w:val="18"/>
        </w:rPr>
        <w:t>8、应付职工薪酬：主要系计提的</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年度绩效工资尚未发放所致。</w:t>
      </w:r>
    </w:p>
    <w:p>
      <w:pPr>
        <w:spacing w:before="64"/>
        <w:ind w:left="660" w:right="683" w:firstLine="0"/>
        <w:jc w:val="left"/>
        <w:rPr>
          <w:rFonts w:ascii="宋体" w:hAnsi="宋体" w:cs="宋体" w:eastAsia="宋体" w:hint="default"/>
          <w:sz w:val="18"/>
          <w:szCs w:val="18"/>
        </w:rPr>
      </w:pPr>
      <w:r>
        <w:rPr>
          <w:rFonts w:ascii="宋体" w:hAnsi="宋体" w:cs="宋体" w:eastAsia="宋体" w:hint="default"/>
          <w:sz w:val="18"/>
          <w:szCs w:val="18"/>
        </w:rPr>
        <w:t>9、应付利息：主要系本期发行短期融资券计提利息所致。</w:t>
      </w:r>
    </w:p>
    <w:p>
      <w:pPr>
        <w:spacing w:before="64"/>
        <w:ind w:left="660" w:right="683" w:firstLine="0"/>
        <w:jc w:val="left"/>
        <w:rPr>
          <w:rFonts w:ascii="宋体" w:hAnsi="宋体" w:cs="宋体" w:eastAsia="宋体" w:hint="default"/>
          <w:sz w:val="18"/>
          <w:szCs w:val="18"/>
        </w:rPr>
      </w:pPr>
      <w:r>
        <w:rPr>
          <w:rFonts w:ascii="宋体" w:hAnsi="宋体" w:cs="宋体" w:eastAsia="宋体" w:hint="default"/>
          <w:sz w:val="18"/>
          <w:szCs w:val="18"/>
        </w:rPr>
        <w:t>10、应付股利：主要系下属子公司支付了少数股东股利所致。</w:t>
      </w:r>
    </w:p>
    <w:p>
      <w:pPr>
        <w:spacing w:before="64"/>
        <w:ind w:left="660" w:right="683" w:firstLine="0"/>
        <w:jc w:val="left"/>
        <w:rPr>
          <w:rFonts w:ascii="宋体" w:hAnsi="宋体" w:cs="宋体" w:eastAsia="宋体" w:hint="default"/>
          <w:sz w:val="18"/>
          <w:szCs w:val="18"/>
        </w:rPr>
      </w:pPr>
      <w:r>
        <w:rPr>
          <w:rFonts w:ascii="宋体" w:hAnsi="宋体" w:cs="宋体" w:eastAsia="宋体" w:hint="default"/>
          <w:sz w:val="18"/>
          <w:szCs w:val="18"/>
        </w:rPr>
        <w:t>11、一年内到期的非流动负债：主要系一年内到期的银行借款到期后偿还所致。</w:t>
      </w:r>
    </w:p>
    <w:p>
      <w:pPr>
        <w:spacing w:before="45"/>
        <w:ind w:left="660" w:right="683" w:firstLine="0"/>
        <w:jc w:val="left"/>
        <w:rPr>
          <w:rFonts w:ascii="宋体" w:hAnsi="宋体" w:cs="宋体" w:eastAsia="宋体" w:hint="default"/>
          <w:sz w:val="18"/>
          <w:szCs w:val="18"/>
        </w:rPr>
      </w:pPr>
      <w:r>
        <w:rPr>
          <w:rFonts w:ascii="宋体" w:hAnsi="宋体" w:cs="宋体" w:eastAsia="宋体" w:hint="default"/>
          <w:sz w:val="18"/>
          <w:szCs w:val="18"/>
        </w:rPr>
        <w:t>12、长期借款：主要系本期下属农牧公司增加长期借款所致。</w:t>
      </w:r>
    </w:p>
    <w:p>
      <w:pPr>
        <w:spacing w:before="95"/>
        <w:ind w:left="660" w:right="683" w:firstLine="0"/>
        <w:jc w:val="left"/>
        <w:rPr>
          <w:rFonts w:ascii="宋体" w:hAnsi="宋体" w:cs="宋体" w:eastAsia="宋体" w:hint="default"/>
          <w:sz w:val="18"/>
          <w:szCs w:val="18"/>
        </w:rPr>
      </w:pPr>
      <w:r>
        <w:rPr>
          <w:rFonts w:ascii="宋体" w:hAnsi="宋体" w:cs="宋体" w:eastAsia="宋体" w:hint="default"/>
          <w:sz w:val="18"/>
          <w:szCs w:val="18"/>
        </w:rPr>
        <w:t>13、其他流动负债：系本期发行的短期融资券。</w:t>
      </w:r>
    </w:p>
    <w:p>
      <w:pPr>
        <w:spacing w:before="64"/>
        <w:ind w:left="660" w:right="0" w:firstLine="0"/>
        <w:jc w:val="left"/>
        <w:rPr>
          <w:rFonts w:ascii="宋体" w:hAnsi="宋体" w:cs="宋体" w:eastAsia="宋体" w:hint="default"/>
          <w:sz w:val="18"/>
          <w:szCs w:val="18"/>
        </w:rPr>
      </w:pPr>
      <w:r>
        <w:rPr>
          <w:rFonts w:ascii="宋体" w:hAnsi="宋体" w:cs="宋体" w:eastAsia="宋体" w:hint="default"/>
          <w:sz w:val="18"/>
          <w:szCs w:val="18"/>
        </w:rPr>
        <w:t>14、预计负债：主要系预计对深圳市民润农产品配送连锁商业有限公司银行借款提供担保的损失所致。</w:t>
      </w:r>
    </w:p>
    <w:p>
      <w:pPr>
        <w:spacing w:before="64"/>
        <w:ind w:left="660" w:right="683" w:firstLine="0"/>
        <w:jc w:val="left"/>
        <w:rPr>
          <w:rFonts w:ascii="宋体" w:hAnsi="宋体" w:cs="宋体" w:eastAsia="宋体" w:hint="default"/>
          <w:sz w:val="18"/>
          <w:szCs w:val="18"/>
        </w:rPr>
      </w:pPr>
      <w:r>
        <w:rPr>
          <w:rFonts w:ascii="宋体" w:hAnsi="宋体" w:cs="宋体" w:eastAsia="宋体" w:hint="default"/>
          <w:sz w:val="18"/>
          <w:szCs w:val="18"/>
        </w:rPr>
        <w:t>15、实收资本：系本期以资本公积转增资本。</w:t>
      </w:r>
    </w:p>
    <w:p>
      <w:pPr>
        <w:pStyle w:val="BodyText"/>
        <w:spacing w:line="240" w:lineRule="auto" w:before="138"/>
        <w:ind w:left="780" w:right="683"/>
        <w:jc w:val="left"/>
      </w:pPr>
      <w:r>
        <w:rPr/>
        <w:t>2、报告期内公司主要资产采用历史成本属性计量。</w:t>
      </w:r>
    </w:p>
    <w:p>
      <w:pPr>
        <w:tabs>
          <w:tab w:pos="7379" w:val="left" w:leader="none"/>
        </w:tabs>
        <w:spacing w:before="101"/>
        <w:ind w:left="780" w:right="683" w:firstLine="0"/>
        <w:jc w:val="left"/>
        <w:rPr>
          <w:rFonts w:ascii="宋体" w:hAnsi="宋体" w:cs="宋体" w:eastAsia="宋体" w:hint="default"/>
          <w:sz w:val="21"/>
          <w:szCs w:val="21"/>
        </w:rPr>
      </w:pPr>
      <w:r>
        <w:rPr>
          <w:rFonts w:ascii="宋体" w:hAnsi="宋体" w:cs="宋体" w:eastAsia="宋体" w:hint="default"/>
          <w:sz w:val="24"/>
          <w:szCs w:val="24"/>
        </w:rPr>
        <w:t>3、报告期内公司费用及变动情况</w:t>
        <w:tab/>
      </w:r>
      <w:r>
        <w:rPr>
          <w:rFonts w:ascii="宋体" w:hAnsi="宋体" w:cs="宋体" w:eastAsia="宋体" w:hint="default"/>
          <w:sz w:val="21"/>
          <w:szCs w:val="21"/>
        </w:rPr>
        <w:t>单位：万元</w:t>
      </w:r>
    </w:p>
    <w:p>
      <w:pPr>
        <w:spacing w:line="240" w:lineRule="auto" w:before="9"/>
        <w:rPr>
          <w:rFonts w:ascii="宋体" w:hAnsi="宋体" w:cs="宋体" w:eastAsia="宋体" w:hint="default"/>
          <w:sz w:val="8"/>
          <w:szCs w:val="8"/>
        </w:rPr>
      </w:pPr>
    </w:p>
    <w:tbl>
      <w:tblPr>
        <w:tblW w:w="0" w:type="auto"/>
        <w:jc w:val="left"/>
        <w:tblInd w:w="545" w:type="dxa"/>
        <w:tblLayout w:type="fixed"/>
        <w:tblCellMar>
          <w:top w:w="0" w:type="dxa"/>
          <w:left w:w="0" w:type="dxa"/>
          <w:bottom w:w="0" w:type="dxa"/>
          <w:right w:w="0" w:type="dxa"/>
        </w:tblCellMar>
        <w:tblLook w:val="01E0"/>
      </w:tblPr>
      <w:tblGrid>
        <w:gridCol w:w="2011"/>
        <w:gridCol w:w="1910"/>
        <w:gridCol w:w="2018"/>
        <w:gridCol w:w="2016"/>
      </w:tblGrid>
      <w:tr>
        <w:trPr>
          <w:trHeight w:val="479" w:hRule="exact"/>
        </w:trPr>
        <w:tc>
          <w:tcPr>
            <w:tcW w:w="2011"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tabs>
                <w:tab w:pos="448" w:val="left" w:leader="none"/>
              </w:tabs>
              <w:spacing w:line="240" w:lineRule="auto" w:before="91"/>
              <w:ind w:right="68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910"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年度</w:t>
            </w:r>
          </w:p>
        </w:tc>
        <w:tc>
          <w:tcPr>
            <w:tcW w:w="2018"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2016"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同比增减幅度</w:t>
            </w:r>
            <w:r>
              <w:rPr>
                <w:rFonts w:ascii="Times New Roman" w:hAnsi="Times New Roman" w:cs="Times New Roman" w:eastAsia="Times New Roman" w:hint="default"/>
                <w:sz w:val="18"/>
                <w:szCs w:val="18"/>
              </w:rPr>
              <w:t>(%)</w:t>
            </w:r>
          </w:p>
        </w:tc>
      </w:tr>
      <w:tr>
        <w:trPr>
          <w:trHeight w:val="481" w:hRule="exact"/>
        </w:trPr>
        <w:tc>
          <w:tcPr>
            <w:tcW w:w="2011"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1"/>
              <w:ind w:right="637"/>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1"/>
              <w:ind w:left="3" w:right="0"/>
              <w:jc w:val="center"/>
              <w:rPr>
                <w:rFonts w:ascii="Times New Roman" w:hAnsi="Times New Roman" w:cs="Times New Roman" w:eastAsia="Times New Roman" w:hint="default"/>
                <w:sz w:val="18"/>
                <w:szCs w:val="18"/>
              </w:rPr>
            </w:pPr>
            <w:r>
              <w:rPr>
                <w:rFonts w:ascii="Times New Roman"/>
                <w:spacing w:val="-3"/>
                <w:sz w:val="18"/>
              </w:rPr>
              <w:t>17,111</w:t>
            </w:r>
          </w:p>
        </w:tc>
        <w:tc>
          <w:tcPr>
            <w:tcW w:w="201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14,518</w:t>
            </w:r>
          </w:p>
        </w:tc>
        <w:tc>
          <w:tcPr>
            <w:tcW w:w="201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17.86</w:t>
            </w:r>
          </w:p>
        </w:tc>
      </w:tr>
      <w:tr>
        <w:trPr>
          <w:trHeight w:val="480" w:hRule="exact"/>
        </w:trPr>
        <w:tc>
          <w:tcPr>
            <w:tcW w:w="2011"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1"/>
              <w:ind w:right="637"/>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0"/>
              <w:ind w:left="1" w:right="0"/>
              <w:jc w:val="center"/>
              <w:rPr>
                <w:rFonts w:ascii="Times New Roman" w:hAnsi="Times New Roman" w:cs="Times New Roman" w:eastAsia="Times New Roman" w:hint="default"/>
                <w:sz w:val="18"/>
                <w:szCs w:val="18"/>
              </w:rPr>
            </w:pPr>
            <w:r>
              <w:rPr>
                <w:rFonts w:ascii="Times New Roman"/>
                <w:sz w:val="18"/>
              </w:rPr>
              <w:t>29,224</w:t>
            </w:r>
          </w:p>
        </w:tc>
        <w:tc>
          <w:tcPr>
            <w:tcW w:w="201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29,262</w:t>
            </w:r>
          </w:p>
        </w:tc>
        <w:tc>
          <w:tcPr>
            <w:tcW w:w="201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0"/>
              <w:ind w:left="1" w:right="0"/>
              <w:jc w:val="center"/>
              <w:rPr>
                <w:rFonts w:ascii="Times New Roman" w:hAnsi="Times New Roman" w:cs="Times New Roman" w:eastAsia="Times New Roman" w:hint="default"/>
                <w:sz w:val="18"/>
                <w:szCs w:val="18"/>
              </w:rPr>
            </w:pPr>
            <w:r>
              <w:rPr>
                <w:rFonts w:ascii="Times New Roman"/>
                <w:sz w:val="18"/>
              </w:rPr>
              <w:t>-0.13</w:t>
            </w:r>
          </w:p>
        </w:tc>
      </w:tr>
      <w:tr>
        <w:trPr>
          <w:trHeight w:val="480" w:hRule="exact"/>
        </w:trPr>
        <w:tc>
          <w:tcPr>
            <w:tcW w:w="2011"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1"/>
              <w:ind w:right="637"/>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0"/>
              <w:ind w:left="3" w:right="0"/>
              <w:jc w:val="center"/>
              <w:rPr>
                <w:rFonts w:ascii="Times New Roman" w:hAnsi="Times New Roman" w:cs="Times New Roman" w:eastAsia="Times New Roman" w:hint="default"/>
                <w:sz w:val="18"/>
                <w:szCs w:val="18"/>
              </w:rPr>
            </w:pPr>
            <w:r>
              <w:rPr>
                <w:rFonts w:ascii="Times New Roman"/>
                <w:sz w:val="18"/>
              </w:rPr>
              <w:t>4,011</w:t>
            </w:r>
          </w:p>
        </w:tc>
        <w:tc>
          <w:tcPr>
            <w:tcW w:w="201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0"/>
              <w:ind w:left="1" w:right="0"/>
              <w:jc w:val="center"/>
              <w:rPr>
                <w:rFonts w:ascii="Times New Roman" w:hAnsi="Times New Roman" w:cs="Times New Roman" w:eastAsia="Times New Roman" w:hint="default"/>
                <w:sz w:val="18"/>
                <w:szCs w:val="18"/>
              </w:rPr>
            </w:pPr>
            <w:r>
              <w:rPr>
                <w:rFonts w:ascii="Times New Roman"/>
                <w:sz w:val="18"/>
              </w:rPr>
              <w:t>6,279</w:t>
            </w:r>
          </w:p>
        </w:tc>
        <w:tc>
          <w:tcPr>
            <w:tcW w:w="201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-36.12</w:t>
            </w:r>
          </w:p>
        </w:tc>
      </w:tr>
    </w:tbl>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Heading5"/>
        <w:spacing w:line="288" w:lineRule="auto"/>
        <w:ind w:left="300" w:right="683" w:firstLine="480"/>
        <w:jc w:val="left"/>
        <w:rPr>
          <w:b w:val="0"/>
          <w:bCs w:val="0"/>
        </w:rPr>
      </w:pPr>
      <w:r>
        <w:rPr/>
        <w:t>报告期内，财务费用大幅下降系闲置募集资金补充流动资金节约贷款利息支 出所致。</w:t>
      </w:r>
      <w:r>
        <w:rPr>
          <w:b w:val="0"/>
          <w:bCs w:val="0"/>
        </w:rPr>
      </w:r>
    </w:p>
    <w:p>
      <w:pPr>
        <w:spacing w:after="0" w:line="288" w:lineRule="auto"/>
        <w:jc w:val="left"/>
        <w:sectPr>
          <w:headerReference w:type="default" r:id="rId75"/>
          <w:footerReference w:type="default" r:id="rId76"/>
          <w:pgSz w:w="11910" w:h="16840"/>
          <w:pgMar w:header="0" w:footer="1095" w:top="1000" w:bottom="1280" w:left="1680" w:right="780"/>
          <w:pgNumType w:start="41"/>
        </w:sectPr>
      </w:pPr>
    </w:p>
    <w:p>
      <w:pPr>
        <w:spacing w:before="20"/>
        <w:ind w:left="780" w:right="-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四、公司现金流量表相关数据的变化情况</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17"/>
        <w:rPr>
          <w:rFonts w:ascii="Microsoft JhengHei" w:hAnsi="Microsoft JhengHei" w:cs="Microsoft JhengHei" w:eastAsia="Microsoft JhengHei" w:hint="default"/>
          <w:b/>
          <w:bCs/>
          <w:sz w:val="10"/>
          <w:szCs w:val="10"/>
        </w:rPr>
      </w:pPr>
    </w:p>
    <w:p>
      <w:pPr>
        <w:spacing w:before="0"/>
        <w:ind w:left="780" w:right="0" w:firstLine="0"/>
        <w:jc w:val="left"/>
        <w:rPr>
          <w:rFonts w:ascii="宋体" w:hAnsi="宋体" w:cs="宋体" w:eastAsia="宋体" w:hint="default"/>
          <w:sz w:val="21"/>
          <w:szCs w:val="21"/>
        </w:rPr>
      </w:pPr>
      <w:r>
        <w:rPr>
          <w:rFonts w:ascii="宋体" w:hAnsi="宋体" w:cs="宋体" w:eastAsia="宋体" w:hint="default"/>
          <w:spacing w:val="-7"/>
          <w:sz w:val="21"/>
          <w:szCs w:val="21"/>
        </w:rPr>
        <w:t>单位：万元</w:t>
      </w:r>
    </w:p>
    <w:p>
      <w:pPr>
        <w:spacing w:after="0"/>
        <w:jc w:val="left"/>
        <w:rPr>
          <w:rFonts w:ascii="宋体" w:hAnsi="宋体" w:cs="宋体" w:eastAsia="宋体" w:hint="default"/>
          <w:sz w:val="21"/>
          <w:szCs w:val="21"/>
        </w:rPr>
        <w:sectPr>
          <w:type w:val="continuous"/>
          <w:pgSz w:w="11910" w:h="16840"/>
          <w:pgMar w:top="1580" w:bottom="280" w:left="1680" w:right="780"/>
          <w:cols w:num="2" w:equalWidth="0">
            <w:col w:w="5120" w:space="1840"/>
            <w:col w:w="2490"/>
          </w:cols>
        </w:sectPr>
      </w:pPr>
    </w:p>
    <w:p>
      <w:pPr>
        <w:spacing w:line="240" w:lineRule="auto" w:before="10"/>
        <w:rPr>
          <w:rFonts w:ascii="宋体" w:hAnsi="宋体" w:cs="宋体" w:eastAsia="宋体" w:hint="default"/>
          <w:sz w:val="9"/>
          <w:szCs w:val="9"/>
        </w:rPr>
      </w:pPr>
    </w:p>
    <w:tbl>
      <w:tblPr>
        <w:tblW w:w="0" w:type="auto"/>
        <w:jc w:val="left"/>
        <w:tblInd w:w="185" w:type="dxa"/>
        <w:tblLayout w:type="fixed"/>
        <w:tblCellMar>
          <w:top w:w="0" w:type="dxa"/>
          <w:left w:w="0" w:type="dxa"/>
          <w:bottom w:w="0" w:type="dxa"/>
          <w:right w:w="0" w:type="dxa"/>
        </w:tblCellMar>
        <w:tblLook w:val="01E0"/>
      </w:tblPr>
      <w:tblGrid>
        <w:gridCol w:w="3794"/>
        <w:gridCol w:w="1493"/>
        <w:gridCol w:w="1495"/>
        <w:gridCol w:w="1894"/>
      </w:tblGrid>
      <w:tr>
        <w:trPr>
          <w:trHeight w:val="479" w:hRule="exact"/>
        </w:trPr>
        <w:tc>
          <w:tcPr>
            <w:tcW w:w="3794"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tabs>
                <w:tab w:pos="628" w:val="left" w:leader="none"/>
              </w:tabs>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93"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2009 年度</w:t>
            </w:r>
          </w:p>
        </w:tc>
        <w:tc>
          <w:tcPr>
            <w:tcW w:w="1495"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0"/>
              <w:ind w:left="2"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1894"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0"/>
              <w:ind w:right="1"/>
              <w:jc w:val="center"/>
              <w:rPr>
                <w:rFonts w:ascii="宋体" w:hAnsi="宋体" w:cs="宋体" w:eastAsia="宋体" w:hint="default"/>
                <w:sz w:val="18"/>
                <w:szCs w:val="18"/>
              </w:rPr>
            </w:pPr>
            <w:r>
              <w:rPr>
                <w:rFonts w:ascii="宋体" w:hAnsi="宋体" w:cs="宋体" w:eastAsia="宋体" w:hint="default"/>
                <w:sz w:val="18"/>
                <w:szCs w:val="18"/>
              </w:rPr>
              <w:t>同比增减情况 (%)</w:t>
            </w:r>
          </w:p>
        </w:tc>
      </w:tr>
      <w:tr>
        <w:trPr>
          <w:trHeight w:val="480" w:hRule="exact"/>
        </w:trPr>
        <w:tc>
          <w:tcPr>
            <w:tcW w:w="3794"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left="3" w:right="0"/>
              <w:jc w:val="center"/>
              <w:rPr>
                <w:rFonts w:ascii="宋体" w:hAnsi="宋体" w:cs="宋体" w:eastAsia="宋体" w:hint="default"/>
                <w:sz w:val="18"/>
                <w:szCs w:val="18"/>
              </w:rPr>
            </w:pPr>
            <w:r>
              <w:rPr>
                <w:rFonts w:ascii="宋体"/>
                <w:sz w:val="18"/>
              </w:rPr>
              <w:t>51,651</w:t>
            </w:r>
          </w:p>
        </w:tc>
        <w:tc>
          <w:tcPr>
            <w:tcW w:w="14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left="6" w:right="0"/>
              <w:jc w:val="center"/>
              <w:rPr>
                <w:rFonts w:ascii="宋体" w:hAnsi="宋体" w:cs="宋体" w:eastAsia="宋体" w:hint="default"/>
                <w:sz w:val="18"/>
                <w:szCs w:val="18"/>
              </w:rPr>
            </w:pPr>
            <w:r>
              <w:rPr>
                <w:rFonts w:ascii="宋体"/>
                <w:sz w:val="18"/>
              </w:rPr>
              <w:t>27,883</w:t>
            </w:r>
          </w:p>
        </w:tc>
        <w:tc>
          <w:tcPr>
            <w:tcW w:w="18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85.24</w:t>
            </w:r>
          </w:p>
        </w:tc>
      </w:tr>
    </w:tbl>
    <w:p>
      <w:pPr>
        <w:spacing w:after="0" w:line="240" w:lineRule="auto"/>
        <w:jc w:val="center"/>
        <w:rPr>
          <w:rFonts w:ascii="宋体" w:hAnsi="宋体" w:cs="宋体" w:eastAsia="宋体" w:hint="default"/>
          <w:sz w:val="18"/>
          <w:szCs w:val="18"/>
        </w:rPr>
        <w:sectPr>
          <w:type w:val="continuous"/>
          <w:pgSz w:w="11910" w:h="16840"/>
          <w:pgMar w:top="1580" w:bottom="280" w:left="1680" w:right="780"/>
        </w:sectPr>
      </w:pPr>
    </w:p>
    <w:p>
      <w:pPr>
        <w:spacing w:line="240" w:lineRule="auto" w:before="7"/>
        <w:rPr>
          <w:rFonts w:ascii="宋体" w:hAnsi="宋体" w:cs="宋体" w:eastAsia="宋体" w:hint="default"/>
          <w:sz w:val="5"/>
          <w:szCs w:val="5"/>
        </w:rPr>
      </w:pPr>
    </w:p>
    <w:tbl>
      <w:tblPr>
        <w:tblW w:w="0" w:type="auto"/>
        <w:jc w:val="left"/>
        <w:tblInd w:w="185" w:type="dxa"/>
        <w:tblLayout w:type="fixed"/>
        <w:tblCellMar>
          <w:top w:w="0" w:type="dxa"/>
          <w:left w:w="0" w:type="dxa"/>
          <w:bottom w:w="0" w:type="dxa"/>
          <w:right w:w="0" w:type="dxa"/>
        </w:tblCellMar>
        <w:tblLook w:val="01E0"/>
      </w:tblPr>
      <w:tblGrid>
        <w:gridCol w:w="3794"/>
        <w:gridCol w:w="1493"/>
        <w:gridCol w:w="1495"/>
        <w:gridCol w:w="1894"/>
      </w:tblGrid>
      <w:tr>
        <w:trPr>
          <w:trHeight w:val="480" w:hRule="exact"/>
        </w:trPr>
        <w:tc>
          <w:tcPr>
            <w:tcW w:w="3794"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left="1" w:right="0"/>
              <w:jc w:val="center"/>
              <w:rPr>
                <w:rFonts w:ascii="宋体" w:hAnsi="宋体" w:cs="宋体" w:eastAsia="宋体" w:hint="default"/>
                <w:sz w:val="18"/>
                <w:szCs w:val="18"/>
              </w:rPr>
            </w:pPr>
            <w:r>
              <w:rPr>
                <w:rFonts w:ascii="宋体"/>
                <w:sz w:val="18"/>
              </w:rPr>
              <w:t>-33,151</w:t>
            </w:r>
          </w:p>
        </w:tc>
        <w:tc>
          <w:tcPr>
            <w:tcW w:w="14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left="3" w:right="0"/>
              <w:jc w:val="center"/>
              <w:rPr>
                <w:rFonts w:ascii="宋体" w:hAnsi="宋体" w:cs="宋体" w:eastAsia="宋体" w:hint="default"/>
                <w:sz w:val="18"/>
                <w:szCs w:val="18"/>
              </w:rPr>
            </w:pPr>
            <w:r>
              <w:rPr>
                <w:rFonts w:ascii="宋体"/>
                <w:sz w:val="18"/>
              </w:rPr>
              <w:t>-57,517</w:t>
            </w:r>
          </w:p>
        </w:tc>
        <w:tc>
          <w:tcPr>
            <w:tcW w:w="18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left="1" w:right="0"/>
              <w:jc w:val="center"/>
              <w:rPr>
                <w:rFonts w:ascii="宋体" w:hAnsi="宋体" w:cs="宋体" w:eastAsia="宋体" w:hint="default"/>
                <w:sz w:val="18"/>
                <w:szCs w:val="18"/>
              </w:rPr>
            </w:pPr>
            <w:r>
              <w:rPr>
                <w:rFonts w:ascii="宋体"/>
                <w:sz w:val="18"/>
              </w:rPr>
              <w:t>--</w:t>
            </w:r>
          </w:p>
        </w:tc>
      </w:tr>
      <w:tr>
        <w:trPr>
          <w:trHeight w:val="480" w:hRule="exact"/>
        </w:trPr>
        <w:tc>
          <w:tcPr>
            <w:tcW w:w="3794" w:type="dxa"/>
            <w:tcBorders>
              <w:top w:val="single" w:sz="5" w:space="0" w:color="000000"/>
              <w:left w:val="single" w:sz="5" w:space="0" w:color="000000"/>
              <w:bottom w:val="single" w:sz="5" w:space="0" w:color="000000"/>
              <w:right w:val="single" w:sz="5" w:space="0" w:color="000000"/>
            </w:tcBorders>
            <w:shd w:val="clear" w:color="auto" w:fill="DFDFDF"/>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9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left="4" w:right="0"/>
              <w:jc w:val="center"/>
              <w:rPr>
                <w:rFonts w:ascii="宋体" w:hAnsi="宋体" w:cs="宋体" w:eastAsia="宋体" w:hint="default"/>
                <w:sz w:val="18"/>
                <w:szCs w:val="18"/>
              </w:rPr>
            </w:pPr>
            <w:r>
              <w:rPr>
                <w:rFonts w:ascii="宋体"/>
                <w:sz w:val="18"/>
              </w:rPr>
              <w:t>40,617</w:t>
            </w:r>
          </w:p>
        </w:tc>
        <w:tc>
          <w:tcPr>
            <w:tcW w:w="14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left="6" w:right="0"/>
              <w:jc w:val="center"/>
              <w:rPr>
                <w:rFonts w:ascii="宋体" w:hAnsi="宋体" w:cs="宋体" w:eastAsia="宋体" w:hint="default"/>
                <w:sz w:val="18"/>
                <w:szCs w:val="18"/>
              </w:rPr>
            </w:pPr>
            <w:r>
              <w:rPr>
                <w:rFonts w:ascii="宋体"/>
                <w:sz w:val="18"/>
              </w:rPr>
              <w:t>74,675</w:t>
            </w:r>
          </w:p>
        </w:tc>
        <w:tc>
          <w:tcPr>
            <w:tcW w:w="18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1"/>
              <w:ind w:left="1" w:right="0"/>
              <w:jc w:val="center"/>
              <w:rPr>
                <w:rFonts w:ascii="宋体" w:hAnsi="宋体" w:cs="宋体" w:eastAsia="宋体" w:hint="default"/>
                <w:sz w:val="18"/>
                <w:szCs w:val="18"/>
              </w:rPr>
            </w:pPr>
            <w:r>
              <w:rPr>
                <w:rFonts w:ascii="宋体"/>
                <w:sz w:val="18"/>
              </w:rPr>
              <w:t>-45.61</w:t>
            </w:r>
          </w:p>
        </w:tc>
      </w:tr>
    </w:tbl>
    <w:p>
      <w:pPr>
        <w:spacing w:line="240" w:lineRule="auto" w:before="8"/>
        <w:rPr>
          <w:rFonts w:ascii="宋体" w:hAnsi="宋体" w:cs="宋体" w:eastAsia="宋体" w:hint="default"/>
          <w:sz w:val="6"/>
          <w:szCs w:val="6"/>
        </w:rPr>
      </w:pPr>
    </w:p>
    <w:p>
      <w:pPr>
        <w:spacing w:line="355" w:lineRule="auto" w:before="36"/>
        <w:ind w:left="300" w:right="337" w:firstLine="420"/>
        <w:jc w:val="both"/>
        <w:rPr>
          <w:rFonts w:ascii="宋体" w:hAnsi="宋体" w:cs="宋体" w:eastAsia="宋体" w:hint="default"/>
          <w:sz w:val="21"/>
          <w:szCs w:val="21"/>
        </w:rPr>
      </w:pPr>
      <w:r>
        <w:rPr>
          <w:rFonts w:ascii="宋体" w:hAnsi="宋体" w:cs="宋体" w:eastAsia="宋体" w:hint="default"/>
          <w:sz w:val="21"/>
          <w:szCs w:val="21"/>
        </w:rPr>
        <w:t>报告期内，经营活动产生的现金流量净额大幅增长系下属公司开展业务收取的客户押金</w:t>
      </w:r>
      <w:r>
        <w:rPr>
          <w:rFonts w:ascii="宋体" w:hAnsi="宋体" w:cs="宋体" w:eastAsia="宋体" w:hint="default"/>
          <w:w w:val="100"/>
          <w:sz w:val="21"/>
          <w:szCs w:val="21"/>
        </w:rPr>
        <w:t> </w:t>
      </w:r>
      <w:r>
        <w:rPr>
          <w:rFonts w:ascii="宋体" w:hAnsi="宋体" w:cs="宋体" w:eastAsia="宋体" w:hint="default"/>
          <w:sz w:val="21"/>
          <w:szCs w:val="21"/>
        </w:rPr>
        <w:t>和保证金大幅增长；投资活动产生的现金净流出大幅下降系处置股权收回现金大幅增长；筹</w:t>
      </w:r>
      <w:r>
        <w:rPr>
          <w:rFonts w:ascii="宋体" w:hAnsi="宋体" w:cs="宋体" w:eastAsia="宋体" w:hint="default"/>
          <w:spacing w:val="-58"/>
          <w:sz w:val="21"/>
          <w:szCs w:val="21"/>
        </w:rPr>
        <w:t> </w:t>
      </w:r>
      <w:r>
        <w:rPr>
          <w:rFonts w:ascii="宋体" w:hAnsi="宋体" w:cs="宋体" w:eastAsia="宋体" w:hint="default"/>
          <w:sz w:val="21"/>
          <w:szCs w:val="21"/>
        </w:rPr>
        <w:t>资活动产生的现金流量净额大幅下降系上年同期非公开发行股票融入资金。</w:t>
      </w:r>
    </w:p>
    <w:p>
      <w:pPr>
        <w:spacing w:line="283" w:lineRule="auto" w:before="93"/>
        <w:ind w:left="780" w:right="308" w:hanging="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五、与公司经营相关的其他重要信息的讨论与分析</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报告期内无与公司经营相关的其他重要信息。</w:t>
      </w:r>
    </w:p>
    <w:p>
      <w:pPr>
        <w:spacing w:line="283" w:lineRule="auto" w:before="99"/>
        <w:ind w:left="780" w:right="308"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六、公司主要子公司及参股公司的经营情况及业绩分析</w:t>
      </w:r>
      <w:r>
        <w:rPr>
          <w:rFonts w:ascii="Microsoft JhengHei" w:hAnsi="Microsoft JhengHei" w:cs="Microsoft JhengHei" w:eastAsia="Microsoft JhengHei" w:hint="default"/>
          <w:b/>
          <w:bCs/>
          <w:spacing w:val="-39"/>
          <w:sz w:val="24"/>
          <w:szCs w:val="24"/>
        </w:rPr>
        <w:t> </w:t>
      </w:r>
      <w:r>
        <w:rPr>
          <w:rFonts w:ascii="Microsoft JhengHei" w:hAnsi="Microsoft JhengHei" w:cs="Microsoft JhengHei" w:eastAsia="Microsoft JhengHei" w:hint="default"/>
          <w:b/>
          <w:bCs/>
          <w:spacing w:val="-39"/>
          <w:sz w:val="24"/>
          <w:szCs w:val="24"/>
        </w:rPr>
      </w:r>
      <w:r>
        <w:rPr>
          <w:rFonts w:ascii="宋体" w:hAnsi="宋体" w:cs="宋体" w:eastAsia="宋体" w:hint="default"/>
          <w:sz w:val="24"/>
          <w:szCs w:val="24"/>
        </w:rPr>
        <w:t>1、农产品批发市场业务</w:t>
      </w:r>
    </w:p>
    <w:p>
      <w:pPr>
        <w:pStyle w:val="BodyText"/>
        <w:spacing w:line="357" w:lineRule="auto" w:before="187"/>
        <w:ind w:right="308" w:firstLine="571"/>
        <w:jc w:val="left"/>
      </w:pPr>
      <w:r>
        <w:rPr>
          <w:spacing w:val="-1"/>
        </w:rPr>
        <w:t>公司下属批发市场以市场交易服务、商铺租售为主营业务，通过搭建农产品</w:t>
      </w:r>
      <w:r>
        <w:rPr/>
        <w:t> 交易平台，为客商提供交易服务而实现收益。截至</w:t>
      </w:r>
      <w:r>
        <w:rPr>
          <w:spacing w:val="-91"/>
        </w:rPr>
        <w:t> </w:t>
      </w:r>
      <w:r>
        <w:rPr/>
        <w:t>2009</w:t>
      </w:r>
      <w:r>
        <w:rPr>
          <w:spacing w:val="-91"/>
        </w:rPr>
        <w:t> </w:t>
      </w:r>
      <w:r>
        <w:rPr/>
        <w:t>年末，公司投资经营的批</w:t>
      </w:r>
    </w:p>
    <w:p>
      <w:pPr>
        <w:pStyle w:val="BodyText"/>
        <w:spacing w:line="357" w:lineRule="auto"/>
        <w:ind w:right="342"/>
        <w:jc w:val="left"/>
      </w:pPr>
      <w:r>
        <w:rPr/>
        <w:t>发市场达</w:t>
      </w:r>
      <w:r>
        <w:rPr>
          <w:spacing w:val="-54"/>
        </w:rPr>
        <w:t> </w:t>
      </w:r>
      <w:r>
        <w:rPr/>
        <w:t>25</w:t>
      </w:r>
      <w:r>
        <w:rPr>
          <w:spacing w:val="-58"/>
        </w:rPr>
        <w:t> </w:t>
      </w:r>
      <w:r>
        <w:rPr/>
        <w:t>家，其中合并报表</w:t>
      </w:r>
      <w:r>
        <w:rPr>
          <w:spacing w:val="-56"/>
        </w:rPr>
        <w:t> </w:t>
      </w:r>
      <w:r>
        <w:rPr/>
        <w:t>20</w:t>
      </w:r>
      <w:r>
        <w:rPr>
          <w:spacing w:val="-56"/>
        </w:rPr>
        <w:t> </w:t>
      </w:r>
      <w:r>
        <w:rPr/>
        <w:t>家，参股市场</w:t>
      </w:r>
      <w:r>
        <w:rPr>
          <w:spacing w:val="-56"/>
        </w:rPr>
        <w:t> </w:t>
      </w:r>
      <w:r>
        <w:rPr/>
        <w:t>5</w:t>
      </w:r>
      <w:r>
        <w:rPr>
          <w:spacing w:val="-56"/>
        </w:rPr>
        <w:t> </w:t>
      </w:r>
      <w:r>
        <w:rPr/>
        <w:t>家，合并批发市场实现营业收</w:t>
      </w:r>
      <w:r>
        <w:rPr/>
        <w:t> 入</w:t>
      </w:r>
      <w:r>
        <w:rPr>
          <w:spacing w:val="-60"/>
        </w:rPr>
        <w:t> </w:t>
      </w:r>
      <w:r>
        <w:rPr/>
        <w:t>6.77 亿元，同比增长</w:t>
      </w:r>
      <w:r>
        <w:rPr>
          <w:spacing w:val="-60"/>
        </w:rPr>
        <w:t> </w:t>
      </w:r>
      <w:r>
        <w:rPr/>
        <w:t>9.14％。</w:t>
      </w:r>
    </w:p>
    <w:p>
      <w:pPr>
        <w:pStyle w:val="BodyText"/>
        <w:spacing w:line="357" w:lineRule="auto" w:before="192"/>
        <w:ind w:right="308" w:firstLine="571"/>
        <w:jc w:val="left"/>
      </w:pPr>
      <w:r>
        <w:rPr>
          <w:spacing w:val="-2"/>
        </w:rPr>
        <w:t>报告期内，公司投资经营的批发市场（不含已转让的山东寿光市场）共实现</w:t>
      </w:r>
      <w:r>
        <w:rPr/>
        <w:t> 净利润</w:t>
      </w:r>
      <w:r>
        <w:rPr>
          <w:spacing w:val="-60"/>
        </w:rPr>
        <w:t> </w:t>
      </w:r>
      <w:r>
        <w:rPr/>
        <w:t>2.96</w:t>
      </w:r>
      <w:r>
        <w:rPr>
          <w:spacing w:val="-60"/>
        </w:rPr>
        <w:t> </w:t>
      </w:r>
      <w:r>
        <w:rPr/>
        <w:t>亿元，纳入本公司权益净利润</w:t>
      </w:r>
      <w:r>
        <w:rPr>
          <w:spacing w:val="-60"/>
        </w:rPr>
        <w:t> </w:t>
      </w:r>
      <w:r>
        <w:rPr/>
        <w:t>1.76</w:t>
      </w:r>
      <w:r>
        <w:rPr>
          <w:spacing w:val="-60"/>
        </w:rPr>
        <w:t> </w:t>
      </w:r>
      <w:r>
        <w:rPr/>
        <w:t>亿元。</w:t>
      </w:r>
    </w:p>
    <w:p>
      <w:pPr>
        <w:tabs>
          <w:tab w:pos="7499" w:val="left" w:leader="none"/>
        </w:tabs>
        <w:spacing w:before="113"/>
        <w:ind w:left="780" w:right="308" w:firstLine="0"/>
        <w:jc w:val="left"/>
        <w:rPr>
          <w:rFonts w:ascii="宋体" w:hAnsi="宋体" w:cs="宋体" w:eastAsia="宋体" w:hint="default"/>
          <w:sz w:val="21"/>
          <w:szCs w:val="21"/>
        </w:rPr>
      </w:pPr>
      <w:r>
        <w:rPr>
          <w:rFonts w:ascii="宋体" w:hAnsi="宋体" w:cs="宋体" w:eastAsia="宋体" w:hint="default"/>
          <w:sz w:val="24"/>
          <w:szCs w:val="24"/>
        </w:rPr>
        <w:t>各批发市场净利润情况如下表:</w:t>
        <w:tab/>
      </w:r>
      <w:r>
        <w:rPr>
          <w:rFonts w:ascii="宋体" w:hAnsi="宋体" w:cs="宋体" w:eastAsia="宋体" w:hint="default"/>
          <w:sz w:val="21"/>
          <w:szCs w:val="21"/>
        </w:rPr>
        <w:t>单位：万元</w:t>
      </w: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523"/>
        <w:gridCol w:w="3732"/>
        <w:gridCol w:w="900"/>
        <w:gridCol w:w="900"/>
        <w:gridCol w:w="965"/>
        <w:gridCol w:w="883"/>
        <w:gridCol w:w="866"/>
      </w:tblGrid>
      <w:tr>
        <w:trPr>
          <w:trHeight w:val="94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65" w:right="167"/>
              <w:jc w:val="left"/>
              <w:rPr>
                <w:rFonts w:ascii="宋体" w:hAnsi="宋体" w:cs="宋体" w:eastAsia="宋体" w:hint="default"/>
                <w:sz w:val="18"/>
                <w:szCs w:val="18"/>
              </w:rPr>
            </w:pPr>
            <w:r>
              <w:rPr>
                <w:rFonts w:ascii="宋体" w:hAnsi="宋体" w:cs="宋体" w:eastAsia="宋体" w:hint="default"/>
                <w:sz w:val="18"/>
                <w:szCs w:val="18"/>
              </w:rPr>
              <w:t>序 号</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2"/>
                <w:sz w:val="18"/>
                <w:szCs w:val="18"/>
              </w:rPr>
              <w:t> </w:t>
            </w:r>
            <w:r>
              <w:rPr>
                <w:rFonts w:ascii="宋体" w:hAnsi="宋体" w:cs="宋体" w:eastAsia="宋体" w:hint="default"/>
                <w:sz w:val="18"/>
                <w:szCs w:val="18"/>
              </w:rPr>
              <w:t>益</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增长率</w:t>
            </w:r>
          </w:p>
          <w:p>
            <w:pPr>
              <w:pStyle w:val="TableParagraph"/>
              <w:spacing w:line="240" w:lineRule="auto" w:before="118"/>
              <w:ind w:right="2"/>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6" w:lineRule="auto" w:before="63"/>
              <w:ind w:left="249" w:right="156" w:hanging="92"/>
              <w:jc w:val="left"/>
              <w:rPr>
                <w:rFonts w:ascii="宋体" w:hAnsi="宋体" w:cs="宋体" w:eastAsia="宋体" w:hint="default"/>
                <w:sz w:val="18"/>
                <w:szCs w:val="18"/>
              </w:rPr>
            </w:pPr>
            <w:r>
              <w:rPr>
                <w:rFonts w:ascii="宋体" w:hAnsi="宋体" w:cs="宋体" w:eastAsia="宋体" w:hint="default"/>
                <w:sz w:val="18"/>
                <w:szCs w:val="18"/>
              </w:rPr>
              <w:t>净利润 贡献</w:t>
            </w:r>
          </w:p>
        </w:tc>
      </w:tr>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210"/>
              <w:jc w:val="right"/>
              <w:rPr>
                <w:rFonts w:ascii="Times New Roman" w:hAnsi="Times New Roman" w:cs="Times New Roman" w:eastAsia="Times New Roman" w:hint="default"/>
                <w:sz w:val="18"/>
                <w:szCs w:val="18"/>
              </w:rPr>
            </w:pPr>
            <w:r>
              <w:rPr>
                <w:rFonts w:ascii="Times New Roman"/>
                <w:sz w:val="18"/>
              </w:rPr>
              <w:t>1</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深圳布吉农产品中心批发市场</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19"/>
              <w:jc w:val="right"/>
              <w:rPr>
                <w:rFonts w:ascii="Times New Roman" w:hAnsi="Times New Roman" w:cs="Times New Roman" w:eastAsia="Times New Roman" w:hint="default"/>
                <w:sz w:val="18"/>
                <w:szCs w:val="18"/>
              </w:rPr>
            </w:pPr>
            <w:r>
              <w:rPr>
                <w:rFonts w:ascii="Times New Roman"/>
                <w:spacing w:val="-1"/>
                <w:sz w:val="18"/>
              </w:rPr>
              <w:t>100.00%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5,399</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5,755</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-6</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5,399</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10"/>
              <w:jc w:val="right"/>
              <w:rPr>
                <w:rFonts w:ascii="Times New Roman" w:hAnsi="Times New Roman" w:cs="Times New Roman" w:eastAsia="Times New Roman" w:hint="default"/>
                <w:sz w:val="18"/>
                <w:szCs w:val="18"/>
              </w:rPr>
            </w:pPr>
            <w:r>
              <w:rPr>
                <w:rFonts w:ascii="Times New Roman"/>
                <w:sz w:val="18"/>
              </w:rPr>
              <w:t>2</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64"/>
              <w:jc w:val="right"/>
              <w:rPr>
                <w:rFonts w:ascii="Times New Roman" w:hAnsi="Times New Roman" w:cs="Times New Roman" w:eastAsia="Times New Roman" w:hint="default"/>
                <w:sz w:val="18"/>
                <w:szCs w:val="18"/>
              </w:rPr>
            </w:pPr>
            <w:r>
              <w:rPr>
                <w:rFonts w:ascii="Times New Roman"/>
                <w:spacing w:val="-1"/>
                <w:sz w:val="18"/>
              </w:rPr>
              <w:t>72.99%</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1,318</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1,256</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5</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962</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10"/>
              <w:jc w:val="right"/>
              <w:rPr>
                <w:rFonts w:ascii="Times New Roman" w:hAnsi="Times New Roman" w:cs="Times New Roman" w:eastAsia="Times New Roman" w:hint="default"/>
                <w:sz w:val="18"/>
                <w:szCs w:val="18"/>
              </w:rPr>
            </w:pPr>
            <w:r>
              <w:rPr>
                <w:rFonts w:ascii="Times New Roman"/>
                <w:sz w:val="18"/>
              </w:rPr>
              <w:t>3</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64"/>
              <w:jc w:val="right"/>
              <w:rPr>
                <w:rFonts w:ascii="Times New Roman" w:hAnsi="Times New Roman" w:cs="Times New Roman" w:eastAsia="Times New Roman" w:hint="default"/>
                <w:sz w:val="18"/>
                <w:szCs w:val="18"/>
              </w:rPr>
            </w:pPr>
            <w:r>
              <w:rPr>
                <w:rFonts w:ascii="Times New Roman"/>
                <w:spacing w:val="-1"/>
                <w:sz w:val="18"/>
              </w:rPr>
              <w:t>51.20%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809</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90</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799</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414</w:t>
            </w:r>
          </w:p>
        </w:tc>
      </w:tr>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210"/>
              <w:jc w:val="right"/>
              <w:rPr>
                <w:rFonts w:ascii="Times New Roman" w:hAnsi="Times New Roman" w:cs="Times New Roman" w:eastAsia="Times New Roman" w:hint="default"/>
                <w:sz w:val="18"/>
                <w:szCs w:val="18"/>
              </w:rPr>
            </w:pPr>
            <w:r>
              <w:rPr>
                <w:rFonts w:ascii="Times New Roman"/>
                <w:sz w:val="18"/>
              </w:rPr>
              <w:t>4</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64"/>
              <w:jc w:val="right"/>
              <w:rPr>
                <w:rFonts w:ascii="Times New Roman" w:hAnsi="Times New Roman" w:cs="Times New Roman" w:eastAsia="Times New Roman" w:hint="default"/>
                <w:sz w:val="18"/>
                <w:szCs w:val="18"/>
              </w:rPr>
            </w:pPr>
            <w:r>
              <w:rPr>
                <w:rFonts w:ascii="Times New Roman"/>
                <w:spacing w:val="-1"/>
                <w:sz w:val="18"/>
              </w:rPr>
              <w:t>51.00%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1,750</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998</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75</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893</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10"/>
              <w:jc w:val="right"/>
              <w:rPr>
                <w:rFonts w:ascii="Times New Roman" w:hAnsi="Times New Roman" w:cs="Times New Roman" w:eastAsia="Times New Roman" w:hint="default"/>
                <w:sz w:val="18"/>
                <w:szCs w:val="18"/>
              </w:rPr>
            </w:pPr>
            <w:r>
              <w:rPr>
                <w:rFonts w:ascii="Times New Roman"/>
                <w:sz w:val="18"/>
              </w:rPr>
              <w:t>5</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64"/>
              <w:jc w:val="right"/>
              <w:rPr>
                <w:rFonts w:ascii="Times New Roman" w:hAnsi="Times New Roman" w:cs="Times New Roman" w:eastAsia="Times New Roman" w:hint="default"/>
                <w:sz w:val="18"/>
                <w:szCs w:val="18"/>
              </w:rPr>
            </w:pPr>
            <w:r>
              <w:rPr>
                <w:rFonts w:ascii="Times New Roman"/>
                <w:spacing w:val="-1"/>
                <w:sz w:val="18"/>
              </w:rPr>
              <w:t>60.80%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4,327</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4,191</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2,631</w:t>
            </w:r>
          </w:p>
        </w:tc>
      </w:tr>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10"/>
              <w:jc w:val="right"/>
              <w:rPr>
                <w:rFonts w:ascii="Times New Roman" w:hAnsi="Times New Roman" w:cs="Times New Roman" w:eastAsia="Times New Roman" w:hint="default"/>
                <w:sz w:val="18"/>
                <w:szCs w:val="18"/>
              </w:rPr>
            </w:pPr>
            <w:r>
              <w:rPr>
                <w:rFonts w:ascii="Times New Roman"/>
                <w:sz w:val="18"/>
              </w:rPr>
              <w:t>6</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西安摩尔农产品有限责任公司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64"/>
              <w:jc w:val="right"/>
              <w:rPr>
                <w:rFonts w:ascii="Times New Roman" w:hAnsi="Times New Roman" w:cs="Times New Roman" w:eastAsia="Times New Roman" w:hint="default"/>
                <w:sz w:val="18"/>
                <w:szCs w:val="18"/>
              </w:rPr>
            </w:pPr>
            <w:r>
              <w:rPr>
                <w:rFonts w:ascii="Times New Roman"/>
                <w:spacing w:val="-1"/>
                <w:sz w:val="18"/>
              </w:rPr>
              <w:t>51.00%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-927</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-1,198</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-473</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210"/>
              <w:jc w:val="right"/>
              <w:rPr>
                <w:rFonts w:ascii="Times New Roman" w:hAnsi="Times New Roman" w:cs="Times New Roman" w:eastAsia="Times New Roman" w:hint="default"/>
                <w:sz w:val="18"/>
                <w:szCs w:val="18"/>
              </w:rPr>
            </w:pPr>
            <w:r>
              <w:rPr>
                <w:rFonts w:ascii="Times New Roman"/>
                <w:sz w:val="18"/>
              </w:rPr>
              <w:t>7</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164"/>
              <w:jc w:val="right"/>
              <w:rPr>
                <w:rFonts w:ascii="Times New Roman" w:hAnsi="Times New Roman" w:cs="Times New Roman" w:eastAsia="Times New Roman" w:hint="default"/>
                <w:sz w:val="18"/>
                <w:szCs w:val="18"/>
              </w:rPr>
            </w:pPr>
            <w:r>
              <w:rPr>
                <w:rFonts w:ascii="Times New Roman"/>
                <w:spacing w:val="-1"/>
                <w:sz w:val="18"/>
              </w:rPr>
              <w:t>50.98%</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1,393</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1,001</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39</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710</w:t>
            </w:r>
          </w:p>
        </w:tc>
      </w:tr>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210"/>
              <w:jc w:val="right"/>
              <w:rPr>
                <w:rFonts w:ascii="Times New Roman" w:hAnsi="Times New Roman" w:cs="Times New Roman" w:eastAsia="Times New Roman" w:hint="default"/>
                <w:sz w:val="18"/>
                <w:szCs w:val="18"/>
              </w:rPr>
            </w:pPr>
            <w:r>
              <w:rPr>
                <w:rFonts w:ascii="Times New Roman"/>
                <w:sz w:val="18"/>
              </w:rPr>
              <w:t>8</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成都农产品中心批发市场有限公司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64"/>
              <w:jc w:val="right"/>
              <w:rPr>
                <w:rFonts w:ascii="Times New Roman" w:hAnsi="Times New Roman" w:cs="Times New Roman" w:eastAsia="Times New Roman" w:hint="default"/>
                <w:sz w:val="18"/>
                <w:szCs w:val="18"/>
              </w:rPr>
            </w:pPr>
            <w:r>
              <w:rPr>
                <w:rFonts w:ascii="Times New Roman"/>
                <w:spacing w:val="-1"/>
                <w:sz w:val="18"/>
              </w:rPr>
              <w:t>51.00%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509</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248</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105</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260</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10"/>
              <w:jc w:val="right"/>
              <w:rPr>
                <w:rFonts w:ascii="Times New Roman" w:hAnsi="Times New Roman" w:cs="Times New Roman" w:eastAsia="Times New Roman" w:hint="default"/>
                <w:sz w:val="18"/>
                <w:szCs w:val="18"/>
              </w:rPr>
            </w:pPr>
            <w:r>
              <w:rPr>
                <w:rFonts w:ascii="Times New Roman"/>
                <w:sz w:val="18"/>
              </w:rPr>
              <w:t>9</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64"/>
              <w:jc w:val="right"/>
              <w:rPr>
                <w:rFonts w:ascii="Times New Roman" w:hAnsi="Times New Roman" w:cs="Times New Roman" w:eastAsia="Times New Roman" w:hint="default"/>
                <w:sz w:val="18"/>
                <w:szCs w:val="18"/>
              </w:rPr>
            </w:pPr>
            <w:r>
              <w:rPr>
                <w:rFonts w:ascii="Times New Roman"/>
                <w:spacing w:val="-1"/>
                <w:sz w:val="18"/>
              </w:rPr>
              <w:t>51.00%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445</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907</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-51</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227</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64"/>
              <w:jc w:val="right"/>
              <w:rPr>
                <w:rFonts w:ascii="Times New Roman" w:hAnsi="Times New Roman" w:cs="Times New Roman" w:eastAsia="Times New Roman" w:hint="default"/>
                <w:sz w:val="18"/>
                <w:szCs w:val="18"/>
              </w:rPr>
            </w:pPr>
            <w:r>
              <w:rPr>
                <w:rFonts w:ascii="Times New Roman"/>
                <w:sz w:val="18"/>
              </w:rPr>
              <w:t>10</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云南鲲鹏农产品电子商务批发市场有限公司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64"/>
              <w:jc w:val="right"/>
              <w:rPr>
                <w:rFonts w:ascii="Times New Roman" w:hAnsi="Times New Roman" w:cs="Times New Roman" w:eastAsia="Times New Roman" w:hint="default"/>
                <w:sz w:val="18"/>
                <w:szCs w:val="18"/>
              </w:rPr>
            </w:pPr>
            <w:r>
              <w:rPr>
                <w:rFonts w:ascii="Times New Roman"/>
                <w:spacing w:val="-1"/>
                <w:sz w:val="18"/>
              </w:rPr>
              <w:t>55.00%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2,060</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2,885</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-29</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1,133</w:t>
            </w:r>
          </w:p>
        </w:tc>
      </w:tr>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64"/>
              <w:jc w:val="right"/>
              <w:rPr>
                <w:rFonts w:ascii="Times New Roman" w:hAnsi="Times New Roman" w:cs="Times New Roman" w:eastAsia="Times New Roman" w:hint="default"/>
                <w:sz w:val="18"/>
                <w:szCs w:val="18"/>
              </w:rPr>
            </w:pPr>
            <w:r>
              <w:rPr>
                <w:rFonts w:ascii="Times New Roman"/>
                <w:sz w:val="18"/>
              </w:rPr>
              <w:t>11</w:t>
            </w:r>
          </w:p>
        </w:tc>
        <w:tc>
          <w:tcPr>
            <w:tcW w:w="3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64"/>
              <w:jc w:val="right"/>
              <w:rPr>
                <w:rFonts w:ascii="Times New Roman" w:hAnsi="Times New Roman" w:cs="Times New Roman" w:eastAsia="Times New Roman" w:hint="default"/>
                <w:sz w:val="18"/>
                <w:szCs w:val="18"/>
              </w:rPr>
            </w:pPr>
            <w:r>
              <w:rPr>
                <w:rFonts w:ascii="Times New Roman"/>
                <w:spacing w:val="-1"/>
                <w:sz w:val="18"/>
              </w:rPr>
              <w:t>58.00%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1,927</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807</w:t>
            </w:r>
          </w:p>
        </w:tc>
        <w:tc>
          <w:tcPr>
            <w:tcW w:w="8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139</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1,118</w:t>
            </w:r>
          </w:p>
        </w:tc>
      </w:tr>
    </w:tbl>
    <w:p>
      <w:pPr>
        <w:spacing w:after="0" w:line="240" w:lineRule="auto"/>
        <w:jc w:val="center"/>
        <w:rPr>
          <w:rFonts w:ascii="Times New Roman" w:hAnsi="Times New Roman" w:cs="Times New Roman" w:eastAsia="Times New Roman" w:hint="default"/>
          <w:sz w:val="18"/>
          <w:szCs w:val="18"/>
        </w:rPr>
        <w:sectPr>
          <w:headerReference w:type="default" r:id="rId77"/>
          <w:footerReference w:type="default" r:id="rId78"/>
          <w:pgSz w:w="11910" w:h="16840"/>
          <w:pgMar w:header="0" w:footer="1095" w:top="1000" w:bottom="1280" w:left="1680" w:right="1140"/>
          <w:pgNumType w:start="42"/>
        </w:sectPr>
      </w:pPr>
    </w:p>
    <w:p>
      <w:pPr>
        <w:spacing w:line="240" w:lineRule="auto" w:before="6"/>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523"/>
        <w:gridCol w:w="3730"/>
        <w:gridCol w:w="900"/>
        <w:gridCol w:w="900"/>
        <w:gridCol w:w="967"/>
        <w:gridCol w:w="881"/>
        <w:gridCol w:w="869"/>
      </w:tblGrid>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12</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44.68%</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4,171</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2,497</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342"/>
              <w:jc w:val="right"/>
              <w:rPr>
                <w:rFonts w:ascii="Times New Roman" w:hAnsi="Times New Roman" w:cs="Times New Roman" w:eastAsia="Times New Roman" w:hint="default"/>
                <w:sz w:val="18"/>
                <w:szCs w:val="18"/>
              </w:rPr>
            </w:pPr>
            <w:r>
              <w:rPr>
                <w:rFonts w:ascii="Times New Roman"/>
                <w:sz w:val="18"/>
              </w:rPr>
              <w:t>67</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22"/>
              <w:jc w:val="right"/>
              <w:rPr>
                <w:rFonts w:ascii="Times New Roman" w:hAnsi="Times New Roman" w:cs="Times New Roman" w:eastAsia="Times New Roman" w:hint="default"/>
                <w:sz w:val="18"/>
                <w:szCs w:val="18"/>
              </w:rPr>
            </w:pPr>
            <w:r>
              <w:rPr>
                <w:rFonts w:ascii="Times New Roman"/>
                <w:sz w:val="18"/>
              </w:rPr>
              <w:t>1,864</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13</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广西糖网食糖批发市场有限责任公司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sz w:val="18"/>
              </w:rPr>
              <w:t>40.00%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6" w:right="0"/>
              <w:jc w:val="center"/>
              <w:rPr>
                <w:rFonts w:ascii="Times New Roman" w:hAnsi="Times New Roman" w:cs="Times New Roman" w:eastAsia="Times New Roman" w:hint="default"/>
                <w:sz w:val="18"/>
                <w:szCs w:val="18"/>
              </w:rPr>
            </w:pPr>
            <w:r>
              <w:rPr>
                <w:rFonts w:ascii="Times New Roman"/>
                <w:sz w:val="18"/>
              </w:rPr>
              <w:t>6,546</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6" w:right="0"/>
              <w:jc w:val="center"/>
              <w:rPr>
                <w:rFonts w:ascii="Times New Roman" w:hAnsi="Times New Roman" w:cs="Times New Roman" w:eastAsia="Times New Roman" w:hint="default"/>
                <w:sz w:val="18"/>
                <w:szCs w:val="18"/>
              </w:rPr>
            </w:pPr>
            <w:r>
              <w:rPr>
                <w:rFonts w:ascii="Times New Roman"/>
                <w:sz w:val="18"/>
              </w:rPr>
              <w:t>4,505</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342"/>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222"/>
              <w:jc w:val="right"/>
              <w:rPr>
                <w:rFonts w:ascii="Times New Roman" w:hAnsi="Times New Roman" w:cs="Times New Roman" w:eastAsia="Times New Roman" w:hint="default"/>
                <w:sz w:val="18"/>
                <w:szCs w:val="18"/>
              </w:rPr>
            </w:pPr>
            <w:r>
              <w:rPr>
                <w:rFonts w:ascii="Times New Roman"/>
                <w:sz w:val="18"/>
              </w:rPr>
              <w:t>2,618</w:t>
            </w:r>
          </w:p>
        </w:tc>
      </w:tr>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14</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5" w:right="0"/>
              <w:jc w:val="center"/>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5" w:right="0"/>
              <w:jc w:val="center"/>
              <w:rPr>
                <w:rFonts w:ascii="Times New Roman" w:hAnsi="Times New Roman" w:cs="Times New Roman" w:eastAsia="Times New Roman" w:hint="default"/>
                <w:sz w:val="18"/>
                <w:szCs w:val="18"/>
              </w:rPr>
            </w:pPr>
            <w:r>
              <w:rPr>
                <w:rFonts w:ascii="Times New Roman"/>
                <w:sz w:val="18"/>
              </w:rPr>
              <w:t>-169</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-258</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372"/>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6" w:right="0"/>
              <w:jc w:val="center"/>
              <w:rPr>
                <w:rFonts w:ascii="Times New Roman" w:hAnsi="Times New Roman" w:cs="Times New Roman" w:eastAsia="Times New Roman" w:hint="default"/>
                <w:sz w:val="18"/>
                <w:szCs w:val="18"/>
              </w:rPr>
            </w:pPr>
            <w:r>
              <w:rPr>
                <w:rFonts w:ascii="Times New Roman"/>
                <w:sz w:val="18"/>
              </w:rPr>
              <w:t>-86</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15</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70.00%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-181</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-171</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372"/>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266" w:right="0"/>
              <w:jc w:val="left"/>
              <w:rPr>
                <w:rFonts w:ascii="Times New Roman" w:hAnsi="Times New Roman" w:cs="Times New Roman" w:eastAsia="Times New Roman" w:hint="default"/>
                <w:sz w:val="18"/>
                <w:szCs w:val="18"/>
              </w:rPr>
            </w:pPr>
            <w:r>
              <w:rPr>
                <w:rFonts w:ascii="Times New Roman"/>
                <w:sz w:val="18"/>
              </w:rPr>
              <w:t>-127</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16</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合肥国家棉花交易中心有限责任公司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40.00%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-268</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-88</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372"/>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266" w:right="0"/>
              <w:jc w:val="left"/>
              <w:rPr>
                <w:rFonts w:ascii="Times New Roman" w:hAnsi="Times New Roman" w:cs="Times New Roman" w:eastAsia="Times New Roman" w:hint="default"/>
                <w:sz w:val="18"/>
                <w:szCs w:val="18"/>
              </w:rPr>
            </w:pPr>
            <w:r>
              <w:rPr>
                <w:rFonts w:ascii="Times New Roman"/>
                <w:sz w:val="18"/>
              </w:rPr>
              <w:t>-107</w:t>
            </w:r>
          </w:p>
        </w:tc>
      </w:tr>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17</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深圳市海吉星国际农产品物流管理有限公司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4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0</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18</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sz w:val="18"/>
              </w:rPr>
              <w:t>-109</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372"/>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66" w:right="0"/>
              <w:jc w:val="left"/>
              <w:rPr>
                <w:rFonts w:ascii="Times New Roman" w:hAnsi="Times New Roman" w:cs="Times New Roman" w:eastAsia="Times New Roman" w:hint="default"/>
                <w:sz w:val="18"/>
                <w:szCs w:val="18"/>
              </w:rPr>
            </w:pPr>
            <w:r>
              <w:rPr>
                <w:rFonts w:ascii="Times New Roman"/>
                <w:sz w:val="18"/>
              </w:rPr>
              <w:t>-109</w:t>
            </w:r>
          </w:p>
        </w:tc>
      </w:tr>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19</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5" w:right="0"/>
              <w:jc w:val="center"/>
              <w:rPr>
                <w:rFonts w:ascii="Times New Roman" w:hAnsi="Times New Roman" w:cs="Times New Roman" w:eastAsia="Times New Roman" w:hint="default"/>
                <w:sz w:val="18"/>
                <w:szCs w:val="18"/>
              </w:rPr>
            </w:pPr>
            <w:r>
              <w:rPr>
                <w:rFonts w:ascii="Times New Roman"/>
                <w:sz w:val="18"/>
              </w:rPr>
              <w:t>70.00%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6" w:right="0"/>
              <w:jc w:val="center"/>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4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0</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63.75%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4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0</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21</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8" w:right="0"/>
              <w:jc w:val="center"/>
              <w:rPr>
                <w:rFonts w:ascii="Times New Roman" w:hAnsi="Times New Roman" w:cs="Times New Roman" w:eastAsia="Times New Roman" w:hint="default"/>
                <w:sz w:val="18"/>
                <w:szCs w:val="18"/>
              </w:rPr>
            </w:pPr>
            <w:r>
              <w:rPr>
                <w:rFonts w:ascii="Times New Roman"/>
                <w:sz w:val="18"/>
              </w:rPr>
              <w:t>60%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-45</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4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-27</w:t>
            </w:r>
          </w:p>
        </w:tc>
      </w:tr>
      <w:tr>
        <w:trPr>
          <w:trHeight w:val="506"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22</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青岛市海吉星农产品物流中心有限公司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5" w:right="0"/>
              <w:jc w:val="center"/>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6" w:right="0"/>
              <w:jc w:val="center"/>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right="4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0</w:t>
            </w:r>
          </w:p>
        </w:tc>
      </w:tr>
      <w:tr>
        <w:trPr>
          <w:trHeight w:val="504" w:hRule="exact"/>
        </w:trPr>
        <w:tc>
          <w:tcPr>
            <w:tcW w:w="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23</w:t>
            </w:r>
          </w:p>
        </w:tc>
        <w:tc>
          <w:tcPr>
            <w:tcW w:w="3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8" w:right="0"/>
              <w:jc w:val="center"/>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597</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449</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342"/>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299</w:t>
            </w:r>
          </w:p>
        </w:tc>
      </w:tr>
      <w:tr>
        <w:trPr>
          <w:trHeight w:val="506" w:hRule="exact"/>
        </w:trPr>
        <w:tc>
          <w:tcPr>
            <w:tcW w:w="4253" w:type="dxa"/>
            <w:gridSpan w:val="2"/>
            <w:tcBorders>
              <w:top w:val="single" w:sz="4" w:space="0" w:color="000008"/>
              <w:left w:val="single" w:sz="4" w:space="0" w:color="000008"/>
              <w:bottom w:val="single" w:sz="4" w:space="0" w:color="000008"/>
              <w:right w:val="single" w:sz="4" w:space="0" w:color="000008"/>
            </w:tcBorders>
          </w:tcPr>
          <w:p>
            <w:pPr>
              <w:pStyle w:val="TableParagraph"/>
              <w:tabs>
                <w:tab w:pos="539" w:val="left" w:leader="none"/>
              </w:tabs>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29,552</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23,874</w:t>
            </w:r>
          </w:p>
        </w:tc>
        <w:tc>
          <w:tcPr>
            <w:tcW w:w="8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342"/>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79"/>
              <w:jc w:val="right"/>
              <w:rPr>
                <w:rFonts w:ascii="Times New Roman" w:hAnsi="Times New Roman" w:cs="Times New Roman" w:eastAsia="Times New Roman" w:hint="default"/>
                <w:sz w:val="18"/>
                <w:szCs w:val="18"/>
              </w:rPr>
            </w:pPr>
            <w:r>
              <w:rPr>
                <w:rFonts w:ascii="Times New Roman"/>
                <w:spacing w:val="-1"/>
                <w:sz w:val="18"/>
              </w:rPr>
              <w:t>17,599</w:t>
            </w:r>
          </w:p>
        </w:tc>
      </w:tr>
    </w:tbl>
    <w:p>
      <w:pPr>
        <w:spacing w:line="477" w:lineRule="auto" w:before="89"/>
        <w:ind w:left="300" w:right="306" w:firstLine="0"/>
        <w:jc w:val="left"/>
        <w:rPr>
          <w:rFonts w:ascii="宋体" w:hAnsi="宋体" w:cs="宋体" w:eastAsia="宋体" w:hint="default"/>
          <w:sz w:val="18"/>
          <w:szCs w:val="18"/>
        </w:rPr>
      </w:pPr>
      <w:r>
        <w:rPr>
          <w:rFonts w:ascii="宋体" w:hAnsi="宋体" w:cs="宋体" w:eastAsia="宋体" w:hint="default"/>
          <w:sz w:val="18"/>
          <w:szCs w:val="18"/>
        </w:rPr>
        <w:t>注：2009年公司已转让持有山东寿光蔬菜批发市场有限公司全部股权，具体内容详见2009年10月24日及2009 </w:t>
      </w:r>
      <w:r>
        <w:rPr>
          <w:rFonts w:ascii="宋体" w:hAnsi="宋体" w:cs="宋体" w:eastAsia="宋体" w:hint="default"/>
          <w:spacing w:val="-2"/>
          <w:w w:val="95"/>
          <w:sz w:val="18"/>
          <w:szCs w:val="18"/>
        </w:rPr>
        <w:t>年12月29日刊登于《证券时报》、《中国证券报》、《上海证券报》、《证券日报》及巨潮网站的相关公告。</w:t>
      </w:r>
      <w:r>
        <w:rPr>
          <w:rFonts w:ascii="宋体" w:hAnsi="宋体" w:cs="宋体" w:eastAsia="宋体" w:hint="default"/>
          <w:spacing w:val="-2"/>
          <w:sz w:val="18"/>
          <w:szCs w:val="18"/>
        </w:rPr>
      </w:r>
    </w:p>
    <w:p>
      <w:pPr>
        <w:pStyle w:val="BodyText"/>
        <w:spacing w:line="240" w:lineRule="auto" w:before="5"/>
        <w:ind w:left="780" w:right="308"/>
        <w:jc w:val="left"/>
      </w:pPr>
      <w:r>
        <w:rPr/>
        <w:t>2、农产品生产加工配送养殖业务</w:t>
      </w:r>
    </w:p>
    <w:p>
      <w:pPr>
        <w:pStyle w:val="BodyText"/>
        <w:spacing w:line="357" w:lineRule="auto" w:before="154"/>
        <w:ind w:right="238" w:firstLine="480"/>
        <w:jc w:val="left"/>
      </w:pPr>
      <w:r>
        <w:rPr/>
        <w:t>截至</w:t>
      </w:r>
      <w:r>
        <w:rPr>
          <w:spacing w:val="-49"/>
        </w:rPr>
        <w:t> </w:t>
      </w:r>
      <w:r>
        <w:rPr/>
        <w:t>2009</w:t>
      </w:r>
      <w:r>
        <w:rPr>
          <w:spacing w:val="-52"/>
        </w:rPr>
        <w:t> </w:t>
      </w:r>
      <w:r>
        <w:rPr>
          <w:spacing w:val="2"/>
        </w:rPr>
        <w:t>年末，公司农产品生产加工配送养殖业务实现主营业务收入</w:t>
      </w:r>
      <w:r>
        <w:rPr>
          <w:spacing w:val="-40"/>
        </w:rPr>
        <w:t> </w:t>
      </w:r>
      <w:r>
        <w:rPr/>
        <w:t>4.99</w:t>
      </w:r>
      <w:r>
        <w:rPr/>
        <w:t> 亿元，同比下降</w:t>
      </w:r>
      <w:r>
        <w:rPr>
          <w:spacing w:val="-72"/>
        </w:rPr>
        <w:t> </w:t>
      </w:r>
      <w:r>
        <w:rPr/>
        <w:t>7.67%，占合并主营收入</w:t>
      </w:r>
      <w:r>
        <w:rPr>
          <w:spacing w:val="-74"/>
        </w:rPr>
        <w:t> </w:t>
      </w:r>
      <w:r>
        <w:rPr/>
        <w:t>40.57％；全年实现净利润</w:t>
      </w:r>
      <w:r>
        <w:rPr>
          <w:spacing w:val="-72"/>
        </w:rPr>
        <w:t> </w:t>
      </w:r>
      <w:r>
        <w:rPr/>
        <w:t>3,147</w:t>
      </w:r>
      <w:r>
        <w:rPr>
          <w:spacing w:val="-72"/>
        </w:rPr>
        <w:t> </w:t>
      </w:r>
      <w:r>
        <w:rPr/>
        <w:t>万</w:t>
      </w:r>
      <w:r>
        <w:rPr>
          <w:spacing w:val="-91"/>
        </w:rPr>
        <w:t> </w:t>
      </w:r>
      <w:r>
        <w:rPr/>
        <w:t>元</w:t>
      </w:r>
      <w:r>
        <w:rPr>
          <w:spacing w:val="-91"/>
        </w:rPr>
        <w:t> </w:t>
      </w:r>
      <w:r>
        <w:rPr/>
        <w:t>。</w:t>
      </w:r>
      <w:r>
        <w:rPr>
          <w:w w:val="84"/>
        </w:rPr>
        <w:t> </w:t>
      </w:r>
      <w:r>
        <w:rPr/>
        <w:t>同比下降</w:t>
      </w:r>
      <w:r>
        <w:rPr>
          <w:spacing w:val="-60"/>
        </w:rPr>
        <w:t> </w:t>
      </w:r>
      <w:r>
        <w:rPr/>
        <w:t>8%，主要是</w:t>
      </w:r>
      <w:r>
        <w:rPr>
          <w:spacing w:val="-60"/>
        </w:rPr>
        <w:t> </w:t>
      </w:r>
      <w:r>
        <w:rPr/>
        <w:t>2009</w:t>
      </w:r>
      <w:r>
        <w:rPr>
          <w:spacing w:val="-60"/>
        </w:rPr>
        <w:t> </w:t>
      </w:r>
      <w:r>
        <w:rPr/>
        <w:t>年下属农牧公司受猪肉价格下跌影响利润大幅下降。</w:t>
      </w:r>
    </w:p>
    <w:p>
      <w:pPr>
        <w:tabs>
          <w:tab w:pos="7739" w:val="left" w:leader="none"/>
        </w:tabs>
        <w:spacing w:before="36"/>
        <w:ind w:left="780" w:right="238" w:firstLine="0"/>
        <w:jc w:val="left"/>
        <w:rPr>
          <w:rFonts w:ascii="宋体" w:hAnsi="宋体" w:cs="宋体" w:eastAsia="宋体" w:hint="default"/>
          <w:sz w:val="21"/>
          <w:szCs w:val="21"/>
        </w:rPr>
      </w:pPr>
      <w:r>
        <w:rPr>
          <w:rFonts w:ascii="宋体" w:hAnsi="宋体" w:cs="宋体" w:eastAsia="宋体" w:hint="default"/>
          <w:sz w:val="24"/>
          <w:szCs w:val="24"/>
        </w:rPr>
        <w:t>各企业净利润情况如下表:</w:t>
        <w:tab/>
      </w:r>
      <w:r>
        <w:rPr>
          <w:rFonts w:ascii="宋体" w:hAnsi="宋体" w:cs="宋体" w:eastAsia="宋体" w:hint="default"/>
          <w:spacing w:val="-7"/>
          <w:sz w:val="21"/>
          <w:szCs w:val="21"/>
        </w:rPr>
        <w:t>单位：万元</w:t>
      </w:r>
    </w:p>
    <w:p>
      <w:pPr>
        <w:spacing w:line="240" w:lineRule="auto" w:before="8"/>
        <w:rPr>
          <w:rFonts w:ascii="宋体" w:hAnsi="宋体" w:cs="宋体" w:eastAsia="宋体" w:hint="default"/>
          <w:sz w:val="8"/>
          <w:szCs w:val="8"/>
        </w:rPr>
      </w:pPr>
    </w:p>
    <w:tbl>
      <w:tblPr>
        <w:tblW w:w="0" w:type="auto"/>
        <w:jc w:val="left"/>
        <w:tblInd w:w="187" w:type="dxa"/>
        <w:tblLayout w:type="fixed"/>
        <w:tblCellMar>
          <w:top w:w="0" w:type="dxa"/>
          <w:left w:w="0" w:type="dxa"/>
          <w:bottom w:w="0" w:type="dxa"/>
          <w:right w:w="0" w:type="dxa"/>
        </w:tblCellMar>
        <w:tblLook w:val="01E0"/>
      </w:tblPr>
      <w:tblGrid>
        <w:gridCol w:w="614"/>
        <w:gridCol w:w="3017"/>
        <w:gridCol w:w="636"/>
        <w:gridCol w:w="864"/>
        <w:gridCol w:w="864"/>
        <w:gridCol w:w="1224"/>
        <w:gridCol w:w="1457"/>
      </w:tblGrid>
      <w:tr>
        <w:trPr>
          <w:trHeight w:val="634" w:hRule="exact"/>
        </w:trPr>
        <w:tc>
          <w:tcPr>
            <w:tcW w:w="614"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01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636"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864"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864"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24"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增长率</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145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300" w:lineRule="auto" w:before="10"/>
              <w:ind w:left="542" w:right="158"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 贡献</w:t>
            </w:r>
          </w:p>
        </w:tc>
      </w:tr>
      <w:tr>
        <w:trPr>
          <w:trHeight w:val="360" w:hRule="exact"/>
        </w:trPr>
        <w:tc>
          <w:tcPr>
            <w:tcW w:w="614"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1</w:t>
            </w:r>
          </w:p>
        </w:tc>
        <w:tc>
          <w:tcPr>
            <w:tcW w:w="301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8" w:right="0"/>
              <w:jc w:val="center"/>
              <w:rPr>
                <w:rFonts w:ascii="Times New Roman" w:hAnsi="Times New Roman" w:cs="Times New Roman" w:eastAsia="Times New Roman" w:hint="default"/>
                <w:sz w:val="18"/>
                <w:szCs w:val="18"/>
              </w:rPr>
            </w:pPr>
            <w:r>
              <w:rPr>
                <w:rFonts w:ascii="Times New Roman"/>
                <w:sz w:val="18"/>
              </w:rPr>
              <w:t>51%</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6" w:right="0"/>
              <w:jc w:val="center"/>
              <w:rPr>
                <w:rFonts w:ascii="Times New Roman" w:hAnsi="Times New Roman" w:cs="Times New Roman" w:eastAsia="Times New Roman" w:hint="default"/>
                <w:sz w:val="18"/>
                <w:szCs w:val="18"/>
              </w:rPr>
            </w:pPr>
            <w:r>
              <w:rPr>
                <w:rFonts w:ascii="Times New Roman"/>
                <w:sz w:val="18"/>
              </w:rPr>
              <w:t>802</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2,371</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485"/>
              <w:jc w:val="right"/>
              <w:rPr>
                <w:rFonts w:ascii="Times New Roman" w:hAnsi="Times New Roman" w:cs="Times New Roman" w:eastAsia="Times New Roman" w:hint="default"/>
                <w:sz w:val="18"/>
                <w:szCs w:val="18"/>
              </w:rPr>
            </w:pPr>
            <w:r>
              <w:rPr>
                <w:rFonts w:ascii="Times New Roman"/>
                <w:sz w:val="18"/>
              </w:rPr>
              <w:t>-66</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409</w:t>
            </w:r>
          </w:p>
        </w:tc>
      </w:tr>
      <w:tr>
        <w:trPr>
          <w:trHeight w:val="360" w:hRule="exact"/>
        </w:trPr>
        <w:tc>
          <w:tcPr>
            <w:tcW w:w="614"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2</w:t>
            </w:r>
          </w:p>
        </w:tc>
        <w:tc>
          <w:tcPr>
            <w:tcW w:w="301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5" w:right="0"/>
              <w:jc w:val="center"/>
              <w:rPr>
                <w:rFonts w:ascii="Times New Roman" w:hAnsi="Times New Roman" w:cs="Times New Roman" w:eastAsia="Times New Roman" w:hint="default"/>
                <w:sz w:val="18"/>
                <w:szCs w:val="18"/>
              </w:rPr>
            </w:pPr>
            <w:r>
              <w:rPr>
                <w:rFonts w:ascii="Times New Roman"/>
                <w:sz w:val="18"/>
              </w:rPr>
              <w:t>100%</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sz w:val="18"/>
              </w:rPr>
              <w:t>2,401</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1,242</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512"/>
              <w:jc w:val="right"/>
              <w:rPr>
                <w:rFonts w:ascii="Times New Roman" w:hAnsi="Times New Roman" w:cs="Times New Roman" w:eastAsia="Times New Roman" w:hint="default"/>
                <w:sz w:val="18"/>
                <w:szCs w:val="18"/>
              </w:rPr>
            </w:pPr>
            <w:r>
              <w:rPr>
                <w:rFonts w:ascii="Times New Roman"/>
                <w:sz w:val="18"/>
              </w:rPr>
              <w:t>93</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sz w:val="18"/>
              </w:rPr>
              <w:t>2,401</w:t>
            </w:r>
          </w:p>
        </w:tc>
      </w:tr>
      <w:tr>
        <w:trPr>
          <w:trHeight w:val="360" w:hRule="exact"/>
        </w:trPr>
        <w:tc>
          <w:tcPr>
            <w:tcW w:w="614"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3</w:t>
            </w:r>
          </w:p>
        </w:tc>
        <w:tc>
          <w:tcPr>
            <w:tcW w:w="301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8" w:right="0"/>
              <w:jc w:val="center"/>
              <w:rPr>
                <w:rFonts w:ascii="Times New Roman" w:hAnsi="Times New Roman" w:cs="Times New Roman" w:eastAsia="Times New Roman" w:hint="default"/>
                <w:sz w:val="18"/>
                <w:szCs w:val="18"/>
              </w:rPr>
            </w:pPr>
            <w:r>
              <w:rPr>
                <w:rFonts w:ascii="Times New Roman"/>
                <w:sz w:val="18"/>
              </w:rPr>
              <w:t>55%</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6" w:right="0"/>
              <w:jc w:val="center"/>
              <w:rPr>
                <w:rFonts w:ascii="Times New Roman" w:hAnsi="Times New Roman" w:cs="Times New Roman" w:eastAsia="Times New Roman" w:hint="default"/>
                <w:sz w:val="18"/>
                <w:szCs w:val="18"/>
              </w:rPr>
            </w:pPr>
            <w:r>
              <w:rPr>
                <w:rFonts w:ascii="Times New Roman"/>
                <w:sz w:val="18"/>
              </w:rPr>
              <w:t>-56</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-190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545"/>
              <w:jc w:val="right"/>
              <w:rPr>
                <w:rFonts w:ascii="Times New Roman" w:hAnsi="Times New Roman" w:cs="Times New Roman" w:eastAsia="Times New Roman" w:hint="default"/>
                <w:sz w:val="18"/>
                <w:szCs w:val="18"/>
              </w:rPr>
            </w:pPr>
            <w:r>
              <w:rPr>
                <w:rFonts w:ascii="Times New Roman"/>
                <w:sz w:val="18"/>
              </w:rPr>
              <w:t>--</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-31</w:t>
            </w:r>
          </w:p>
        </w:tc>
      </w:tr>
      <w:tr>
        <w:trPr>
          <w:trHeight w:val="360" w:hRule="exact"/>
        </w:trPr>
        <w:tc>
          <w:tcPr>
            <w:tcW w:w="614"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4</w:t>
            </w:r>
          </w:p>
        </w:tc>
        <w:tc>
          <w:tcPr>
            <w:tcW w:w="301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3,147</w:t>
            </w:r>
          </w:p>
        </w:tc>
        <w:tc>
          <w:tcPr>
            <w:tcW w:w="8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3,423</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529"/>
              <w:jc w:val="right"/>
              <w:rPr>
                <w:rFonts w:ascii="Times New Roman" w:hAnsi="Times New Roman" w:cs="Times New Roman" w:eastAsia="Times New Roman" w:hint="default"/>
                <w:sz w:val="18"/>
                <w:szCs w:val="18"/>
              </w:rPr>
            </w:pPr>
            <w:r>
              <w:rPr>
                <w:rFonts w:ascii="Times New Roman"/>
                <w:sz w:val="18"/>
              </w:rPr>
              <w:t>-8</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sz w:val="18"/>
              </w:rPr>
              <w:t>2,779</w:t>
            </w:r>
          </w:p>
        </w:tc>
      </w:tr>
    </w:tbl>
    <w:p>
      <w:pPr>
        <w:pStyle w:val="BodyText"/>
        <w:spacing w:line="240" w:lineRule="auto" w:before="197"/>
        <w:ind w:left="780" w:right="308"/>
        <w:jc w:val="left"/>
      </w:pPr>
      <w:r>
        <w:rPr/>
        <w:t>3、配套服务业务</w:t>
      </w:r>
    </w:p>
    <w:p>
      <w:pPr>
        <w:pStyle w:val="BodyText"/>
        <w:spacing w:line="240" w:lineRule="auto" w:before="154"/>
        <w:ind w:left="780" w:right="238"/>
        <w:jc w:val="left"/>
      </w:pPr>
      <w:r>
        <w:rPr/>
        <w:t>截至</w:t>
      </w:r>
      <w:r>
        <w:rPr>
          <w:spacing w:val="-67"/>
        </w:rPr>
        <w:t> </w:t>
      </w:r>
      <w:r>
        <w:rPr/>
        <w:t>2009</w:t>
      </w:r>
      <w:r>
        <w:rPr>
          <w:spacing w:val="-67"/>
        </w:rPr>
        <w:t> </w:t>
      </w:r>
      <w:r>
        <w:rPr/>
        <w:t>年末，公司配套服务业务实现主营业务收入</w:t>
      </w:r>
      <w:r>
        <w:rPr>
          <w:spacing w:val="-67"/>
        </w:rPr>
        <w:t> </w:t>
      </w:r>
      <w:r>
        <w:rPr/>
        <w:t>6,264</w:t>
      </w:r>
      <w:r>
        <w:rPr>
          <w:spacing w:val="-67"/>
        </w:rPr>
        <w:t> </w:t>
      </w:r>
      <w:r>
        <w:rPr>
          <w:spacing w:val="-5"/>
        </w:rPr>
        <w:t>万元。占合并主</w:t>
      </w:r>
    </w:p>
    <w:p>
      <w:pPr>
        <w:pStyle w:val="BodyText"/>
        <w:spacing w:line="240" w:lineRule="auto" w:before="154"/>
        <w:ind w:right="238"/>
        <w:jc w:val="left"/>
      </w:pPr>
      <w:r>
        <w:rPr/>
        <w:t>营收入</w:t>
      </w:r>
      <w:r>
        <w:rPr>
          <w:spacing w:val="-60"/>
        </w:rPr>
        <w:t> </w:t>
      </w:r>
      <w:r>
        <w:rPr/>
        <w:t>5.09％，全年亏损</w:t>
      </w:r>
      <w:r>
        <w:rPr>
          <w:spacing w:val="-60"/>
        </w:rPr>
        <w:t> </w:t>
      </w:r>
      <w:r>
        <w:rPr/>
        <w:t>2,623</w:t>
      </w:r>
      <w:r>
        <w:rPr>
          <w:spacing w:val="-60"/>
        </w:rPr>
        <w:t> </w:t>
      </w:r>
      <w:r>
        <w:rPr/>
        <w:t>万元，纳入本公司权益净亏损</w:t>
      </w:r>
      <w:r>
        <w:rPr>
          <w:spacing w:val="-60"/>
        </w:rPr>
        <w:t> </w:t>
      </w:r>
      <w:r>
        <w:rPr/>
        <w:t>2,615</w:t>
      </w:r>
      <w:r>
        <w:rPr>
          <w:spacing w:val="-60"/>
        </w:rPr>
        <w:t> </w:t>
      </w:r>
      <w:r>
        <w:rPr/>
        <w:t>万元，主要</w:t>
      </w:r>
    </w:p>
    <w:p>
      <w:pPr>
        <w:pStyle w:val="BodyText"/>
        <w:spacing w:line="357" w:lineRule="auto" w:before="154"/>
        <w:ind w:right="310"/>
        <w:jc w:val="left"/>
      </w:pPr>
      <w:r>
        <w:rPr/>
        <w:t>是下属西岸渔人码头公司</w:t>
      </w:r>
      <w:r>
        <w:rPr>
          <w:spacing w:val="-59"/>
        </w:rPr>
        <w:t> </w:t>
      </w:r>
      <w:r>
        <w:rPr/>
        <w:t>2009</w:t>
      </w:r>
      <w:r>
        <w:rPr>
          <w:spacing w:val="-59"/>
        </w:rPr>
        <w:t> </w:t>
      </w:r>
      <w:r>
        <w:rPr>
          <w:spacing w:val="-3"/>
        </w:rPr>
        <w:t>年继续大幅亏损。目前，本公司正将所持有的西岸</w:t>
      </w:r>
      <w:r>
        <w:rPr/>
        <w:t> 渔人码头公司</w:t>
      </w:r>
      <w:r>
        <w:rPr>
          <w:spacing w:val="-60"/>
        </w:rPr>
        <w:t> </w:t>
      </w:r>
      <w:r>
        <w:rPr/>
        <w:t>51%股权通过挂牌方式转让。</w:t>
      </w:r>
    </w:p>
    <w:p>
      <w:pPr>
        <w:spacing w:after="0" w:line="357" w:lineRule="auto"/>
        <w:jc w:val="left"/>
        <w:sectPr>
          <w:headerReference w:type="default" r:id="rId79"/>
          <w:footerReference w:type="default" r:id="rId80"/>
          <w:pgSz w:w="11910" w:h="16840"/>
          <w:pgMar w:header="0" w:footer="1095" w:top="1000" w:bottom="1280" w:left="1680" w:right="1140"/>
          <w:pgNumType w:start="43"/>
        </w:sectPr>
      </w:pPr>
    </w:p>
    <w:p>
      <w:pPr>
        <w:tabs>
          <w:tab w:pos="7499" w:val="left" w:leader="none"/>
        </w:tabs>
        <w:spacing w:before="1"/>
        <w:ind w:left="780" w:right="266" w:firstLine="0"/>
        <w:jc w:val="left"/>
        <w:rPr>
          <w:rFonts w:ascii="宋体" w:hAnsi="宋体" w:cs="宋体" w:eastAsia="宋体" w:hint="default"/>
          <w:sz w:val="21"/>
          <w:szCs w:val="21"/>
        </w:rPr>
      </w:pPr>
      <w:r>
        <w:rPr/>
        <w:pict>
          <v:shape style="position:absolute;margin-left:93.360001pt;margin-top:21.385626pt;width:434.55pt;height:172.2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3"/>
                    <w:gridCol w:w="3031"/>
                    <w:gridCol w:w="850"/>
                    <w:gridCol w:w="931"/>
                    <w:gridCol w:w="869"/>
                    <w:gridCol w:w="1058"/>
                    <w:gridCol w:w="1354"/>
                  </w:tblGrid>
                  <w:tr>
                    <w:trPr>
                      <w:trHeight w:val="634" w:hRule="exact"/>
                    </w:trPr>
                    <w:tc>
                      <w:tcPr>
                        <w:tcW w:w="583"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03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850"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93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9"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58"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增长率</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300" w:lineRule="auto" w:before="13"/>
                          <w:ind w:left="492" w:right="108" w:hanging="384"/>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 贡献</w:t>
                        </w:r>
                      </w:p>
                    </w:tc>
                  </w:tr>
                  <w:tr>
                    <w:trPr>
                      <w:trHeight w:val="401" w:hRule="exact"/>
                    </w:trPr>
                    <w:tc>
                      <w:tcPr>
                        <w:tcW w:w="583"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03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95%</w:t>
                        </w:r>
                      </w:p>
                    </w:tc>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129</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389"/>
                          <w:jc w:val="right"/>
                          <w:rPr>
                            <w:rFonts w:ascii="Times New Roman" w:hAnsi="Times New Roman" w:cs="Times New Roman" w:eastAsia="Times New Roman" w:hint="default"/>
                            <w:sz w:val="18"/>
                            <w:szCs w:val="18"/>
                          </w:rPr>
                        </w:pPr>
                        <w:r>
                          <w:rPr>
                            <w:rFonts w:ascii="Times New Roman"/>
                            <w:spacing w:val="-1"/>
                            <w:sz w:val="18"/>
                          </w:rPr>
                          <w:t>975</w:t>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123</w:t>
                        </w:r>
                      </w:p>
                    </w:tc>
                  </w:tr>
                  <w:tr>
                    <w:trPr>
                      <w:trHeight w:val="401" w:hRule="exact"/>
                    </w:trPr>
                    <w:tc>
                      <w:tcPr>
                        <w:tcW w:w="583"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303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40"/>
                          <w:jc w:val="right"/>
                          <w:rPr>
                            <w:rFonts w:ascii="Times New Roman" w:hAnsi="Times New Roman" w:cs="Times New Roman" w:eastAsia="Times New Roman" w:hint="default"/>
                            <w:sz w:val="18"/>
                            <w:szCs w:val="18"/>
                          </w:rPr>
                        </w:pPr>
                        <w:r>
                          <w:rPr>
                            <w:rFonts w:ascii="Times New Roman"/>
                            <w:spacing w:val="-1"/>
                            <w:sz w:val="18"/>
                          </w:rPr>
                          <w:t>86.50%</w:t>
                        </w:r>
                      </w:p>
                    </w:tc>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295" w:right="0"/>
                          <w:jc w:val="left"/>
                          <w:rPr>
                            <w:rFonts w:ascii="Times New Roman" w:hAnsi="Times New Roman" w:cs="Times New Roman" w:eastAsia="Times New Roman" w:hint="default"/>
                            <w:sz w:val="18"/>
                            <w:szCs w:val="18"/>
                          </w:rPr>
                        </w:pPr>
                        <w:r>
                          <w:rPr>
                            <w:rFonts w:ascii="Times New Roman"/>
                            <w:sz w:val="18"/>
                          </w:rPr>
                          <w:t>-111</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-149</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463"/>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-96</w:t>
                        </w:r>
                      </w:p>
                    </w:tc>
                  </w:tr>
                  <w:tr>
                    <w:trPr>
                      <w:trHeight w:val="398" w:hRule="exact"/>
                    </w:trPr>
                    <w:tc>
                      <w:tcPr>
                        <w:tcW w:w="583"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w:t>
                        </w:r>
                      </w:p>
                    </w:tc>
                    <w:tc>
                      <w:tcPr>
                        <w:tcW w:w="303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208"/>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103</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323</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402"/>
                          <w:jc w:val="right"/>
                          <w:rPr>
                            <w:rFonts w:ascii="Times New Roman" w:hAnsi="Times New Roman" w:cs="Times New Roman" w:eastAsia="Times New Roman" w:hint="default"/>
                            <w:sz w:val="18"/>
                            <w:szCs w:val="18"/>
                          </w:rPr>
                        </w:pPr>
                        <w:r>
                          <w:rPr>
                            <w:rFonts w:ascii="Times New Roman"/>
                            <w:sz w:val="18"/>
                          </w:rPr>
                          <w:t>-68</w:t>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103</w:t>
                        </w:r>
                      </w:p>
                    </w:tc>
                  </w:tr>
                  <w:tr>
                    <w:trPr>
                      <w:trHeight w:val="401" w:hRule="exact"/>
                    </w:trPr>
                    <w:tc>
                      <w:tcPr>
                        <w:tcW w:w="583"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303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深圳农产品交易大厦有限公司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95%</w:t>
                        </w:r>
                      </w:p>
                    </w:tc>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72</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402"/>
                          <w:jc w:val="right"/>
                          <w:rPr>
                            <w:rFonts w:ascii="Times New Roman" w:hAnsi="Times New Roman" w:cs="Times New Roman" w:eastAsia="Times New Roman" w:hint="default"/>
                            <w:sz w:val="18"/>
                            <w:szCs w:val="18"/>
                          </w:rPr>
                        </w:pPr>
                        <w:r>
                          <w:rPr>
                            <w:rFonts w:ascii="Times New Roman"/>
                            <w:sz w:val="18"/>
                          </w:rPr>
                          <w:t>-72</w:t>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583"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w:t>
                        </w:r>
                      </w:p>
                    </w:tc>
                    <w:tc>
                      <w:tcPr>
                        <w:tcW w:w="303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99%</w:t>
                        </w:r>
                      </w:p>
                    </w:tc>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17</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402"/>
                          <w:jc w:val="right"/>
                          <w:rPr>
                            <w:rFonts w:ascii="Times New Roman" w:hAnsi="Times New Roman" w:cs="Times New Roman" w:eastAsia="Times New Roman" w:hint="default"/>
                            <w:sz w:val="18"/>
                            <w:szCs w:val="18"/>
                          </w:rPr>
                        </w:pPr>
                        <w:r>
                          <w:rPr>
                            <w:rFonts w:ascii="Times New Roman"/>
                            <w:sz w:val="18"/>
                          </w:rPr>
                          <w:t>-12</w:t>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583"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w:t>
                        </w:r>
                      </w:p>
                    </w:tc>
                    <w:tc>
                      <w:tcPr>
                        <w:tcW w:w="303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深圳市西岸渔人码头商业有限公司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51%</w:t>
                        </w:r>
                      </w:p>
                    </w:tc>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224"/>
                          <w:jc w:val="right"/>
                          <w:rPr>
                            <w:rFonts w:ascii="Times New Roman" w:hAnsi="Times New Roman" w:cs="Times New Roman" w:eastAsia="Times New Roman" w:hint="default"/>
                            <w:sz w:val="18"/>
                            <w:szCs w:val="18"/>
                          </w:rPr>
                        </w:pPr>
                        <w:r>
                          <w:rPr>
                            <w:rFonts w:ascii="Times New Roman"/>
                            <w:sz w:val="18"/>
                          </w:rPr>
                          <w:t>-2,779</w:t>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-2,526</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463"/>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-2,779</w:t>
                        </w:r>
                      </w:p>
                    </w:tc>
                  </w:tr>
                  <w:tr>
                    <w:trPr>
                      <w:trHeight w:val="401" w:hRule="exact"/>
                    </w:trPr>
                    <w:tc>
                      <w:tcPr>
                        <w:tcW w:w="583" w:type="dxa"/>
                        <w:tcBorders>
                          <w:top w:val="single" w:sz="4" w:space="0" w:color="000008"/>
                          <w:left w:val="single" w:sz="4" w:space="0" w:color="000008"/>
                          <w:bottom w:val="single" w:sz="4" w:space="0" w:color="000008"/>
                          <w:right w:val="single" w:sz="4" w:space="0" w:color="000008"/>
                        </w:tcBorders>
                        <w:shd w:val="clear" w:color="auto" w:fill="DFDFDF"/>
                      </w:tcPr>
                      <w:p>
                        <w:pPr/>
                      </w:p>
                    </w:tc>
                    <w:tc>
                      <w:tcPr>
                        <w:tcW w:w="303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tabs>
                            <w:tab w:pos="539" w:val="left" w:leader="none"/>
                          </w:tabs>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19"/>
                          <w:jc w:val="right"/>
                          <w:rPr>
                            <w:rFonts w:ascii="Times New Roman" w:hAnsi="Times New Roman" w:cs="Times New Roman" w:eastAsia="Times New Roman" w:hint="default"/>
                            <w:sz w:val="18"/>
                            <w:szCs w:val="18"/>
                          </w:rPr>
                        </w:pPr>
                        <w:r>
                          <w:rPr>
                            <w:rFonts w:ascii="Times New Roman"/>
                            <w:b/>
                            <w:sz w:val="18"/>
                          </w:rPr>
                          <w:t>-2,623</w:t>
                        </w:r>
                        <w:r>
                          <w:rPr>
                            <w:rFonts w:ascii="Times New Roman"/>
                            <w:sz w:val="18"/>
                          </w:rPr>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b/>
                            <w:sz w:val="18"/>
                          </w:rPr>
                          <w:t>-2,251</w:t>
                        </w:r>
                        <w:r>
                          <w:rPr>
                            <w:rFonts w:ascii="Times New Roman"/>
                            <w:sz w:val="18"/>
                          </w:rPr>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45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b/>
                            <w:sz w:val="18"/>
                          </w:rPr>
                          <w:t>-2,615</w:t>
                        </w:r>
                        <w:r>
                          <w:rPr>
                            <w:rFonts w:ascii="Times New Roman"/>
                            <w:sz w:val="18"/>
                          </w:rPr>
                        </w:r>
                      </w:p>
                    </w:tc>
                  </w:tr>
                </w:tbl>
                <w:p>
                  <w:pPr/>
                </w:p>
              </w:txbxContent>
            </v:textbox>
            <w10:wrap type="none"/>
          </v:shape>
        </w:pict>
      </w:r>
      <w:r>
        <w:rPr>
          <w:rFonts w:ascii="宋体" w:hAnsi="宋体" w:cs="宋体" w:eastAsia="宋体" w:hint="default"/>
          <w:sz w:val="24"/>
          <w:szCs w:val="24"/>
        </w:rPr>
        <w:t>各企业净利润情况如下表：</w:t>
        <w:tab/>
      </w:r>
      <w:r>
        <w:rPr>
          <w:rFonts w:ascii="宋体" w:hAnsi="宋体" w:cs="宋体" w:eastAsia="宋体" w:hint="default"/>
          <w:sz w:val="21"/>
          <w:szCs w:val="21"/>
        </w:rPr>
        <w:t>单位：万元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8"/>
          <w:szCs w:val="28"/>
        </w:rPr>
      </w:pPr>
    </w:p>
    <w:p>
      <w:pPr>
        <w:pStyle w:val="Heading5"/>
        <w:spacing w:line="810" w:lineRule="atLeast"/>
        <w:ind w:right="3626"/>
        <w:jc w:val="left"/>
        <w:rPr>
          <w:b w:val="0"/>
          <w:bCs w:val="0"/>
        </w:rPr>
      </w:pPr>
      <w:r>
        <w:rPr/>
        <w:t>七、公司不存在控制下的特殊目的主体。</w:t>
      </w:r>
      <w:r>
        <w:rPr>
          <w:spacing w:val="-45"/>
        </w:rPr>
        <w:t> </w:t>
      </w:r>
      <w:r>
        <w:rPr>
          <w:spacing w:val="-45"/>
        </w:rPr>
      </w:r>
      <w:bookmarkStart w:name="第三节未来发展展望及新年度经营计划" w:id="16"/>
      <w:bookmarkEnd w:id="16"/>
      <w:r>
        <w:rPr/>
        <w:t>第</w:t>
      </w:r>
      <w:r>
        <w:rPr/>
        <w:t>三节 </w:t>
      </w:r>
      <w:r>
        <w:rPr>
          <w:spacing w:val="13"/>
        </w:rPr>
        <w:t> </w:t>
      </w:r>
      <w:r>
        <w:rPr/>
        <w:t>未来发展展望及新年度经营计划</w:t>
      </w:r>
      <w:r>
        <w:rPr>
          <w:b w:val="0"/>
          <w:bCs w:val="0"/>
        </w:rPr>
      </w:r>
    </w:p>
    <w:p>
      <w:pPr>
        <w:spacing w:line="391" w:lineRule="exact" w:before="0"/>
        <w:ind w:left="780" w:right="68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一、核心业务行业发展趋势和公司所面临的市场竞争格局</w:t>
      </w:r>
      <w:r>
        <w:rPr>
          <w:rFonts w:ascii="Microsoft JhengHei" w:hAnsi="Microsoft JhengHei" w:cs="Microsoft JhengHei" w:eastAsia="Microsoft JhengHei" w:hint="default"/>
          <w:sz w:val="24"/>
          <w:szCs w:val="24"/>
        </w:rPr>
      </w:r>
    </w:p>
    <w:p>
      <w:pPr>
        <w:pStyle w:val="BodyText"/>
        <w:spacing w:line="357" w:lineRule="auto" w:before="126"/>
        <w:ind w:right="164" w:firstLine="480"/>
        <w:jc w:val="left"/>
      </w:pPr>
      <w:r>
        <w:rPr/>
        <w:t>（一）宏观环境：世界经济出现复苏迹象，但金融危机的影响在短期内还无 </w:t>
      </w:r>
      <w:r>
        <w:rPr>
          <w:w w:val="95"/>
        </w:rPr>
        <w:t>法完全消</w:t>
      </w:r>
      <w:r>
        <w:rPr>
          <w:spacing w:val="-57"/>
          <w:w w:val="95"/>
        </w:rPr>
        <w:t> </w:t>
      </w:r>
      <w:r>
        <w:rPr>
          <w:w w:val="95"/>
        </w:rPr>
        <w:t>除</w:t>
      </w:r>
      <w:r>
        <w:rPr>
          <w:spacing w:val="-57"/>
          <w:w w:val="95"/>
        </w:rPr>
        <w:t> </w:t>
      </w:r>
      <w:r>
        <w:rPr>
          <w:spacing w:val="-24"/>
          <w:w w:val="95"/>
        </w:rPr>
        <w:t>。预计</w:t>
      </w:r>
      <w:r>
        <w:rPr>
          <w:spacing w:val="4"/>
          <w:w w:val="95"/>
        </w:rPr>
        <w:t> </w:t>
      </w:r>
      <w:r>
        <w:rPr>
          <w:w w:val="95"/>
        </w:rPr>
        <w:t>2010</w:t>
      </w:r>
      <w:r>
        <w:rPr>
          <w:spacing w:val="4"/>
          <w:w w:val="95"/>
        </w:rPr>
        <w:t> </w:t>
      </w:r>
      <w:r>
        <w:rPr>
          <w:spacing w:val="-4"/>
          <w:w w:val="95"/>
        </w:rPr>
        <w:t>年世界经济将延续复苏趋势，但总体经济形势仍较为复杂</w:t>
      </w:r>
      <w:r>
        <w:rPr>
          <w:spacing w:val="2"/>
          <w:w w:val="95"/>
        </w:rPr>
        <w:t> </w:t>
      </w:r>
      <w:r>
        <w:rPr>
          <w:w w:val="95"/>
        </w:rPr>
        <w:t>。</w:t>
      </w:r>
      <w:r>
        <w:rPr>
          <w:spacing w:val="-104"/>
          <w:w w:val="95"/>
        </w:rPr>
        <w:t> </w:t>
      </w:r>
      <w:r>
        <w:rPr>
          <w:spacing w:val="-104"/>
          <w:w w:val="95"/>
        </w:rPr>
      </w:r>
      <w:r>
        <w:rPr>
          <w:spacing w:val="4"/>
          <w:w w:val="95"/>
        </w:rPr>
        <w:t>国内宏观政策的着力点也将是保持经济稳定、较快的增长，货币政策走向稳健，</w:t>
      </w:r>
      <w:r>
        <w:rPr>
          <w:spacing w:val="76"/>
          <w:w w:val="95"/>
        </w:rPr>
        <w:t> </w:t>
      </w:r>
      <w:r>
        <w:rPr>
          <w:spacing w:val="76"/>
          <w:w w:val="95"/>
        </w:rPr>
      </w:r>
      <w:r>
        <w:rPr/>
        <w:t>由“松”到“紧”是渐进的过程。2010</w:t>
      </w:r>
      <w:r>
        <w:rPr>
          <w:spacing w:val="-60"/>
        </w:rPr>
        <w:t> </w:t>
      </w:r>
      <w:r>
        <w:rPr/>
        <w:t>年中国经济在摆脱全球金融危机的负面影</w:t>
      </w:r>
      <w:r>
        <w:rPr/>
        <w:t> 响之后，经济增长的内生动力将不断增强。</w:t>
      </w:r>
    </w:p>
    <w:p>
      <w:pPr>
        <w:pStyle w:val="BodyText"/>
        <w:spacing w:line="357" w:lineRule="auto"/>
        <w:ind w:left="780" w:right="266"/>
        <w:jc w:val="left"/>
      </w:pPr>
      <w:r>
        <w:rPr/>
        <w:t>（二）行业发展趋势： </w:t>
      </w:r>
      <w:r>
        <w:rPr>
          <w:spacing w:val="-2"/>
          <w:w w:val="95"/>
        </w:rPr>
        <w:t>国家支持农业发展和农民增收、对食品安全日益重视，以及加快推进城镇化，</w:t>
      </w:r>
      <w:r>
        <w:rPr>
          <w:spacing w:val="-2"/>
        </w:rPr>
      </w:r>
    </w:p>
    <w:p>
      <w:pPr>
        <w:pStyle w:val="BodyText"/>
        <w:spacing w:line="357" w:lineRule="auto"/>
        <w:ind w:right="86"/>
        <w:jc w:val="left"/>
      </w:pPr>
      <w:r>
        <w:rPr/>
        <w:t>将扩大行业发展空间，并催生整合机会，这是未来五年农产品批发市场行业发展</w:t>
      </w:r>
      <w:r>
        <w:rPr>
          <w:spacing w:val="-95"/>
        </w:rPr>
        <w:t> </w:t>
      </w:r>
      <w:r>
        <w:rPr>
          <w:spacing w:val="-95"/>
        </w:rPr>
      </w:r>
      <w:r>
        <w:rPr/>
        <w:t>的基本逻辑。</w:t>
      </w:r>
    </w:p>
    <w:p>
      <w:pPr>
        <w:pStyle w:val="BodyText"/>
        <w:spacing w:line="357" w:lineRule="auto"/>
        <w:ind w:right="221" w:firstLine="480"/>
        <w:jc w:val="right"/>
      </w:pPr>
      <w:r>
        <w:rPr>
          <w:spacing w:val="-2"/>
        </w:rPr>
        <w:t>1、产业格局决定农批市场经营模式和市场地位，我国农业生产及农产品流转</w:t>
      </w:r>
      <w:r>
        <w:rPr/>
        <w:t> </w:t>
      </w:r>
      <w:r>
        <w:rPr>
          <w:spacing w:val="-2"/>
          <w:w w:val="95"/>
        </w:rPr>
        <w:t>的特点决定了行业重要地位，即农产品批发市场是解决三农问题的有效途径之一。</w:t>
      </w:r>
      <w:r>
        <w:rPr>
          <w:spacing w:val="89"/>
          <w:w w:val="95"/>
        </w:rPr>
        <w:t> </w:t>
      </w:r>
      <w:r>
        <w:rPr>
          <w:spacing w:val="89"/>
          <w:w w:val="95"/>
        </w:rPr>
      </w:r>
      <w:r>
        <w:rPr/>
        <w:t>农产品需要通过流通环节才能实现其价值，因此，农产品流通在国民经济发</w:t>
      </w:r>
      <w:r>
        <w:rPr/>
        <w:t> 展中具有举足轻重的作用。农产品流通是否畅通，关系着中国整个经济的运行效 </w:t>
      </w:r>
      <w:r>
        <w:rPr>
          <w:spacing w:val="-7"/>
        </w:rPr>
        <w:t>率与质量，涉及农业现代化，涉及农产品生产者和消费者的切身利益。改革开放</w:t>
      </w:r>
      <w:r>
        <w:rPr>
          <w:spacing w:val="-58"/>
        </w:rPr>
        <w:t> </w:t>
      </w:r>
      <w:r>
        <w:rPr/>
        <w:t>30</w:t>
      </w:r>
      <w:r>
        <w:rPr/>
        <w:t> 年来，以市场为导向的农产品流通体制改革不断深化，中国农产品流通取得了很 大的成效，基本形成了以民间经营为基础、市场导向为机制、企业自主经营、政</w:t>
      </w:r>
    </w:p>
    <w:p>
      <w:pPr>
        <w:pStyle w:val="BodyText"/>
        <w:spacing w:line="240" w:lineRule="auto"/>
        <w:ind w:right="86"/>
        <w:jc w:val="left"/>
      </w:pPr>
      <w:r>
        <w:rPr>
          <w:spacing w:val="3"/>
        </w:rPr>
        <w:t>府适度调节的适合中国当前生产和消费发展状况且比较有效的农产品流通体系，</w:t>
      </w:r>
    </w:p>
    <w:p>
      <w:pPr>
        <w:pStyle w:val="BodyText"/>
        <w:tabs>
          <w:tab w:pos="4324" w:val="left" w:leader="none"/>
        </w:tabs>
        <w:spacing w:line="240" w:lineRule="auto" w:before="154"/>
        <w:ind w:left="0" w:right="245"/>
        <w:jc w:val="right"/>
      </w:pPr>
      <w:r>
        <w:rPr/>
        <w:t>农产品流通规模不断扩大，先进的流通</w:t>
        <w:tab/>
        <w:t>方式逐步得到推广，流通设施与服务水</w:t>
      </w:r>
    </w:p>
    <w:p>
      <w:pPr>
        <w:spacing w:after="0" w:line="240" w:lineRule="auto"/>
        <w:jc w:val="right"/>
        <w:sectPr>
          <w:headerReference w:type="default" r:id="rId81"/>
          <w:footerReference w:type="default" r:id="rId82"/>
          <w:pgSz w:w="11910" w:h="16840"/>
          <w:pgMar w:header="0" w:footer="1095" w:top="1580" w:bottom="1280" w:left="1680" w:right="1240"/>
          <w:pgNumType w:start="44"/>
        </w:sectPr>
      </w:pPr>
    </w:p>
    <w:p>
      <w:pPr>
        <w:pStyle w:val="BodyText"/>
        <w:spacing w:line="310" w:lineRule="exact" w:before="0"/>
        <w:ind w:right="0"/>
        <w:jc w:val="both"/>
      </w:pPr>
      <w:r>
        <w:rPr/>
        <w:t>平不断提高。</w:t>
      </w:r>
    </w:p>
    <w:p>
      <w:pPr>
        <w:pStyle w:val="BodyText"/>
        <w:spacing w:line="357" w:lineRule="auto" w:before="154"/>
        <w:ind w:right="214" w:firstLine="480"/>
        <w:jc w:val="left"/>
      </w:pPr>
      <w:r>
        <w:rPr>
          <w:spacing w:val="-2"/>
        </w:rPr>
        <w:t>2、农产品流通行业和消费环节息息相关，在稳定物价，承担食品安全责任等</w:t>
      </w:r>
      <w:r>
        <w:rPr/>
        <w:t> 方面肩负重任。</w:t>
      </w:r>
    </w:p>
    <w:p>
      <w:pPr>
        <w:pStyle w:val="BodyText"/>
        <w:spacing w:line="357" w:lineRule="auto"/>
        <w:ind w:right="86" w:firstLine="480"/>
        <w:jc w:val="left"/>
      </w:pPr>
      <w:r>
        <w:rPr>
          <w:spacing w:val="3"/>
        </w:rPr>
        <w:t>温家宝总理指出：农产品批发市场等流通型企业也是农业产业化龙头企业。</w:t>
      </w:r>
      <w:r>
        <w:rPr/>
        <w:t> </w:t>
      </w:r>
      <w:r>
        <w:rPr>
          <w:spacing w:val="-3"/>
        </w:rPr>
        <w:t>流通型农业产业化企业对解决“三农”问题具有重要的作用。2004</w:t>
      </w:r>
      <w:r>
        <w:rPr>
          <w:spacing w:val="-71"/>
        </w:rPr>
        <w:t> </w:t>
      </w:r>
      <w:r>
        <w:rPr/>
        <w:t>年起至今中央1</w:t>
      </w:r>
      <w:r>
        <w:rPr/>
        <w:t> 号文件均谈及解决“三农”问题时特别强调农产品流通的作用。我国农产品批发</w:t>
      </w:r>
      <w:r>
        <w:rPr>
          <w:spacing w:val="-93"/>
        </w:rPr>
        <w:t> </w:t>
      </w:r>
      <w:r>
        <w:rPr>
          <w:spacing w:val="-93"/>
        </w:rPr>
      </w:r>
      <w:r>
        <w:rPr>
          <w:spacing w:val="4"/>
          <w:w w:val="95"/>
        </w:rPr>
        <w:t>市场是经济体制改革的产物，农产品批发市场是满足城市居民“菜篮子”需 </w:t>
      </w:r>
      <w:r>
        <w:rPr>
          <w:w w:val="95"/>
        </w:rPr>
        <w:t>求 ，</w:t>
      </w:r>
      <w:r>
        <w:rPr>
          <w:spacing w:val="42"/>
          <w:w w:val="95"/>
        </w:rPr>
        <w:t> </w:t>
      </w:r>
      <w:r>
        <w:rPr>
          <w:spacing w:val="42"/>
          <w:w w:val="95"/>
        </w:rPr>
      </w:r>
      <w:r>
        <w:rPr>
          <w:w w:val="95"/>
        </w:rPr>
        <w:t>解决农业小生产和大市场矛盾的主要桥梁。随着我国经济体制市场化改革的深入，</w:t>
      </w:r>
      <w:r>
        <w:rPr>
          <w:spacing w:val="25"/>
          <w:w w:val="95"/>
        </w:rPr>
        <w:t> </w:t>
      </w:r>
      <w:r>
        <w:rPr>
          <w:spacing w:val="25"/>
          <w:w w:val="95"/>
        </w:rPr>
      </w:r>
      <w:r>
        <w:rPr/>
        <w:t>农业生产的发展、农产品市场发生了质的变化，农产品流通市场以生产者为主导</w:t>
      </w:r>
      <w:r>
        <w:rPr>
          <w:spacing w:val="-91"/>
        </w:rPr>
        <w:t> </w:t>
      </w:r>
      <w:r>
        <w:rPr>
          <w:spacing w:val="-91"/>
        </w:rPr>
      </w:r>
      <w:r>
        <w:rPr/>
        <w:t>转变为以消费者为主导，以注重数量转变为注重质量。在这种状况下，农业产业</w:t>
      </w:r>
      <w:r>
        <w:rPr>
          <w:spacing w:val="-91"/>
        </w:rPr>
        <w:t> </w:t>
      </w:r>
      <w:r>
        <w:rPr>
          <w:spacing w:val="-91"/>
        </w:rPr>
      </w:r>
      <w:r>
        <w:rPr/>
        <w:t>的发展，不仅取决于生产，更取决于流通。农产品批发市场在促进农业增效、农</w:t>
      </w:r>
      <w:r>
        <w:rPr>
          <w:spacing w:val="-93"/>
        </w:rPr>
        <w:t> </w:t>
      </w:r>
      <w:r>
        <w:rPr>
          <w:spacing w:val="-93"/>
        </w:rPr>
      </w:r>
      <w:r>
        <w:rPr/>
        <w:t>民增收方面发挥着越来越重要的作用。</w:t>
      </w:r>
    </w:p>
    <w:p>
      <w:pPr>
        <w:pStyle w:val="BodyText"/>
        <w:spacing w:line="240" w:lineRule="auto"/>
        <w:ind w:left="780" w:right="686"/>
        <w:jc w:val="left"/>
      </w:pPr>
      <w:r>
        <w:rPr/>
        <w:t>（三）政策导向</w:t>
      </w:r>
    </w:p>
    <w:p>
      <w:pPr>
        <w:pStyle w:val="BodyText"/>
        <w:spacing w:line="357" w:lineRule="auto" w:before="154"/>
        <w:ind w:right="221" w:firstLine="470"/>
        <w:jc w:val="right"/>
      </w:pPr>
      <w:r>
        <w:rPr/>
        <w:t>1、2010</w:t>
      </w:r>
      <w:r>
        <w:rPr>
          <w:spacing w:val="-60"/>
        </w:rPr>
        <w:t> </w:t>
      </w:r>
      <w:r>
        <w:rPr>
          <w:spacing w:val="-4"/>
        </w:rPr>
        <w:t>年中央一号文件中明确指出：“健全农产品市场体系。统筹制定全国</w:t>
      </w:r>
      <w:r>
        <w:rPr/>
        <w:t> 农产品批发市场布局规划，支持重点农产品批发市场建设和升级改造，落实农产 品批发市场用地等扶持政策，发展农产品大市场大流通。加大力度建设粮棉油糖 等大宗农产品仓储设施，完善鲜活农产品冷链物流体系，支持大型涉农企业投资 建设农产品物流设施。加快发展农产品期货市场，逐步拓展交易品种，鼓励生产 </w:t>
      </w:r>
      <w:r>
        <w:rPr>
          <w:spacing w:val="-4"/>
          <w:w w:val="98"/>
        </w:rPr>
        <w:t>经营者运用期货交易机制规避市场风险。发展农业会展经济，支持农产品营销。”</w:t>
      </w:r>
      <w:r>
        <w:rPr>
          <w:w w:val="51"/>
        </w:rPr>
        <w:t> </w:t>
      </w:r>
      <w:r>
        <w:rPr/>
        <w:t>从今年的中央一号文件可以清晰的判断：农产品批发市场行业未来将获得中</w:t>
      </w:r>
    </w:p>
    <w:p>
      <w:pPr>
        <w:pStyle w:val="BodyText"/>
        <w:spacing w:line="240" w:lineRule="auto"/>
        <w:ind w:right="0"/>
        <w:jc w:val="both"/>
      </w:pPr>
      <w:r>
        <w:rPr/>
        <w:t>央及地方政府更大的政策支持力度。</w:t>
      </w:r>
    </w:p>
    <w:p>
      <w:pPr>
        <w:pStyle w:val="BodyText"/>
        <w:spacing w:line="357" w:lineRule="auto" w:before="154"/>
        <w:ind w:right="209" w:firstLine="480"/>
        <w:jc w:val="left"/>
      </w:pPr>
      <w:r>
        <w:rPr/>
        <w:t>2、1</w:t>
      </w:r>
      <w:r>
        <w:rPr>
          <w:spacing w:val="-72"/>
        </w:rPr>
        <w:t> </w:t>
      </w:r>
      <w:r>
        <w:rPr/>
        <w:t>月</w:t>
      </w:r>
      <w:r>
        <w:rPr>
          <w:spacing w:val="-72"/>
        </w:rPr>
        <w:t> </w:t>
      </w:r>
      <w:r>
        <w:rPr/>
        <w:t>29</w:t>
      </w:r>
      <w:r>
        <w:rPr>
          <w:spacing w:val="-72"/>
        </w:rPr>
        <w:t> </w:t>
      </w:r>
      <w:r>
        <w:rPr>
          <w:spacing w:val="-3"/>
        </w:rPr>
        <w:t>日，商务部召开专题新闻发布会，也重点介绍了农产品流通体系建</w:t>
      </w:r>
      <w:r>
        <w:rPr/>
        <w:t> 设情况。</w:t>
      </w:r>
    </w:p>
    <w:p>
      <w:pPr>
        <w:pStyle w:val="BodyText"/>
        <w:spacing w:line="240" w:lineRule="auto" w:before="113"/>
        <w:ind w:left="780" w:right="0"/>
        <w:jc w:val="left"/>
      </w:pPr>
      <w:r>
        <w:rPr/>
        <w:t>3、2</w:t>
      </w:r>
      <w:r>
        <w:rPr>
          <w:spacing w:val="-60"/>
        </w:rPr>
        <w:t> </w:t>
      </w:r>
      <w:r>
        <w:rPr/>
        <w:t>月</w:t>
      </w:r>
      <w:r>
        <w:rPr>
          <w:spacing w:val="-60"/>
        </w:rPr>
        <w:t> </w:t>
      </w:r>
      <w:r>
        <w:rPr/>
        <w:t>5</w:t>
      </w:r>
      <w:r>
        <w:rPr>
          <w:spacing w:val="-60"/>
        </w:rPr>
        <w:t> </w:t>
      </w:r>
      <w:r>
        <w:rPr/>
        <w:t>日，农业部在南京召开会议研究部署</w:t>
      </w:r>
      <w:r>
        <w:rPr>
          <w:spacing w:val="-60"/>
        </w:rPr>
        <w:t> </w:t>
      </w:r>
      <w:r>
        <w:rPr/>
        <w:t>2010</w:t>
      </w:r>
      <w:r>
        <w:rPr>
          <w:spacing w:val="-60"/>
        </w:rPr>
        <w:t> </w:t>
      </w:r>
      <w:r>
        <w:rPr/>
        <w:t>年农产品市场流通工作，</w:t>
      </w:r>
    </w:p>
    <w:p>
      <w:pPr>
        <w:pStyle w:val="BodyText"/>
        <w:spacing w:line="460" w:lineRule="atLeast" w:before="8"/>
        <w:ind w:right="221"/>
        <w:jc w:val="both"/>
      </w:pPr>
      <w:r>
        <w:rPr/>
        <w:t>要求</w:t>
      </w:r>
      <w:r>
        <w:rPr>
          <w:spacing w:val="-89"/>
        </w:rPr>
        <w:t> </w:t>
      </w:r>
      <w:r>
        <w:rPr/>
        <w:t>2010</w:t>
      </w:r>
      <w:r>
        <w:rPr>
          <w:spacing w:val="-89"/>
        </w:rPr>
        <w:t> </w:t>
      </w:r>
      <w:r>
        <w:rPr/>
        <w:t>年农产品市场流通工作要积极推进农产品批发市场建设。会同有关部门</w:t>
      </w:r>
      <w:r>
        <w:rPr/>
        <w:t> 进一步强化市场规划管理，根据农业生产、农产品流通和消费变化要求，综合考 </w:t>
      </w:r>
      <w:r>
        <w:rPr>
          <w:spacing w:val="-2"/>
          <w:w w:val="95"/>
        </w:rPr>
        <w:t>虑交通、城镇建设等多种因素严格审批新建市场，推动形成布局合理、经营有序、</w:t>
      </w:r>
      <w:r>
        <w:rPr>
          <w:spacing w:val="95"/>
          <w:w w:val="95"/>
        </w:rPr>
        <w:t> </w:t>
      </w:r>
      <w:r>
        <w:rPr>
          <w:spacing w:val="95"/>
          <w:w w:val="95"/>
        </w:rPr>
      </w:r>
      <w:r>
        <w:rPr/>
        <w:t>流通高效、持续发展的农产品批发市场网络。指导批发市场强化对商户的登记管</w:t>
      </w:r>
      <w:r>
        <w:rPr/>
        <w:t> 理，加强市场巡查监管，完善安保监控手段，打击欺行霸市和偷窃商品行为；引 导推行电子统一结算，落实安全生产责任，定期检查市场交易设施运行情况，消 除安全隐患。推进农产品批发市场产权制度改革，建立多元化的投入机制和股份</w:t>
      </w:r>
    </w:p>
    <w:p>
      <w:pPr>
        <w:spacing w:after="0" w:line="460" w:lineRule="atLeast"/>
        <w:jc w:val="both"/>
        <w:sectPr>
          <w:headerReference w:type="default" r:id="rId83"/>
          <w:footerReference w:type="default" r:id="rId84"/>
          <w:pgSz w:w="11910" w:h="16840"/>
          <w:pgMar w:header="0" w:footer="1095" w:top="1040" w:bottom="1280" w:left="1680" w:right="1240"/>
          <w:pgNumType w:start="45"/>
        </w:sectPr>
      </w:pPr>
    </w:p>
    <w:p>
      <w:pPr>
        <w:pStyle w:val="BodyText"/>
        <w:spacing w:line="357" w:lineRule="auto" w:before="13"/>
        <w:ind w:right="161"/>
        <w:jc w:val="both"/>
      </w:pPr>
      <w:r>
        <w:rPr/>
        <w:t>公司治理结构；强化市场基础设施改扩建，完善信息服务、质量安全抽检、冷藏 保鲜、物流配送等功能；鼓励创新交易方式，探索农产品拍卖、电子商务、批发 代理等试点。此外，还须加强农产品市场流通基础性工作。加强全国农产品批发 </w:t>
      </w:r>
      <w:r>
        <w:rPr>
          <w:spacing w:val="-2"/>
          <w:w w:val="95"/>
        </w:rPr>
        <w:t>市场信息网的建设与维护，扎实做好批发市场信息采集报送工作，为生产经营者、</w:t>
      </w:r>
      <w:r>
        <w:rPr>
          <w:spacing w:val="96"/>
          <w:w w:val="95"/>
        </w:rPr>
        <w:t> </w:t>
      </w:r>
      <w:r>
        <w:rPr>
          <w:spacing w:val="96"/>
          <w:w w:val="95"/>
        </w:rPr>
      </w:r>
      <w:r>
        <w:rPr/>
        <w:t>消费者和政府调控市场提供信息服务。从转变职能、强化服务出发，加强农产品</w:t>
      </w:r>
      <w:r>
        <w:rPr/>
        <w:t> 市场流通工作组织机构与队伍建设，形成上下配合、协同运转的工作体系。开展 调查研究，掌握农产品产销变化规律，因势利导地做好农产品市场流通工作，逐 步建立灵活疏导流通、防范市场剧烈波动的长效工作机制。按照发展农业区域公 用品牌、壮大特色产业品牌、提升商品质量品牌、促进企业产品品牌的思路，多 层次推进农产品品牌战略，做大做响一批农业品牌，在产业发展和市场开拓中更 好地发挥品牌引领作用。</w:t>
      </w:r>
    </w:p>
    <w:p>
      <w:pPr>
        <w:pStyle w:val="BodyText"/>
        <w:spacing w:line="274" w:lineRule="exact" w:before="0"/>
        <w:ind w:left="780" w:right="92"/>
        <w:jc w:val="left"/>
      </w:pPr>
      <w:r>
        <w:rPr/>
        <w:t>（四）行业竞争格局：</w:t>
      </w:r>
    </w:p>
    <w:p>
      <w:pPr>
        <w:pStyle w:val="BodyText"/>
        <w:spacing w:line="357" w:lineRule="auto" w:before="154"/>
        <w:ind w:right="154" w:firstLine="480"/>
        <w:jc w:val="left"/>
      </w:pPr>
      <w:r>
        <w:rPr>
          <w:spacing w:val="-2"/>
        </w:rPr>
        <w:t>1、各地发展不平衡，但超大规模市场不断出现，单个市场成交额、占地面积</w:t>
      </w:r>
      <w:r>
        <w:rPr/>
        <w:t> 呈逐年上升的趋势。</w:t>
      </w:r>
    </w:p>
    <w:p>
      <w:pPr>
        <w:pStyle w:val="BodyText"/>
        <w:spacing w:line="357" w:lineRule="auto"/>
        <w:ind w:right="154" w:firstLine="480"/>
        <w:jc w:val="left"/>
      </w:pPr>
      <w:r>
        <w:rPr>
          <w:spacing w:val="-2"/>
        </w:rPr>
        <w:t>2、地方龙头多，地方政府引领地方整合；行业整合开始，行业逐渐呈集中趋</w:t>
      </w:r>
      <w:r>
        <w:rPr/>
        <w:t> 势。</w:t>
      </w:r>
    </w:p>
    <w:p>
      <w:pPr>
        <w:pStyle w:val="BodyText"/>
        <w:spacing w:line="357" w:lineRule="auto"/>
        <w:ind w:right="154" w:firstLine="480"/>
        <w:jc w:val="left"/>
      </w:pPr>
      <w:r>
        <w:rPr>
          <w:spacing w:val="-2"/>
        </w:rPr>
        <w:t>3、越来越多的企业参与竞争，且利用资本市场快速提升体量，甚至引进国际</w:t>
      </w:r>
      <w:r>
        <w:rPr/>
        <w:t> 资本，企业对布点的争夺愈演愈烈。</w:t>
      </w:r>
    </w:p>
    <w:p>
      <w:pPr>
        <w:pStyle w:val="BodyText"/>
        <w:spacing w:line="357" w:lineRule="auto"/>
        <w:ind w:right="154" w:firstLine="480"/>
        <w:jc w:val="left"/>
      </w:pPr>
      <w:r>
        <w:rPr>
          <w:spacing w:val="-2"/>
        </w:rPr>
        <w:t>4、行业竞争从规模、硬件的竞争上升到包括软件及管理能力的提升在内的全</w:t>
      </w:r>
      <w:r>
        <w:rPr/>
        <w:t> 方位竞争。</w:t>
      </w:r>
    </w:p>
    <w:p>
      <w:pPr>
        <w:pStyle w:val="Heading5"/>
        <w:spacing w:line="378" w:lineRule="exact"/>
        <w:ind w:right="92"/>
        <w:jc w:val="left"/>
        <w:rPr>
          <w:b w:val="0"/>
          <w:bCs w:val="0"/>
        </w:rPr>
      </w:pPr>
      <w:r>
        <w:rPr/>
        <w:t>二、公司发展的机遇和挑战</w:t>
      </w:r>
      <w:r>
        <w:rPr>
          <w:b w:val="0"/>
          <w:bCs w:val="0"/>
        </w:rPr>
      </w:r>
    </w:p>
    <w:p>
      <w:pPr>
        <w:pStyle w:val="BodyText"/>
        <w:spacing w:line="240" w:lineRule="auto" w:before="126"/>
        <w:ind w:left="780" w:right="0"/>
        <w:jc w:val="left"/>
      </w:pPr>
      <w:r>
        <w:rPr>
          <w:spacing w:val="-6"/>
          <w:w w:val="95"/>
        </w:rPr>
        <w:t>1、宏观经济环境转好，消费增长是必然趋势，对农产品流通行业有促进作用  </w:t>
      </w:r>
      <w:r>
        <w:rPr>
          <w:spacing w:val="44"/>
          <w:w w:val="95"/>
        </w:rPr>
        <w:t> </w:t>
      </w:r>
      <w:r>
        <w:rPr>
          <w:w w:val="95"/>
        </w:rPr>
        <w:t>。</w:t>
      </w:r>
      <w:r>
        <w:rPr/>
      </w:r>
    </w:p>
    <w:p>
      <w:pPr>
        <w:pStyle w:val="BodyText"/>
        <w:spacing w:line="240" w:lineRule="auto" w:before="154"/>
        <w:ind w:left="780" w:right="92"/>
        <w:jc w:val="left"/>
      </w:pPr>
      <w:r>
        <w:rPr/>
        <w:t>2、新的土地政策，促使农业产业化，对农产品大流通的发展有促进作用。</w:t>
      </w:r>
    </w:p>
    <w:p>
      <w:pPr>
        <w:pStyle w:val="BodyText"/>
        <w:spacing w:line="357" w:lineRule="auto" w:before="154"/>
        <w:ind w:right="165" w:firstLine="480"/>
        <w:jc w:val="both"/>
      </w:pPr>
      <w:r>
        <w:rPr>
          <w:spacing w:val="-2"/>
        </w:rPr>
        <w:t>3、政策导向确立了公司在构筑农产品流通体系的活动中大有可为。“统筹制</w:t>
      </w:r>
      <w:r>
        <w:rPr/>
        <w:t> </w:t>
      </w:r>
      <w:r>
        <w:rPr>
          <w:spacing w:val="4"/>
          <w:w w:val="95"/>
        </w:rPr>
        <w:t>定全国农产品批发市场布局规划，支持重点农产品批发市场建设和升级改造”、</w:t>
      </w:r>
      <w:r>
        <w:rPr>
          <w:spacing w:val="73"/>
          <w:w w:val="95"/>
        </w:rPr>
        <w:t> </w:t>
      </w:r>
      <w:r>
        <w:rPr>
          <w:spacing w:val="73"/>
          <w:w w:val="95"/>
        </w:rPr>
      </w:r>
      <w:r>
        <w:rPr>
          <w:w w:val="95"/>
        </w:rPr>
        <w:t>“鼓励生产经营者运用期货交易机制规避市场风险”、“重点发展农产品物流及电</w:t>
      </w:r>
      <w:r>
        <w:rPr>
          <w:spacing w:val="103"/>
          <w:w w:val="95"/>
        </w:rPr>
        <w:t> </w:t>
      </w:r>
      <w:r>
        <w:rPr>
          <w:spacing w:val="103"/>
          <w:w w:val="95"/>
        </w:rPr>
      </w:r>
      <w:r>
        <w:rPr/>
        <w:t>子交易市场”的政策导向公司都可以切身参与其中，同时也契合公司自身“网络</w:t>
      </w:r>
      <w:r>
        <w:rPr>
          <w:spacing w:val="-93"/>
        </w:rPr>
        <w:t> </w:t>
      </w:r>
      <w:r>
        <w:rPr>
          <w:spacing w:val="-93"/>
        </w:rPr>
      </w:r>
      <w:r>
        <w:rPr/>
        <w:t>化”战略实施路径，且公司已走在行业前列。</w:t>
      </w:r>
    </w:p>
    <w:p>
      <w:pPr>
        <w:pStyle w:val="BodyText"/>
        <w:spacing w:line="357" w:lineRule="auto"/>
        <w:ind w:right="154" w:firstLine="480"/>
        <w:jc w:val="left"/>
      </w:pPr>
      <w:r>
        <w:rPr>
          <w:spacing w:val="-2"/>
        </w:rPr>
        <w:t>4、市场竞争的日益激烈，需要公司充分利用资本市场的优势，不断提升核心</w:t>
      </w:r>
      <w:r>
        <w:rPr/>
        <w:t> 竞争力，充分发挥整合能力参与竞争。</w:t>
      </w:r>
    </w:p>
    <w:p>
      <w:pPr>
        <w:pStyle w:val="Heading5"/>
        <w:spacing w:line="378" w:lineRule="exact"/>
        <w:ind w:right="92"/>
        <w:jc w:val="left"/>
        <w:rPr>
          <w:b w:val="0"/>
          <w:bCs w:val="0"/>
        </w:rPr>
      </w:pPr>
      <w:r>
        <w:rPr/>
        <w:t>三、公司的发展战略</w:t>
      </w:r>
      <w:r>
        <w:rPr>
          <w:b w:val="0"/>
          <w:bCs w:val="0"/>
        </w:rPr>
      </w:r>
    </w:p>
    <w:p>
      <w:pPr>
        <w:spacing w:after="0" w:line="378" w:lineRule="exact"/>
        <w:jc w:val="left"/>
        <w:sectPr>
          <w:headerReference w:type="default" r:id="rId85"/>
          <w:footerReference w:type="default" r:id="rId86"/>
          <w:pgSz w:w="11910" w:h="16840"/>
          <w:pgMar w:header="0" w:footer="1095" w:top="1100" w:bottom="1280" w:left="1680" w:right="1300"/>
          <w:pgNumType w:start="46"/>
        </w:sectPr>
      </w:pPr>
    </w:p>
    <w:p>
      <w:pPr>
        <w:pStyle w:val="Heading5"/>
        <w:spacing w:line="337" w:lineRule="exact"/>
        <w:ind w:left="300" w:right="0" w:firstLine="480"/>
        <w:jc w:val="both"/>
        <w:rPr>
          <w:b w:val="0"/>
          <w:bCs w:val="0"/>
        </w:rPr>
      </w:pPr>
      <w:r>
        <w:rPr>
          <w:w w:val="95"/>
        </w:rPr>
        <w:t>经过    20  </w:t>
      </w:r>
      <w:r>
        <w:rPr>
          <w:spacing w:val="7"/>
          <w:w w:val="95"/>
        </w:rPr>
        <w:t> </w:t>
      </w:r>
      <w:r>
        <w:rPr>
          <w:w w:val="95"/>
        </w:rPr>
        <w:t>年发展，公司初步形成了一个全国性农产品交易及综合服务平台。提</w:t>
      </w:r>
      <w:r>
        <w:rPr>
          <w:b w:val="0"/>
          <w:bCs w:val="0"/>
          <w:w w:val="95"/>
        </w:rPr>
      </w:r>
    </w:p>
    <w:p>
      <w:pPr>
        <w:spacing w:line="268" w:lineRule="auto" w:before="50"/>
        <w:ind w:left="300" w:right="185"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升单点的内涵，把分散的点连成面，发挥网络化的聚合效应是公司发展的形势所</w:t>
      </w:r>
      <w:r>
        <w:rPr>
          <w:rFonts w:ascii="Microsoft JhengHei" w:hAnsi="Microsoft JhengHei" w:cs="Microsoft JhengHei" w:eastAsia="Microsoft JhengHei" w:hint="default"/>
          <w:b/>
          <w:bCs/>
          <w:spacing w:val="-29"/>
          <w:sz w:val="24"/>
          <w:szCs w:val="24"/>
        </w:rPr>
        <w:t> </w:t>
      </w:r>
      <w:r>
        <w:rPr>
          <w:rFonts w:ascii="Microsoft JhengHei" w:hAnsi="Microsoft JhengHei" w:cs="Microsoft JhengHei" w:eastAsia="Microsoft JhengHei" w:hint="default"/>
          <w:b/>
          <w:bCs/>
          <w:spacing w:val="-29"/>
          <w:sz w:val="24"/>
          <w:szCs w:val="24"/>
        </w:rPr>
      </w:r>
      <w:r>
        <w:rPr>
          <w:rFonts w:ascii="Microsoft JhengHei" w:hAnsi="Microsoft JhengHei" w:cs="Microsoft JhengHei" w:eastAsia="Microsoft JhengHei" w:hint="default"/>
          <w:b/>
          <w:bCs/>
          <w:sz w:val="24"/>
          <w:szCs w:val="24"/>
        </w:rPr>
        <w:t>趋。网络化战略成为公司持续健康发展的基础，也是继续领跑农产品物流产业的</w:t>
      </w:r>
      <w:r>
        <w:rPr>
          <w:rFonts w:ascii="Microsoft JhengHei" w:hAnsi="Microsoft JhengHei" w:cs="Microsoft JhengHei" w:eastAsia="Microsoft JhengHei" w:hint="default"/>
          <w:b/>
          <w:bCs/>
          <w:spacing w:val="-31"/>
          <w:sz w:val="24"/>
          <w:szCs w:val="24"/>
        </w:rPr>
        <w:t> </w:t>
      </w:r>
      <w:r>
        <w:rPr>
          <w:rFonts w:ascii="Microsoft JhengHei" w:hAnsi="Microsoft JhengHei" w:cs="Microsoft JhengHei" w:eastAsia="Microsoft JhengHei" w:hint="default"/>
          <w:b/>
          <w:bCs/>
          <w:spacing w:val="-31"/>
          <w:sz w:val="24"/>
          <w:szCs w:val="24"/>
        </w:rPr>
      </w:r>
      <w:r>
        <w:rPr>
          <w:rFonts w:ascii="Microsoft JhengHei" w:hAnsi="Microsoft JhengHei" w:cs="Microsoft JhengHei" w:eastAsia="Microsoft JhengHei" w:hint="default"/>
          <w:b/>
          <w:bCs/>
          <w:sz w:val="24"/>
          <w:szCs w:val="24"/>
        </w:rPr>
        <w:t>唯一选择。</w:t>
      </w:r>
      <w:r>
        <w:rPr>
          <w:rFonts w:ascii="Microsoft JhengHei" w:hAnsi="Microsoft JhengHei" w:cs="Microsoft JhengHei" w:eastAsia="Microsoft JhengHei" w:hint="default"/>
          <w:sz w:val="24"/>
          <w:szCs w:val="24"/>
        </w:rPr>
      </w:r>
    </w:p>
    <w:p>
      <w:pPr>
        <w:spacing w:line="268" w:lineRule="auto" w:before="12"/>
        <w:ind w:left="300" w:right="192" w:firstLine="48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公司愿景：通过推进“网络化”战略，公司将发展成为“中国农业产业链核 心环节的主导者”，打造国际一流的农产品流通网络。</w:t>
      </w:r>
      <w:r>
        <w:rPr>
          <w:rFonts w:ascii="Microsoft JhengHei" w:hAnsi="Microsoft JhengHei" w:cs="Microsoft JhengHei" w:eastAsia="Microsoft JhengHei" w:hint="default"/>
          <w:sz w:val="24"/>
          <w:szCs w:val="24"/>
        </w:rPr>
      </w:r>
    </w:p>
    <w:p>
      <w:pPr>
        <w:spacing w:line="312" w:lineRule="auto" w:before="12"/>
        <w:ind w:left="780" w:right="20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四、公司新年度的经营计划</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2010年，公司将全面全力推进“网络化”发展战略。陈少群董事长在去年底</w:t>
      </w:r>
    </w:p>
    <w:p>
      <w:pPr>
        <w:pStyle w:val="BodyText"/>
        <w:spacing w:line="357" w:lineRule="auto" w:before="82"/>
        <w:ind w:right="165"/>
        <w:jc w:val="both"/>
      </w:pPr>
      <w:r>
        <w:rPr/>
        <w:t>公司2009年会上明确指出“公司‘网络化’发展战略已‘高高山顶立</w:t>
      </w:r>
      <w:r>
        <w:rPr>
          <w:spacing w:val="-36"/>
        </w:rPr>
        <w:t> </w:t>
      </w:r>
      <w:r>
        <w:rPr>
          <w:spacing w:val="-5"/>
        </w:rPr>
        <w:t>’，但再宏</w:t>
      </w:r>
      <w:r>
        <w:rPr/>
        <w:t> 大的抱负，也要‘深深海底行’，要注重细节，要‘沉底’做事，正所谓行高履 实，识大局，做小事，就能做到‘知行合一’。”公司上下在2010年将认真贯彻 并全面落实陈少群董事长的讲话精神和要求，确保“网络化”发展战略的顺利实 施。</w:t>
      </w:r>
    </w:p>
    <w:p>
      <w:pPr>
        <w:pStyle w:val="BodyText"/>
        <w:spacing w:line="357" w:lineRule="auto"/>
        <w:ind w:right="225" w:firstLine="480"/>
        <w:jc w:val="both"/>
      </w:pPr>
      <w:r>
        <w:rPr/>
        <w:t>为确保“网络化”战略的顺利实施，2010年初，已将“网络化”发展战略本 年度关键指标逐项分解到管理层、各部门、各岗位，形成KPI，其中管理层KPI已 报董事会薪酬与考核委员会审核通过。</w:t>
      </w:r>
    </w:p>
    <w:p>
      <w:pPr>
        <w:pStyle w:val="BodyText"/>
        <w:spacing w:line="357" w:lineRule="auto"/>
        <w:ind w:right="225" w:firstLine="480"/>
        <w:jc w:val="both"/>
      </w:pPr>
      <w:r>
        <w:rPr/>
        <w:t>（一）全力以赴全面深入推进网络化”战略，提升公司核心竞争力，确保公 司未来持续快速健康发展。</w:t>
      </w:r>
    </w:p>
    <w:p>
      <w:pPr>
        <w:pStyle w:val="BodyText"/>
        <w:spacing w:line="240" w:lineRule="auto"/>
        <w:ind w:left="780" w:right="92"/>
        <w:jc w:val="left"/>
      </w:pPr>
      <w:r>
        <w:rPr/>
        <w:t>1、稳步拓展公司批发市场网络体系</w:t>
      </w:r>
    </w:p>
    <w:p>
      <w:pPr>
        <w:pStyle w:val="BodyText"/>
        <w:spacing w:line="357" w:lineRule="auto" w:before="154"/>
        <w:ind w:right="165" w:firstLine="460"/>
        <w:jc w:val="both"/>
      </w:pPr>
      <w:r>
        <w:rPr>
          <w:spacing w:val="-2"/>
        </w:rPr>
        <w:t>（1）继续推进已取得实质进展的项目，完成年度拓展实体批发市场和电子交</w:t>
      </w:r>
      <w:r>
        <w:rPr/>
        <w:t> 易市场计划；</w:t>
      </w:r>
    </w:p>
    <w:p>
      <w:pPr>
        <w:pStyle w:val="BodyText"/>
        <w:spacing w:line="240" w:lineRule="auto"/>
        <w:ind w:left="780" w:right="92"/>
        <w:jc w:val="left"/>
      </w:pPr>
      <w:r>
        <w:rPr/>
        <w:t>（2）通过市场方式拓宽网络化大平台的市场网点，进一步扩大市场份额；</w:t>
      </w:r>
    </w:p>
    <w:p>
      <w:pPr>
        <w:pStyle w:val="BodyText"/>
        <w:spacing w:line="357" w:lineRule="auto" w:before="154"/>
        <w:ind w:right="165" w:firstLine="460"/>
        <w:jc w:val="both"/>
      </w:pPr>
      <w:r>
        <w:rPr>
          <w:spacing w:val="-2"/>
        </w:rPr>
        <w:t>（3）高质量完成平湖和南宁国际农产品物流园等项目的建设，使之成为农产</w:t>
      </w:r>
      <w:r>
        <w:rPr/>
        <w:t> 品批发市场旗舰，完善其建筑标准化模块，从而提升网络化大平台开发建设的综 合能力。</w:t>
      </w:r>
    </w:p>
    <w:p>
      <w:pPr>
        <w:pStyle w:val="BodyText"/>
        <w:spacing w:line="240" w:lineRule="auto"/>
        <w:ind w:left="780" w:right="92"/>
        <w:jc w:val="left"/>
      </w:pPr>
      <w:r>
        <w:rPr/>
        <w:t>2、加快电子交易平台建设进度，增强公司核心竞争力</w:t>
      </w:r>
    </w:p>
    <w:p>
      <w:pPr>
        <w:pStyle w:val="BodyText"/>
        <w:spacing w:line="357" w:lineRule="auto" w:before="154"/>
        <w:ind w:right="92" w:firstLine="420"/>
        <w:jc w:val="left"/>
      </w:pPr>
      <w:r>
        <w:rPr>
          <w:spacing w:val="-4"/>
          <w:w w:val="95"/>
        </w:rPr>
        <w:t>（1）加快电子交易品种的市场培育，加强现有电子交易品种资源整合的力度</w:t>
      </w:r>
      <w:r>
        <w:rPr>
          <w:spacing w:val="102"/>
          <w:w w:val="95"/>
        </w:rPr>
        <w:t> </w:t>
      </w:r>
      <w:r>
        <w:rPr>
          <w:w w:val="95"/>
        </w:rPr>
        <w:t>，</w:t>
      </w:r>
      <w:r>
        <w:rPr>
          <w:w w:val="75"/>
        </w:rPr>
        <w:t> </w:t>
      </w:r>
      <w:r>
        <w:rPr/>
        <w:t>发挥客户、结算、配送等资源的协同效应。</w:t>
      </w:r>
    </w:p>
    <w:p>
      <w:pPr>
        <w:pStyle w:val="BodyText"/>
        <w:spacing w:line="357" w:lineRule="auto"/>
        <w:ind w:left="780" w:right="154"/>
        <w:jc w:val="left"/>
      </w:pPr>
      <w:r>
        <w:rPr/>
        <w:t>（2）探索建立多品种生鲜类综合交易服务平台。 </w:t>
      </w:r>
      <w:r>
        <w:rPr>
          <w:spacing w:val="-2"/>
        </w:rPr>
        <w:t>3、继续大力推进各项网络化战略基础工作，实现公司网络化经营能力的实质</w:t>
      </w:r>
    </w:p>
    <w:p>
      <w:pPr>
        <w:pStyle w:val="BodyText"/>
        <w:spacing w:line="240" w:lineRule="auto"/>
        <w:ind w:right="0"/>
        <w:jc w:val="both"/>
      </w:pPr>
      <w:r>
        <w:rPr/>
        <w:t>性提升</w:t>
      </w:r>
    </w:p>
    <w:p>
      <w:pPr>
        <w:spacing w:after="0" w:line="240" w:lineRule="auto"/>
        <w:jc w:val="both"/>
        <w:sectPr>
          <w:headerReference w:type="default" r:id="rId87"/>
          <w:footerReference w:type="default" r:id="rId88"/>
          <w:pgSz w:w="11910" w:h="16840"/>
          <w:pgMar w:header="0" w:footer="1095" w:top="1040" w:bottom="1280" w:left="1680" w:right="1300"/>
          <w:pgNumType w:start="47"/>
        </w:sectPr>
      </w:pPr>
    </w:p>
    <w:p>
      <w:pPr>
        <w:pStyle w:val="BodyText"/>
        <w:spacing w:line="310" w:lineRule="exact" w:before="0"/>
        <w:ind w:left="780" w:right="1110"/>
        <w:jc w:val="left"/>
      </w:pPr>
      <w:r>
        <w:rPr/>
        <w:t>（1）尽快完成信息平台的搭建。</w:t>
      </w:r>
    </w:p>
    <w:p>
      <w:pPr>
        <w:pStyle w:val="BodyText"/>
        <w:spacing w:line="357" w:lineRule="auto" w:before="154"/>
        <w:ind w:right="90" w:firstLine="460"/>
        <w:jc w:val="left"/>
      </w:pPr>
      <w:r>
        <w:rPr>
          <w:spacing w:val="-2"/>
        </w:rPr>
        <w:t>（2）加快推进电子结算的实施进度：各市场要在稳定现有品种的前提下增加</w:t>
      </w:r>
      <w:r>
        <w:rPr/>
        <w:t> 新品种。</w:t>
      </w:r>
    </w:p>
    <w:p>
      <w:pPr>
        <w:pStyle w:val="BodyText"/>
        <w:spacing w:line="240" w:lineRule="auto"/>
        <w:ind w:left="780" w:right="1110"/>
        <w:jc w:val="left"/>
      </w:pPr>
      <w:r>
        <w:rPr/>
        <w:t>（3）完善客服中心业务整合，提升服务的内容和水平。</w:t>
      </w:r>
    </w:p>
    <w:p>
      <w:pPr>
        <w:pStyle w:val="BodyText"/>
        <w:spacing w:line="357" w:lineRule="auto" w:before="154"/>
        <w:ind w:right="90" w:firstLine="465"/>
        <w:jc w:val="left"/>
      </w:pPr>
      <w:r>
        <w:rPr>
          <w:spacing w:val="-2"/>
        </w:rPr>
        <w:t>（4）不断完善商品市场准入备案系统，理顺日常备案工作的管理构架，并实</w:t>
      </w:r>
      <w:r>
        <w:rPr/>
        <w:t> 现统计分析等管理功能。</w:t>
      </w:r>
    </w:p>
    <w:p>
      <w:pPr>
        <w:pStyle w:val="BodyText"/>
        <w:spacing w:line="357" w:lineRule="auto"/>
        <w:ind w:left="780" w:right="94"/>
        <w:jc w:val="left"/>
      </w:pPr>
      <w:r>
        <w:rPr/>
        <w:t>（二）进一步提升公司经营和管理能力，为“网络化”战略提供组织保证。 </w:t>
      </w:r>
      <w:r>
        <w:rPr>
          <w:spacing w:val="-2"/>
        </w:rPr>
        <w:t>1、为实现“网络化”战略目标，公司须大力提高网络经营及整合能力、资源</w:t>
      </w:r>
    </w:p>
    <w:p>
      <w:pPr>
        <w:pStyle w:val="BodyText"/>
        <w:spacing w:line="357" w:lineRule="auto"/>
        <w:ind w:left="780" w:right="94" w:hanging="480"/>
        <w:jc w:val="left"/>
      </w:pPr>
      <w:r>
        <w:rPr/>
        <w:t>开发能力、以及规范化管理能力。 </w:t>
      </w:r>
      <w:r>
        <w:rPr>
          <w:spacing w:val="-2"/>
        </w:rPr>
        <w:t>2、整合提升风险管理和内部控制水平，公司将聘请外部专业内控咨询机构进</w:t>
      </w:r>
    </w:p>
    <w:p>
      <w:pPr>
        <w:pStyle w:val="BodyText"/>
        <w:spacing w:line="357" w:lineRule="auto"/>
        <w:ind w:left="780" w:right="94" w:hanging="480"/>
        <w:jc w:val="left"/>
      </w:pPr>
      <w:r>
        <w:rPr/>
        <w:t>行流程再造，组建公司内部风险管控专业团队。 </w:t>
      </w:r>
      <w:r>
        <w:rPr>
          <w:spacing w:val="-2"/>
        </w:rPr>
        <w:t>3、加强财务会计基础建设、预算管理、成本管理和金融创新。建立集团管控</w:t>
      </w:r>
    </w:p>
    <w:p>
      <w:pPr>
        <w:pStyle w:val="BodyText"/>
        <w:spacing w:line="357" w:lineRule="auto"/>
        <w:ind w:left="780" w:right="94" w:hanging="480"/>
        <w:jc w:val="left"/>
      </w:pPr>
      <w:r>
        <w:rPr/>
        <w:t>型财务系统，使业务系统和财务系统实现无缝链接。。 </w:t>
      </w:r>
      <w:r>
        <w:rPr>
          <w:spacing w:val="-2"/>
        </w:rPr>
        <w:t>4、进一步强化人力资源管理和培训体系，初步建立分业务、分岗位、分项目</w:t>
      </w:r>
    </w:p>
    <w:p>
      <w:pPr>
        <w:pStyle w:val="BodyText"/>
        <w:spacing w:line="357" w:lineRule="auto"/>
        <w:ind w:left="0" w:right="101"/>
        <w:jc w:val="right"/>
      </w:pPr>
      <w:r>
        <w:rPr>
          <w:spacing w:val="-2"/>
          <w:w w:val="95"/>
        </w:rPr>
        <w:t>和分层级的全面系统化的培训体系，为“网络化”战略提供源源不断的合适人才。</w:t>
      </w:r>
      <w:r>
        <w:rPr>
          <w:spacing w:val="90"/>
          <w:w w:val="95"/>
        </w:rPr>
        <w:t> </w:t>
      </w:r>
      <w:r>
        <w:rPr>
          <w:spacing w:val="90"/>
          <w:w w:val="95"/>
        </w:rPr>
      </w:r>
      <w:r>
        <w:rPr>
          <w:spacing w:val="-2"/>
        </w:rPr>
        <w:t>5、倡导快速响应文化，强化“共赢”、“服务”、“服从”理念，从思想上</w:t>
      </w:r>
      <w:r>
        <w:rPr/>
        <w:t> 高度统一到“网络化”战略中来。继续推进以人为本的企业文化体系建设工作， 跟踪督促提高员工幸福指数整改方案的落实，继续加强对职工的服务，落实外派</w:t>
      </w:r>
    </w:p>
    <w:p>
      <w:pPr>
        <w:pStyle w:val="BodyText"/>
        <w:spacing w:line="240" w:lineRule="auto"/>
        <w:ind w:right="1110"/>
        <w:jc w:val="left"/>
      </w:pPr>
      <w:r>
        <w:rPr/>
        <w:t>员工关怀计划，启动阳光志愿者团队，为员工解决实际问题。</w:t>
      </w:r>
    </w:p>
    <w:p>
      <w:pPr>
        <w:spacing w:line="268" w:lineRule="auto" w:before="154"/>
        <w:ind w:left="731" w:right="90" w:firstLine="4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五、公司的风险应对措施 </w:t>
      </w:r>
      <w:r>
        <w:rPr>
          <w:rFonts w:ascii="宋体" w:hAnsi="宋体" w:cs="宋体" w:eastAsia="宋体" w:hint="default"/>
          <w:spacing w:val="-1"/>
          <w:sz w:val="24"/>
          <w:szCs w:val="24"/>
        </w:rPr>
        <w:t>1、对于行业竞争风险：网络化经营是我们对抗行业竞争的关键，要仍然坚定</w:t>
      </w:r>
    </w:p>
    <w:p>
      <w:pPr>
        <w:pStyle w:val="BodyText"/>
        <w:spacing w:line="357" w:lineRule="auto" w:before="125"/>
        <w:ind w:left="731" w:right="91" w:hanging="432"/>
        <w:jc w:val="left"/>
      </w:pPr>
      <w:r>
        <w:rPr/>
        <w:t>不移地加快网络化战略的实施步伐。 </w:t>
      </w:r>
      <w:r>
        <w:rPr>
          <w:spacing w:val="-3"/>
        </w:rPr>
        <w:t>2、对于经营风险：积极进行管理模式创新，运用</w:t>
      </w:r>
      <w:r>
        <w:rPr>
          <w:spacing w:val="-70"/>
        </w:rPr>
        <w:t> </w:t>
      </w:r>
      <w:r>
        <w:rPr/>
        <w:t>KPI、EVA、项目化管理和风</w:t>
      </w:r>
    </w:p>
    <w:p>
      <w:pPr>
        <w:pStyle w:val="BodyText"/>
        <w:spacing w:line="357" w:lineRule="auto"/>
        <w:ind w:left="731" w:right="90" w:hanging="432"/>
        <w:jc w:val="left"/>
      </w:pPr>
      <w:r>
        <w:rPr/>
        <w:t>险控制等管理工具提升经营管理水平，规范运作，有效控制经营及财务风险。 </w:t>
      </w:r>
      <w:r>
        <w:rPr>
          <w:spacing w:val="-1"/>
        </w:rPr>
        <w:t>3、对于批发市场食品安全隐患：推行食品安全可追溯系统，加大推行商品备</w:t>
      </w:r>
    </w:p>
    <w:p>
      <w:pPr>
        <w:spacing w:line="283" w:lineRule="auto" w:before="36"/>
        <w:ind w:left="780" w:right="374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案力度，切实保障农产品流通环节食品安全。 </w:t>
      </w:r>
      <w:bookmarkStart w:name="第四节对外投资情况" w:id="17"/>
      <w:bookmarkEnd w:id="17"/>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第四节 对外投资情况 一、报告期内，募集资金运用情况</w:t>
      </w:r>
      <w:r>
        <w:rPr>
          <w:rFonts w:ascii="Microsoft JhengHei" w:hAnsi="Microsoft JhengHei" w:cs="Microsoft JhengHei" w:eastAsia="Microsoft JhengHei" w:hint="default"/>
          <w:sz w:val="24"/>
          <w:szCs w:val="24"/>
        </w:rPr>
      </w:r>
    </w:p>
    <w:p>
      <w:pPr>
        <w:pStyle w:val="BodyText"/>
        <w:spacing w:line="357" w:lineRule="auto" w:before="69"/>
        <w:ind w:left="780" w:right="90"/>
        <w:jc w:val="left"/>
      </w:pPr>
      <w:r>
        <w:rPr/>
        <w:t>（一）前次募集资金的数额、资金到账时间以及在专户账户中的存放情况 根据本公司2007年10月10日第五届董事会第八次会议和2007第四次临时股东</w:t>
      </w:r>
    </w:p>
    <w:p>
      <w:pPr>
        <w:pStyle w:val="BodyText"/>
        <w:spacing w:line="240" w:lineRule="auto"/>
        <w:ind w:right="0"/>
        <w:jc w:val="left"/>
      </w:pPr>
      <w:r>
        <w:rPr/>
        <w:t>大会审议，同意本公司向深圳市远致投资有限公司等6家特定机构投资者非公开发</w:t>
      </w:r>
    </w:p>
    <w:p>
      <w:pPr>
        <w:spacing w:after="0" w:line="240" w:lineRule="auto"/>
        <w:jc w:val="left"/>
        <w:sectPr>
          <w:headerReference w:type="default" r:id="rId89"/>
          <w:footerReference w:type="default" r:id="rId90"/>
          <w:pgSz w:w="11910" w:h="16840"/>
          <w:pgMar w:header="0" w:footer="1095" w:top="1040" w:bottom="1280" w:left="1680" w:right="1360"/>
          <w:pgNumType w:start="48"/>
        </w:sectPr>
      </w:pPr>
    </w:p>
    <w:p>
      <w:pPr>
        <w:pStyle w:val="BodyText"/>
        <w:spacing w:line="357" w:lineRule="auto" w:before="0"/>
        <w:ind w:left="540" w:right="545"/>
        <w:jc w:val="both"/>
      </w:pPr>
      <w:r>
        <w:rPr/>
        <w:t>行9,200万股人民币普通股股票，每股面值1元，发行价为人民币18.03元/股。本</w:t>
      </w:r>
      <w:r>
        <w:rPr>
          <w:spacing w:val="-95"/>
        </w:rPr>
        <w:t> </w:t>
      </w:r>
      <w:r>
        <w:rPr>
          <w:spacing w:val="-95"/>
        </w:rPr>
      </w:r>
      <w:r>
        <w:rPr/>
        <w:t>次非公开发行于2008年4月9日获得中国证券监督管理委员会《关于核准深圳市农</w:t>
      </w:r>
      <w:r>
        <w:rPr>
          <w:spacing w:val="-93"/>
        </w:rPr>
        <w:t> </w:t>
      </w:r>
      <w:r>
        <w:rPr>
          <w:spacing w:val="-93"/>
        </w:rPr>
      </w:r>
      <w:r>
        <w:rPr>
          <w:spacing w:val="-3"/>
        </w:rPr>
        <w:t>产品股份有限公司非公开发行股票的批复》（证监许可［2008］512号）核准，同</w:t>
      </w:r>
      <w:r>
        <w:rPr>
          <w:spacing w:val="-99"/>
        </w:rPr>
        <w:t> </w:t>
      </w:r>
      <w:r>
        <w:rPr>
          <w:spacing w:val="-99"/>
        </w:rPr>
      </w:r>
      <w:r>
        <w:rPr/>
        <w:t>意本公司非公开发行新股不超过9,200万股，本次实际发行6,440万股。截至2008</w:t>
      </w:r>
      <w:r>
        <w:rPr>
          <w:spacing w:val="-71"/>
        </w:rPr>
        <w:t> </w:t>
      </w:r>
      <w:r>
        <w:rPr>
          <w:spacing w:val="-71"/>
        </w:rPr>
      </w:r>
      <w:r>
        <w:rPr/>
        <w:t>年6</w:t>
      </w:r>
      <w:r>
        <w:rPr>
          <w:spacing w:val="37"/>
        </w:rPr>
        <w:t> </w:t>
      </w:r>
      <w:r>
        <w:rPr/>
        <w:t>月19日，本公司收到募集资金总额1,161,132,000.00元，扣除发行费用后的</w:t>
      </w:r>
      <w:r>
        <w:rPr>
          <w:spacing w:val="-114"/>
        </w:rPr>
        <w:t> </w:t>
      </w:r>
      <w:r>
        <w:rPr>
          <w:spacing w:val="-114"/>
        </w:rPr>
      </w:r>
      <w:r>
        <w:rPr/>
        <w:t>募集资金净额为1,135,017,758.70元。深圳南方民和会计师事务所有限责任公司</w:t>
      </w:r>
      <w:r>
        <w:rPr>
          <w:spacing w:val="-75"/>
        </w:rPr>
        <w:t> </w:t>
      </w:r>
      <w:r>
        <w:rPr>
          <w:spacing w:val="-75"/>
        </w:rPr>
      </w:r>
      <w:r>
        <w:rPr/>
        <w:t>进行了验资并出具了深南验字[2008]第123号验资报告。</w:t>
      </w:r>
    </w:p>
    <w:p>
      <w:pPr>
        <w:spacing w:line="240" w:lineRule="auto" w:before="6"/>
        <w:rPr>
          <w:rFonts w:ascii="宋体" w:hAnsi="宋体" w:cs="宋体" w:eastAsia="宋体" w:hint="default"/>
          <w:sz w:val="5"/>
          <w:szCs w:val="5"/>
        </w:rPr>
      </w:pPr>
    </w:p>
    <w:tbl>
      <w:tblPr>
        <w:tblW w:w="0" w:type="auto"/>
        <w:jc w:val="left"/>
        <w:tblInd w:w="427" w:type="dxa"/>
        <w:tblLayout w:type="fixed"/>
        <w:tblCellMar>
          <w:top w:w="0" w:type="dxa"/>
          <w:left w:w="0" w:type="dxa"/>
          <w:bottom w:w="0" w:type="dxa"/>
          <w:right w:w="0" w:type="dxa"/>
        </w:tblCellMar>
        <w:tblLook w:val="01E0"/>
      </w:tblPr>
      <w:tblGrid>
        <w:gridCol w:w="2628"/>
        <w:gridCol w:w="2340"/>
        <w:gridCol w:w="1980"/>
        <w:gridCol w:w="1800"/>
      </w:tblGrid>
      <w:tr>
        <w:trPr>
          <w:trHeight w:val="451"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right="0"/>
              <w:jc w:val="center"/>
              <w:rPr>
                <w:rFonts w:ascii="宋体" w:hAnsi="宋体" w:cs="宋体" w:eastAsia="宋体" w:hint="default"/>
                <w:sz w:val="20"/>
                <w:szCs w:val="20"/>
              </w:rPr>
            </w:pPr>
            <w:r>
              <w:rPr>
                <w:rFonts w:ascii="宋体" w:hAnsi="宋体" w:cs="宋体" w:eastAsia="宋体" w:hint="default"/>
                <w:sz w:val="20"/>
                <w:szCs w:val="20"/>
              </w:rPr>
              <w:t>募集资金存放银行</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right="0"/>
              <w:jc w:val="center"/>
              <w:rPr>
                <w:rFonts w:ascii="宋体" w:hAnsi="宋体" w:cs="宋体" w:eastAsia="宋体" w:hint="default"/>
                <w:sz w:val="20"/>
                <w:szCs w:val="20"/>
              </w:rPr>
            </w:pPr>
            <w:r>
              <w:rPr>
                <w:rFonts w:ascii="宋体" w:hAnsi="宋体" w:cs="宋体" w:eastAsia="宋体" w:hint="default"/>
                <w:sz w:val="20"/>
                <w:szCs w:val="20"/>
              </w:rPr>
              <w:t>银行账号</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left="98" w:right="0"/>
              <w:jc w:val="center"/>
              <w:rPr>
                <w:rFonts w:ascii="宋体" w:hAnsi="宋体" w:cs="宋体" w:eastAsia="宋体" w:hint="default"/>
                <w:sz w:val="20"/>
                <w:szCs w:val="20"/>
              </w:rPr>
            </w:pPr>
            <w:r>
              <w:rPr>
                <w:rFonts w:ascii="宋体" w:hAnsi="宋体" w:cs="宋体" w:eastAsia="宋体" w:hint="default"/>
                <w:sz w:val="20"/>
                <w:szCs w:val="20"/>
              </w:rPr>
              <w:t>初始存放金额</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right="2"/>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449"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right="7"/>
              <w:jc w:val="center"/>
              <w:rPr>
                <w:rFonts w:ascii="宋体" w:hAnsi="宋体" w:cs="宋体" w:eastAsia="宋体" w:hint="default"/>
                <w:sz w:val="20"/>
                <w:szCs w:val="20"/>
              </w:rPr>
            </w:pPr>
            <w:r>
              <w:rPr>
                <w:rFonts w:ascii="宋体" w:hAnsi="宋体" w:cs="宋体" w:eastAsia="宋体" w:hint="default"/>
                <w:sz w:val="20"/>
                <w:szCs w:val="20"/>
              </w:rPr>
              <w:t>中国建设银行深圳市分行</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Garamond" w:hAnsi="Garamond" w:cs="Garamond" w:eastAsia="Garamond" w:hint="default"/>
                <w:sz w:val="20"/>
                <w:szCs w:val="20"/>
              </w:rPr>
            </w:pPr>
            <w:r>
              <w:rPr>
                <w:rFonts w:ascii="Garamond"/>
                <w:sz w:val="20"/>
              </w:rPr>
              <w:t>44201566400059000720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2"/>
              <w:jc w:val="center"/>
              <w:rPr>
                <w:rFonts w:ascii="Garamond" w:hAnsi="Garamond" w:cs="Garamond" w:eastAsia="Garamond" w:hint="default"/>
                <w:sz w:val="20"/>
                <w:szCs w:val="20"/>
              </w:rPr>
            </w:pPr>
            <w:r>
              <w:rPr>
                <w:rFonts w:ascii="Garamond"/>
                <w:spacing w:val="10"/>
                <w:sz w:val="20"/>
              </w:rPr>
              <w:t>1,135,017,758.70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10"/>
              <w:jc w:val="center"/>
              <w:rPr>
                <w:rFonts w:ascii="Garamond" w:hAnsi="Garamond" w:cs="Garamond" w:eastAsia="Garamond" w:hint="default"/>
                <w:sz w:val="20"/>
                <w:szCs w:val="20"/>
              </w:rPr>
            </w:pPr>
            <w:r>
              <w:rPr>
                <w:rFonts w:ascii="Garamond"/>
                <w:sz w:val="20"/>
              </w:rPr>
              <w:t>998,637,631.64</w:t>
            </w:r>
          </w:p>
        </w:tc>
      </w:tr>
    </w:tbl>
    <w:p>
      <w:pPr>
        <w:spacing w:line="240" w:lineRule="auto" w:before="11"/>
        <w:rPr>
          <w:rFonts w:ascii="宋体" w:hAnsi="宋体" w:cs="宋体" w:eastAsia="宋体" w:hint="default"/>
          <w:sz w:val="24"/>
          <w:szCs w:val="24"/>
        </w:rPr>
      </w:pPr>
    </w:p>
    <w:p>
      <w:pPr>
        <w:spacing w:line="316" w:lineRule="auto" w:before="0"/>
        <w:ind w:left="540" w:right="569" w:firstLine="408"/>
        <w:jc w:val="both"/>
        <w:rPr>
          <w:rFonts w:ascii="宋体" w:hAnsi="宋体" w:cs="宋体" w:eastAsia="宋体" w:hint="default"/>
          <w:sz w:val="18"/>
          <w:szCs w:val="18"/>
        </w:rPr>
      </w:pPr>
      <w:r>
        <w:rPr>
          <w:rFonts w:ascii="宋体" w:hAnsi="宋体" w:cs="宋体" w:eastAsia="宋体" w:hint="default"/>
          <w:spacing w:val="9"/>
          <w:sz w:val="18"/>
          <w:szCs w:val="18"/>
        </w:rPr>
        <w:t>说明</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9"/>
          <w:sz w:val="18"/>
          <w:szCs w:val="18"/>
        </w:rPr>
        <w:t>募集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存</w:t>
      </w:r>
      <w:r>
        <w:rPr>
          <w:rFonts w:ascii="宋体" w:hAnsi="宋体" w:cs="宋体" w:eastAsia="宋体" w:hint="default"/>
          <w:spacing w:val="-66"/>
          <w:sz w:val="18"/>
          <w:szCs w:val="18"/>
        </w:rPr>
        <w:t> </w:t>
      </w:r>
      <w:r>
        <w:rPr>
          <w:rFonts w:ascii="宋体" w:hAnsi="宋体" w:cs="宋体" w:eastAsia="宋体" w:hint="default"/>
          <w:sz w:val="18"/>
          <w:szCs w:val="18"/>
        </w:rPr>
        <w:t>储</w:t>
      </w:r>
      <w:r>
        <w:rPr>
          <w:rFonts w:ascii="宋体" w:hAnsi="宋体" w:cs="宋体" w:eastAsia="宋体" w:hint="default"/>
          <w:spacing w:val="-66"/>
          <w:sz w:val="18"/>
          <w:szCs w:val="18"/>
        </w:rPr>
        <w:t> </w:t>
      </w:r>
      <w:r>
        <w:rPr>
          <w:rFonts w:ascii="宋体" w:hAnsi="宋体" w:cs="宋体" w:eastAsia="宋体" w:hint="default"/>
          <w:sz w:val="18"/>
          <w:szCs w:val="18"/>
        </w:rPr>
        <w:t>专</w:t>
      </w:r>
      <w:r>
        <w:rPr>
          <w:rFonts w:ascii="宋体" w:hAnsi="宋体" w:cs="宋体" w:eastAsia="宋体" w:hint="default"/>
          <w:spacing w:val="-66"/>
          <w:sz w:val="18"/>
          <w:szCs w:val="18"/>
        </w:rPr>
        <w:t> </w:t>
      </w:r>
      <w:r>
        <w:rPr>
          <w:rFonts w:ascii="宋体" w:hAnsi="宋体" w:cs="宋体" w:eastAsia="宋体" w:hint="default"/>
          <w:sz w:val="18"/>
          <w:szCs w:val="18"/>
        </w:rPr>
        <w:t>户</w:t>
      </w:r>
      <w:r>
        <w:rPr>
          <w:rFonts w:ascii="宋体" w:hAnsi="宋体" w:cs="宋体" w:eastAsia="宋体" w:hint="default"/>
          <w:spacing w:val="-66"/>
          <w:sz w:val="18"/>
          <w:szCs w:val="18"/>
        </w:rPr>
        <w:t> </w:t>
      </w:r>
      <w:r>
        <w:rPr>
          <w:rFonts w:ascii="宋体" w:hAnsi="宋体" w:cs="宋体" w:eastAsia="宋体" w:hint="default"/>
          <w:sz w:val="18"/>
          <w:szCs w:val="18"/>
        </w:rPr>
        <w:t>截</w:t>
      </w:r>
      <w:r>
        <w:rPr>
          <w:rFonts w:ascii="宋体" w:hAnsi="宋体" w:cs="宋体" w:eastAsia="宋体" w:hint="default"/>
          <w:spacing w:val="-66"/>
          <w:sz w:val="18"/>
          <w:szCs w:val="18"/>
        </w:rPr>
        <w:t> </w:t>
      </w:r>
      <w:r>
        <w:rPr>
          <w:rFonts w:ascii="宋体" w:hAnsi="宋体" w:cs="宋体" w:eastAsia="宋体" w:hint="default"/>
          <w:sz w:val="18"/>
          <w:szCs w:val="18"/>
        </w:rPr>
        <w:t>至</w:t>
      </w:r>
      <w:r>
        <w:rPr>
          <w:rFonts w:ascii="宋体" w:hAnsi="宋体" w:cs="宋体" w:eastAsia="宋体" w:hint="default"/>
          <w:spacing w:val="-11"/>
          <w:sz w:val="18"/>
          <w:szCs w:val="18"/>
        </w:rPr>
        <w:t> </w:t>
      </w:r>
      <w:r>
        <w:rPr>
          <w:rFonts w:ascii="宋体" w:hAnsi="宋体" w:cs="宋体" w:eastAsia="宋体" w:hint="default"/>
          <w:spacing w:val="7"/>
          <w:sz w:val="18"/>
          <w:szCs w:val="18"/>
        </w:rPr>
        <w:t>2009</w:t>
      </w:r>
      <w:r>
        <w:rPr>
          <w:rFonts w:ascii="宋体" w:hAnsi="宋体" w:cs="宋体" w:eastAsia="宋体"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14"/>
          <w:sz w:val="18"/>
          <w:szCs w:val="18"/>
        </w:rPr>
        <w:t> </w:t>
      </w:r>
      <w:r>
        <w:rPr>
          <w:rFonts w:ascii="宋体" w:hAnsi="宋体" w:cs="宋体" w:eastAsia="宋体" w:hint="default"/>
          <w:spacing w:val="4"/>
          <w:sz w:val="18"/>
          <w:szCs w:val="18"/>
        </w:rPr>
        <w:t>12</w:t>
      </w:r>
      <w:r>
        <w:rPr>
          <w:rFonts w:ascii="宋体" w:hAnsi="宋体" w:cs="宋体" w:eastAsia="宋体"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宋体" w:hAnsi="宋体" w:cs="宋体" w:eastAsia="宋体" w:hint="default"/>
          <w:spacing w:val="4"/>
          <w:sz w:val="18"/>
          <w:szCs w:val="18"/>
        </w:rPr>
        <w:t>31</w:t>
      </w:r>
      <w:r>
        <w:rPr>
          <w:rFonts w:ascii="宋体" w:hAnsi="宋体" w:cs="宋体" w:eastAsia="宋体" w:hint="default"/>
          <w:spacing w:val="-24"/>
          <w:sz w:val="18"/>
          <w:szCs w:val="18"/>
        </w:rPr>
        <w:t> </w:t>
      </w:r>
      <w:r>
        <w:rPr>
          <w:rFonts w:ascii="宋体" w:hAnsi="宋体" w:cs="宋体" w:eastAsia="宋体" w:hint="default"/>
          <w:spacing w:val="9"/>
          <w:sz w:val="18"/>
          <w:szCs w:val="18"/>
        </w:rPr>
        <w:t>日余</w:t>
      </w:r>
      <w:r>
        <w:rPr>
          <w:rFonts w:ascii="宋体" w:hAnsi="宋体" w:cs="宋体" w:eastAsia="宋体" w:hint="default"/>
          <w:spacing w:val="-66"/>
          <w:sz w:val="18"/>
          <w:szCs w:val="18"/>
        </w:rPr>
        <w:t> </w:t>
      </w:r>
      <w:r>
        <w:rPr>
          <w:rFonts w:ascii="宋体" w:hAnsi="宋体" w:cs="宋体" w:eastAsia="宋体" w:hint="default"/>
          <w:sz w:val="18"/>
          <w:szCs w:val="18"/>
        </w:rPr>
        <w:t>额</w:t>
      </w:r>
      <w:r>
        <w:rPr>
          <w:rFonts w:ascii="宋体" w:hAnsi="宋体" w:cs="宋体" w:eastAsia="宋体" w:hint="default"/>
          <w:spacing w:val="-66"/>
          <w:sz w:val="18"/>
          <w:szCs w:val="18"/>
        </w:rPr>
        <w:t> </w:t>
      </w:r>
      <w:r>
        <w:rPr>
          <w:rFonts w:ascii="宋体" w:hAnsi="宋体" w:cs="宋体" w:eastAsia="宋体" w:hint="default"/>
          <w:sz w:val="18"/>
          <w:szCs w:val="18"/>
        </w:rPr>
        <w:t>与</w:t>
      </w:r>
      <w:r>
        <w:rPr>
          <w:rFonts w:ascii="宋体" w:hAnsi="宋体" w:cs="宋体" w:eastAsia="宋体" w:hint="default"/>
          <w:spacing w:val="-66"/>
          <w:sz w:val="18"/>
          <w:szCs w:val="18"/>
        </w:rPr>
        <w:t> </w:t>
      </w:r>
      <w:r>
        <w:rPr>
          <w:rFonts w:ascii="宋体" w:hAnsi="宋体" w:cs="宋体" w:eastAsia="宋体" w:hint="default"/>
          <w:sz w:val="18"/>
          <w:szCs w:val="18"/>
        </w:rPr>
        <w:t>待</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入</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额</w:t>
      </w:r>
      <w:r>
        <w:rPr>
          <w:rFonts w:ascii="宋体" w:hAnsi="宋体" w:cs="宋体" w:eastAsia="宋体" w:hint="default"/>
          <w:spacing w:val="-66"/>
          <w:sz w:val="18"/>
          <w:szCs w:val="18"/>
        </w:rPr>
        <w:t> </w:t>
      </w:r>
      <w:r>
        <w:rPr>
          <w:rFonts w:ascii="宋体" w:hAnsi="宋体" w:cs="宋体" w:eastAsia="宋体" w:hint="default"/>
          <w:sz w:val="18"/>
          <w:szCs w:val="18"/>
        </w:rPr>
        <w:t>存</w:t>
      </w:r>
      <w:r>
        <w:rPr>
          <w:rFonts w:ascii="宋体" w:hAnsi="宋体" w:cs="宋体" w:eastAsia="宋体" w:hint="default"/>
          <w:spacing w:val="-66"/>
          <w:sz w:val="18"/>
          <w:szCs w:val="18"/>
        </w:rPr>
        <w:t> </w:t>
      </w:r>
      <w:r>
        <w:rPr>
          <w:rFonts w:ascii="宋体" w:hAnsi="宋体" w:cs="宋体" w:eastAsia="宋体" w:hint="default"/>
          <w:sz w:val="18"/>
          <w:szCs w:val="18"/>
        </w:rPr>
        <w:t>在</w:t>
      </w:r>
      <w:r>
        <w:rPr>
          <w:rFonts w:ascii="宋体" w:hAnsi="宋体" w:cs="宋体" w:eastAsia="宋体" w:hint="default"/>
          <w:spacing w:val="-66"/>
          <w:sz w:val="18"/>
          <w:szCs w:val="18"/>
        </w:rPr>
        <w:t> </w:t>
      </w:r>
      <w:r>
        <w:rPr>
          <w:rFonts w:ascii="宋体" w:hAnsi="宋体" w:cs="宋体" w:eastAsia="宋体" w:hint="default"/>
          <w:sz w:val="18"/>
          <w:szCs w:val="18"/>
        </w:rPr>
        <w:t>差</w:t>
      </w:r>
      <w:r>
        <w:rPr>
          <w:rFonts w:ascii="宋体" w:hAnsi="宋体" w:cs="宋体" w:eastAsia="宋体" w:hint="default"/>
          <w:spacing w:val="-66"/>
          <w:sz w:val="18"/>
          <w:szCs w:val="18"/>
        </w:rPr>
        <w:t> </w:t>
      </w:r>
      <w:r>
        <w:rPr>
          <w:rFonts w:ascii="宋体" w:hAnsi="宋体" w:cs="宋体" w:eastAsia="宋体" w:hint="default"/>
          <w:sz w:val="18"/>
          <w:szCs w:val="18"/>
        </w:rPr>
        <w:t>异</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0"/>
          <w:sz w:val="18"/>
          <w:szCs w:val="18"/>
        </w:rPr>
        <w:t>主要</w:t>
      </w:r>
      <w:r>
        <w:rPr>
          <w:rFonts w:ascii="宋体" w:hAnsi="宋体" w:cs="宋体" w:eastAsia="宋体" w:hint="default"/>
          <w:spacing w:val="-66"/>
          <w:sz w:val="18"/>
          <w:szCs w:val="18"/>
        </w:rPr>
        <w:t> </w:t>
      </w:r>
      <w:r>
        <w:rPr>
          <w:rFonts w:ascii="宋体" w:hAnsi="宋体" w:cs="宋体" w:eastAsia="宋体" w:hint="default"/>
          <w:sz w:val="18"/>
          <w:szCs w:val="18"/>
        </w:rPr>
        <w:t>原</w:t>
      </w:r>
      <w:r>
        <w:rPr>
          <w:rFonts w:ascii="宋体" w:hAnsi="宋体" w:cs="宋体" w:eastAsia="宋体" w:hint="default"/>
          <w:spacing w:val="-66"/>
          <w:sz w:val="18"/>
          <w:szCs w:val="18"/>
        </w:rPr>
        <w:t> </w:t>
      </w:r>
      <w:r>
        <w:rPr>
          <w:rFonts w:ascii="宋体" w:hAnsi="宋体" w:cs="宋体" w:eastAsia="宋体" w:hint="default"/>
          <w:sz w:val="18"/>
          <w:szCs w:val="18"/>
        </w:rPr>
        <w:t>因</w:t>
      </w:r>
      <w:r>
        <w:rPr>
          <w:rFonts w:ascii="宋体" w:hAnsi="宋体" w:cs="宋体" w:eastAsia="宋体" w:hint="default"/>
          <w:spacing w:val="-59"/>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宋体" w:hAnsi="宋体" w:cs="宋体" w:eastAsia="宋体" w:hint="default"/>
          <w:spacing w:val="9"/>
          <w:sz w:val="18"/>
          <w:szCs w:val="18"/>
        </w:rPr>
        <w:t>募集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存</w:t>
      </w:r>
      <w:r>
        <w:rPr>
          <w:rFonts w:ascii="宋体" w:hAnsi="宋体" w:cs="宋体" w:eastAsia="宋体" w:hint="default"/>
          <w:spacing w:val="-66"/>
          <w:sz w:val="18"/>
          <w:szCs w:val="18"/>
        </w:rPr>
        <w:t> </w:t>
      </w:r>
      <w:r>
        <w:rPr>
          <w:rFonts w:ascii="宋体" w:hAnsi="宋体" w:cs="宋体" w:eastAsia="宋体" w:hint="default"/>
          <w:sz w:val="18"/>
          <w:szCs w:val="18"/>
        </w:rPr>
        <w:t>储</w:t>
      </w:r>
      <w:r>
        <w:rPr>
          <w:rFonts w:ascii="宋体" w:hAnsi="宋体" w:cs="宋体" w:eastAsia="宋体" w:hint="default"/>
          <w:spacing w:val="-66"/>
          <w:sz w:val="18"/>
          <w:szCs w:val="18"/>
        </w:rPr>
        <w:t> </w:t>
      </w:r>
      <w:r>
        <w:rPr>
          <w:rFonts w:ascii="宋体" w:hAnsi="宋体" w:cs="宋体" w:eastAsia="宋体" w:hint="default"/>
          <w:sz w:val="18"/>
          <w:szCs w:val="18"/>
        </w:rPr>
        <w:t>专</w:t>
      </w:r>
      <w:r>
        <w:rPr>
          <w:rFonts w:ascii="宋体" w:hAnsi="宋体" w:cs="宋体" w:eastAsia="宋体" w:hint="default"/>
          <w:spacing w:val="-66"/>
          <w:sz w:val="18"/>
          <w:szCs w:val="18"/>
        </w:rPr>
        <w:t> </w:t>
      </w:r>
      <w:r>
        <w:rPr>
          <w:rFonts w:ascii="宋体" w:hAnsi="宋体" w:cs="宋体" w:eastAsia="宋体" w:hint="default"/>
          <w:sz w:val="18"/>
          <w:szCs w:val="18"/>
        </w:rPr>
        <w:t>户</w:t>
      </w:r>
      <w:r>
        <w:rPr>
          <w:rFonts w:ascii="宋体" w:hAnsi="宋体" w:cs="宋体" w:eastAsia="宋体" w:hint="default"/>
          <w:spacing w:val="-11"/>
          <w:sz w:val="18"/>
          <w:szCs w:val="18"/>
        </w:rPr>
        <w:t> </w:t>
      </w:r>
      <w:r>
        <w:rPr>
          <w:rFonts w:ascii="宋体" w:hAnsi="宋体" w:cs="宋体" w:eastAsia="宋体" w:hint="default"/>
          <w:spacing w:val="7"/>
          <w:sz w:val="18"/>
          <w:szCs w:val="18"/>
        </w:rPr>
        <w:t>2008</w:t>
      </w:r>
      <w:r>
        <w:rPr>
          <w:rFonts w:ascii="宋体" w:hAnsi="宋体" w:cs="宋体" w:eastAsia="宋体" w:hint="default"/>
          <w:spacing w:val="-20"/>
          <w:sz w:val="18"/>
          <w:szCs w:val="18"/>
        </w:rPr>
        <w:t> </w:t>
      </w:r>
      <w:r>
        <w:rPr>
          <w:rFonts w:ascii="宋体" w:hAnsi="宋体" w:cs="宋体" w:eastAsia="宋体" w:hint="default"/>
          <w:spacing w:val="9"/>
          <w:sz w:val="18"/>
          <w:szCs w:val="18"/>
        </w:rPr>
        <w:t>年收</w:t>
      </w:r>
      <w:r>
        <w:rPr>
          <w:rFonts w:ascii="宋体" w:hAnsi="宋体" w:cs="宋体" w:eastAsia="宋体" w:hint="default"/>
          <w:spacing w:val="-66"/>
          <w:sz w:val="18"/>
          <w:szCs w:val="18"/>
        </w:rPr>
        <w:t> </w:t>
      </w:r>
      <w:r>
        <w:rPr>
          <w:rFonts w:ascii="宋体" w:hAnsi="宋体" w:cs="宋体" w:eastAsia="宋体" w:hint="default"/>
          <w:sz w:val="18"/>
          <w:szCs w:val="18"/>
        </w:rPr>
        <w:t>到</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利</w:t>
      </w:r>
      <w:r>
        <w:rPr>
          <w:rFonts w:ascii="宋体" w:hAnsi="宋体" w:cs="宋体" w:eastAsia="宋体" w:hint="default"/>
          <w:spacing w:val="-66"/>
          <w:sz w:val="18"/>
          <w:szCs w:val="18"/>
        </w:rPr>
        <w:t> </w:t>
      </w:r>
      <w:r>
        <w:rPr>
          <w:rFonts w:ascii="宋体" w:hAnsi="宋体" w:cs="宋体" w:eastAsia="宋体" w:hint="default"/>
          <w:sz w:val="18"/>
          <w:szCs w:val="18"/>
        </w:rPr>
        <w:t>息</w:t>
      </w:r>
      <w:r>
        <w:rPr>
          <w:rFonts w:ascii="宋体" w:hAnsi="宋体" w:cs="宋体" w:eastAsia="宋体" w:hint="default"/>
          <w:spacing w:val="-11"/>
          <w:sz w:val="18"/>
          <w:szCs w:val="18"/>
        </w:rPr>
        <w:t> </w:t>
      </w:r>
      <w:r>
        <w:rPr>
          <w:rFonts w:ascii="宋体" w:hAnsi="宋体" w:cs="宋体" w:eastAsia="宋体" w:hint="default"/>
          <w:spacing w:val="8"/>
          <w:sz w:val="18"/>
          <w:szCs w:val="18"/>
        </w:rPr>
        <w:t>705.57</w:t>
      </w:r>
      <w:r>
        <w:rPr>
          <w:rFonts w:ascii="宋体" w:hAnsi="宋体" w:cs="宋体" w:eastAsia="宋体" w:hint="default"/>
          <w:spacing w:val="-22"/>
          <w:sz w:val="18"/>
          <w:szCs w:val="18"/>
        </w:rPr>
        <w:t> </w:t>
      </w:r>
      <w:r>
        <w:rPr>
          <w:rFonts w:ascii="宋体" w:hAnsi="宋体" w:cs="宋体" w:eastAsia="宋体" w:hint="default"/>
          <w:spacing w:val="10"/>
          <w:sz w:val="18"/>
          <w:szCs w:val="18"/>
        </w:rPr>
        <w:t>万元，2009</w:t>
      </w:r>
      <w:r>
        <w:rPr>
          <w:rFonts w:ascii="宋体" w:hAnsi="宋体" w:cs="宋体" w:eastAsia="宋体" w:hint="default"/>
          <w:spacing w:val="-22"/>
          <w:sz w:val="18"/>
          <w:szCs w:val="18"/>
        </w:rPr>
        <w:t> </w:t>
      </w:r>
      <w:r>
        <w:rPr>
          <w:rFonts w:ascii="宋体" w:hAnsi="宋体" w:cs="宋体" w:eastAsia="宋体" w:hint="default"/>
          <w:spacing w:val="9"/>
          <w:sz w:val="18"/>
          <w:szCs w:val="18"/>
        </w:rPr>
        <w:t>年收</w:t>
      </w:r>
      <w:r>
        <w:rPr>
          <w:rFonts w:ascii="宋体" w:hAnsi="宋体" w:cs="宋体" w:eastAsia="宋体" w:hint="default"/>
          <w:spacing w:val="-66"/>
          <w:sz w:val="18"/>
          <w:szCs w:val="18"/>
        </w:rPr>
        <w:t> </w:t>
      </w:r>
      <w:r>
        <w:rPr>
          <w:rFonts w:ascii="宋体" w:hAnsi="宋体" w:cs="宋体" w:eastAsia="宋体" w:hint="default"/>
          <w:sz w:val="18"/>
          <w:szCs w:val="18"/>
        </w:rPr>
        <w:t>到</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利</w:t>
      </w:r>
      <w:r>
        <w:rPr>
          <w:rFonts w:ascii="宋体" w:hAnsi="宋体" w:cs="宋体" w:eastAsia="宋体" w:hint="default"/>
          <w:spacing w:val="-66"/>
          <w:sz w:val="18"/>
          <w:szCs w:val="18"/>
        </w:rPr>
        <w:t> </w:t>
      </w:r>
      <w:r>
        <w:rPr>
          <w:rFonts w:ascii="宋体" w:hAnsi="宋体" w:cs="宋体" w:eastAsia="宋体" w:hint="default"/>
          <w:sz w:val="18"/>
          <w:szCs w:val="18"/>
        </w:rPr>
        <w:t>息</w:t>
      </w:r>
      <w:r>
        <w:rPr>
          <w:rFonts w:ascii="宋体" w:hAnsi="宋体" w:cs="宋体" w:eastAsia="宋体" w:hint="default"/>
          <w:spacing w:val="-11"/>
          <w:sz w:val="18"/>
          <w:szCs w:val="18"/>
        </w:rPr>
        <w:t> </w:t>
      </w:r>
      <w:r>
        <w:rPr>
          <w:rFonts w:ascii="宋体" w:hAnsi="宋体" w:cs="宋体" w:eastAsia="宋体" w:hint="default"/>
          <w:spacing w:val="8"/>
          <w:sz w:val="18"/>
          <w:szCs w:val="18"/>
        </w:rPr>
        <w:t>876.53</w:t>
      </w:r>
      <w:r>
        <w:rPr>
          <w:rFonts w:ascii="宋体" w:hAnsi="宋体" w:cs="宋体" w:eastAsia="宋体" w:hint="default"/>
          <w:spacing w:val="-20"/>
          <w:sz w:val="18"/>
          <w:szCs w:val="18"/>
        </w:rPr>
        <w:t> </w:t>
      </w:r>
      <w:r>
        <w:rPr>
          <w:rFonts w:ascii="宋体" w:hAnsi="宋体" w:cs="宋体" w:eastAsia="宋体" w:hint="default"/>
          <w:spacing w:val="10"/>
          <w:sz w:val="18"/>
          <w:szCs w:val="18"/>
        </w:rPr>
        <w:t>万元，共</w:t>
      </w:r>
      <w:r>
        <w:rPr>
          <w:rFonts w:ascii="宋体" w:hAnsi="宋体" w:cs="宋体" w:eastAsia="宋体" w:hint="default"/>
          <w:spacing w:val="-64"/>
          <w:sz w:val="18"/>
          <w:szCs w:val="18"/>
        </w:rPr>
        <w:t> </w:t>
      </w:r>
      <w:r>
        <w:rPr>
          <w:rFonts w:ascii="宋体" w:hAnsi="宋体" w:cs="宋体" w:eastAsia="宋体" w:hint="default"/>
          <w:sz w:val="18"/>
          <w:szCs w:val="18"/>
        </w:rPr>
        <w:t>收</w:t>
      </w:r>
      <w:r>
        <w:rPr>
          <w:rFonts w:ascii="宋体" w:hAnsi="宋体" w:cs="宋体" w:eastAsia="宋体" w:hint="default"/>
          <w:sz w:val="18"/>
          <w:szCs w:val="18"/>
        </w:rPr>
        <w:t> </w:t>
      </w:r>
      <w:r>
        <w:rPr>
          <w:rFonts w:ascii="宋体" w:hAnsi="宋体" w:cs="宋体" w:eastAsia="宋体" w:hint="default"/>
          <w:spacing w:val="9"/>
          <w:sz w:val="18"/>
          <w:szCs w:val="18"/>
        </w:rPr>
        <w:t>到资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利</w:t>
      </w:r>
      <w:r>
        <w:rPr>
          <w:rFonts w:ascii="宋体" w:hAnsi="宋体" w:cs="宋体" w:eastAsia="宋体" w:hint="default"/>
          <w:spacing w:val="-66"/>
          <w:sz w:val="18"/>
          <w:szCs w:val="18"/>
        </w:rPr>
        <w:t> </w:t>
      </w:r>
      <w:r>
        <w:rPr>
          <w:rFonts w:ascii="宋体" w:hAnsi="宋体" w:cs="宋体" w:eastAsia="宋体" w:hint="default"/>
          <w:sz w:val="18"/>
          <w:szCs w:val="18"/>
        </w:rPr>
        <w:t>息</w:t>
      </w:r>
      <w:r>
        <w:rPr>
          <w:rFonts w:ascii="宋体" w:hAnsi="宋体" w:cs="宋体" w:eastAsia="宋体" w:hint="default"/>
          <w:spacing w:val="-9"/>
          <w:sz w:val="18"/>
          <w:szCs w:val="18"/>
        </w:rPr>
        <w:t> </w:t>
      </w:r>
      <w:r>
        <w:rPr>
          <w:rFonts w:ascii="宋体" w:hAnsi="宋体" w:cs="宋体" w:eastAsia="宋体" w:hint="default"/>
          <w:spacing w:val="8"/>
          <w:sz w:val="18"/>
          <w:szCs w:val="18"/>
        </w:rPr>
        <w:t>1582.10</w:t>
      </w:r>
      <w:r>
        <w:rPr>
          <w:rFonts w:ascii="宋体" w:hAnsi="宋体" w:cs="宋体" w:eastAsia="宋体" w:hint="default"/>
          <w:spacing w:val="-18"/>
          <w:sz w:val="18"/>
          <w:szCs w:val="18"/>
        </w:rPr>
        <w:t> </w:t>
      </w:r>
      <w:r>
        <w:rPr>
          <w:rFonts w:ascii="宋体" w:hAnsi="宋体" w:cs="宋体" w:eastAsia="宋体" w:hint="default"/>
          <w:spacing w:val="9"/>
          <w:sz w:val="18"/>
          <w:szCs w:val="18"/>
        </w:rPr>
        <w:t>万元</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line="576" w:lineRule="auto" w:before="0"/>
        <w:ind w:left="991" w:right="5092" w:hanging="3"/>
        <w:jc w:val="left"/>
        <w:rPr>
          <w:rFonts w:ascii="Microsoft JhengHei" w:hAnsi="Microsoft JhengHei" w:cs="Microsoft JhengHei" w:eastAsia="Microsoft JhengHei" w:hint="default"/>
          <w:sz w:val="20"/>
          <w:szCs w:val="20"/>
        </w:rPr>
      </w:pPr>
      <w:r>
        <w:rPr>
          <w:rFonts w:ascii="宋体" w:hAnsi="宋体" w:cs="宋体" w:eastAsia="宋体" w:hint="default"/>
          <w:spacing w:val="9"/>
          <w:sz w:val="20"/>
          <w:szCs w:val="20"/>
        </w:rPr>
        <w:t>前次</w:t>
      </w:r>
      <w:r>
        <w:rPr>
          <w:rFonts w:ascii="宋体" w:hAnsi="宋体" w:cs="宋体" w:eastAsia="宋体" w:hint="default"/>
          <w:spacing w:val="-76"/>
          <w:sz w:val="20"/>
          <w:szCs w:val="20"/>
        </w:rPr>
        <w:t> </w:t>
      </w:r>
      <w:r>
        <w:rPr>
          <w:rFonts w:ascii="宋体" w:hAnsi="宋体" w:cs="宋体" w:eastAsia="宋体" w:hint="default"/>
          <w:spacing w:val="22"/>
          <w:sz w:val="20"/>
          <w:szCs w:val="20"/>
        </w:rPr>
        <w:t>募集资金的实际使用情况说明</w:t>
      </w:r>
      <w:r>
        <w:rPr>
          <w:rFonts w:ascii="宋体" w:hAnsi="宋体" w:cs="宋体" w:eastAsia="宋体" w:hint="default"/>
          <w:w w:val="99"/>
          <w:sz w:val="20"/>
          <w:szCs w:val="20"/>
        </w:rPr>
        <w:t> </w:t>
      </w:r>
      <w:r>
        <w:rPr>
          <w:rFonts w:ascii="Microsoft JhengHei" w:hAnsi="Microsoft JhengHei" w:cs="Microsoft JhengHei" w:eastAsia="Microsoft JhengHei" w:hint="default"/>
          <w:b/>
          <w:bCs/>
          <w:spacing w:val="7"/>
          <w:sz w:val="20"/>
          <w:szCs w:val="20"/>
        </w:rPr>
        <w:t>1、</w:t>
      </w:r>
      <w:r>
        <w:rPr>
          <w:rFonts w:ascii="Microsoft JhengHei" w:hAnsi="Microsoft JhengHei" w:cs="Microsoft JhengHei" w:eastAsia="Microsoft JhengHei" w:hint="default"/>
          <w:b/>
          <w:bCs/>
          <w:spacing w:val="-33"/>
          <w:sz w:val="20"/>
          <w:szCs w:val="20"/>
        </w:rPr>
        <w:t> </w:t>
      </w:r>
      <w:r>
        <w:rPr>
          <w:rFonts w:ascii="Microsoft JhengHei" w:hAnsi="Microsoft JhengHei" w:cs="Microsoft JhengHei" w:eastAsia="Microsoft JhengHei" w:hint="default"/>
          <w:b/>
          <w:bCs/>
          <w:spacing w:val="18"/>
          <w:sz w:val="20"/>
          <w:szCs w:val="20"/>
        </w:rPr>
        <w:t>前次募集</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pacing w:val="12"/>
          <w:sz w:val="20"/>
          <w:szCs w:val="20"/>
        </w:rPr>
        <w:t>资金</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pacing w:val="16"/>
          <w:sz w:val="20"/>
          <w:szCs w:val="20"/>
        </w:rPr>
        <w:t>使用情</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pacing w:val="12"/>
          <w:sz w:val="20"/>
          <w:szCs w:val="20"/>
        </w:rPr>
        <w:t>况对</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pacing w:val="16"/>
          <w:sz w:val="20"/>
          <w:szCs w:val="20"/>
        </w:rPr>
        <w:t>照情况</w:t>
      </w:r>
      <w:r>
        <w:rPr>
          <w:rFonts w:ascii="Microsoft JhengHei" w:hAnsi="Microsoft JhengHei" w:cs="Microsoft JhengHei" w:eastAsia="Microsoft JhengHei" w:hint="default"/>
          <w:spacing w:val="16"/>
          <w:sz w:val="20"/>
          <w:szCs w:val="20"/>
        </w:rPr>
      </w:r>
    </w:p>
    <w:p>
      <w:pPr>
        <w:spacing w:before="60"/>
        <w:ind w:left="445" w:right="0" w:firstLine="0"/>
        <w:jc w:val="center"/>
        <w:rPr>
          <w:rFonts w:ascii="宋体" w:hAnsi="宋体" w:cs="宋体" w:eastAsia="宋体" w:hint="default"/>
          <w:sz w:val="18"/>
          <w:szCs w:val="18"/>
        </w:rPr>
      </w:pPr>
      <w:r>
        <w:rPr>
          <w:rFonts w:ascii="宋体" w:hAnsi="宋体" w:cs="宋体" w:eastAsia="宋体" w:hint="default"/>
          <w:sz w:val="18"/>
          <w:szCs w:val="18"/>
        </w:rPr>
        <w:t>前次募集资金使用情况对照表</w:t>
      </w:r>
    </w:p>
    <w:p>
      <w:pPr>
        <w:spacing w:line="240" w:lineRule="auto" w:before="0"/>
        <w:rPr>
          <w:rFonts w:ascii="宋体" w:hAnsi="宋体" w:cs="宋体" w:eastAsia="宋体" w:hint="default"/>
          <w:sz w:val="18"/>
          <w:szCs w:val="18"/>
        </w:rPr>
      </w:pPr>
    </w:p>
    <w:p>
      <w:pPr>
        <w:spacing w:before="141"/>
        <w:ind w:left="7399" w:right="0" w:firstLine="0"/>
        <w:jc w:val="left"/>
        <w:rPr>
          <w:rFonts w:ascii="宋体" w:hAnsi="宋体" w:cs="宋体" w:eastAsia="宋体" w:hint="default"/>
          <w:sz w:val="20"/>
          <w:szCs w:val="20"/>
        </w:rPr>
      </w:pPr>
      <w:r>
        <w:rPr>
          <w:rFonts w:ascii="宋体" w:hAnsi="宋体" w:cs="宋体" w:eastAsia="宋体" w:hint="default"/>
          <w:sz w:val="20"/>
          <w:szCs w:val="20"/>
        </w:rPr>
        <w:t>单位：人民币万元</w:t>
      </w:r>
    </w:p>
    <w:p>
      <w:pPr>
        <w:spacing w:line="240" w:lineRule="auto" w:before="13"/>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630"/>
        <w:gridCol w:w="1466"/>
        <w:gridCol w:w="1469"/>
        <w:gridCol w:w="1553"/>
        <w:gridCol w:w="1802"/>
        <w:gridCol w:w="1409"/>
      </w:tblGrid>
      <w:tr>
        <w:trPr>
          <w:trHeight w:val="470" w:hRule="exact"/>
        </w:trPr>
        <w:tc>
          <w:tcPr>
            <w:tcW w:w="1630" w:type="dxa"/>
            <w:vMerge w:val="restart"/>
            <w:tcBorders>
              <w:top w:val="single" w:sz="4" w:space="0" w:color="000008"/>
              <w:left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67" w:lineRule="auto"/>
              <w:ind w:left="628" w:right="269" w:hanging="360"/>
              <w:jc w:val="left"/>
              <w:rPr>
                <w:rFonts w:ascii="宋体" w:hAnsi="宋体" w:cs="宋体" w:eastAsia="宋体" w:hint="default"/>
                <w:sz w:val="18"/>
                <w:szCs w:val="18"/>
              </w:rPr>
            </w:pPr>
            <w:r>
              <w:rPr>
                <w:rFonts w:ascii="宋体" w:hAnsi="宋体" w:cs="宋体" w:eastAsia="宋体" w:hint="default"/>
                <w:sz w:val="18"/>
                <w:szCs w:val="18"/>
              </w:rPr>
              <w:t>本次募集资金 总额</w:t>
            </w:r>
          </w:p>
        </w:tc>
        <w:tc>
          <w:tcPr>
            <w:tcW w:w="2935" w:type="dxa"/>
            <w:gridSpan w:val="2"/>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Garamond" w:hAnsi="Garamond" w:cs="Garamond" w:eastAsia="Garamond" w:hint="default"/>
                <w:sz w:val="18"/>
                <w:szCs w:val="18"/>
              </w:rPr>
            </w:pPr>
            <w:r>
              <w:rPr>
                <w:rFonts w:ascii="Garamond"/>
                <w:sz w:val="18"/>
              </w:rPr>
              <w:t>113,501.78</w:t>
            </w:r>
          </w:p>
        </w:tc>
        <w:tc>
          <w:tcPr>
            <w:tcW w:w="335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本年度已使用本次募集资金总额</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Garamond" w:hAnsi="Garamond" w:cs="Garamond" w:eastAsia="Garamond" w:hint="default"/>
                <w:sz w:val="18"/>
                <w:szCs w:val="18"/>
              </w:rPr>
            </w:pPr>
            <w:r>
              <w:rPr>
                <w:rFonts w:ascii="Garamond"/>
                <w:sz w:val="18"/>
              </w:rPr>
              <w:t>8,920.21</w:t>
            </w:r>
          </w:p>
        </w:tc>
      </w:tr>
      <w:tr>
        <w:trPr>
          <w:trHeight w:val="468" w:hRule="exact"/>
        </w:trPr>
        <w:tc>
          <w:tcPr>
            <w:tcW w:w="1630" w:type="dxa"/>
            <w:vMerge/>
            <w:tcBorders>
              <w:left w:val="single" w:sz="4" w:space="0" w:color="000008"/>
              <w:bottom w:val="single" w:sz="4" w:space="0" w:color="000008"/>
              <w:right w:val="single" w:sz="4" w:space="0" w:color="000008"/>
            </w:tcBorders>
          </w:tcPr>
          <w:p>
            <w:pPr/>
          </w:p>
        </w:tc>
        <w:tc>
          <w:tcPr>
            <w:tcW w:w="2935" w:type="dxa"/>
            <w:gridSpan w:val="2"/>
            <w:vMerge/>
            <w:tcBorders>
              <w:left w:val="single" w:sz="4" w:space="0" w:color="000008"/>
              <w:bottom w:val="single" w:sz="4" w:space="0" w:color="000008"/>
              <w:right w:val="single" w:sz="4" w:space="0" w:color="000008"/>
            </w:tcBorders>
          </w:tcPr>
          <w:p>
            <w:pPr/>
          </w:p>
        </w:tc>
        <w:tc>
          <w:tcPr>
            <w:tcW w:w="335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已累计使用本次募集资金总额</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Garamond" w:hAnsi="Garamond" w:cs="Garamond" w:eastAsia="Garamond" w:hint="default"/>
                <w:sz w:val="18"/>
                <w:szCs w:val="18"/>
              </w:rPr>
            </w:pPr>
            <w:r>
              <w:rPr>
                <w:rFonts w:ascii="Garamond"/>
                <w:sz w:val="18"/>
              </w:rPr>
              <w:t>15,220.12</w:t>
            </w:r>
          </w:p>
        </w:tc>
      </w:tr>
      <w:tr>
        <w:trPr>
          <w:trHeight w:val="730" w:hRule="exact"/>
        </w:trPr>
        <w:tc>
          <w:tcPr>
            <w:tcW w:w="163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67" w:lineRule="auto"/>
              <w:ind w:left="628" w:right="269" w:hanging="360"/>
              <w:jc w:val="left"/>
              <w:rPr>
                <w:rFonts w:ascii="宋体" w:hAnsi="宋体" w:cs="宋体" w:eastAsia="宋体" w:hint="default"/>
                <w:sz w:val="18"/>
                <w:szCs w:val="18"/>
              </w:rPr>
            </w:pPr>
            <w:r>
              <w:rPr>
                <w:rFonts w:ascii="宋体" w:hAnsi="宋体" w:cs="宋体" w:eastAsia="宋体" w:hint="default"/>
                <w:sz w:val="18"/>
                <w:szCs w:val="18"/>
              </w:rPr>
              <w:t>募集资金投资 项目</w:t>
            </w:r>
          </w:p>
        </w:tc>
        <w:tc>
          <w:tcPr>
            <w:tcW w:w="293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项目承诺使用募集资金总额</w:t>
            </w:r>
          </w:p>
        </w:tc>
        <w:tc>
          <w:tcPr>
            <w:tcW w:w="3355" w:type="dxa"/>
            <w:gridSpan w:val="2"/>
            <w:tcBorders>
              <w:top w:val="single" w:sz="4" w:space="0" w:color="000008"/>
              <w:left w:val="single" w:sz="4" w:space="0" w:color="000008"/>
              <w:bottom w:val="single" w:sz="4" w:space="0" w:color="000008"/>
              <w:right w:val="single" w:sz="4" w:space="0" w:color="000008"/>
            </w:tcBorders>
          </w:tcPr>
          <w:p>
            <w:pPr>
              <w:pStyle w:val="TableParagraph"/>
              <w:spacing w:line="360" w:lineRule="exact" w:before="21"/>
              <w:ind w:left="1132" w:right="1130"/>
              <w:jc w:val="center"/>
              <w:rPr>
                <w:rFonts w:ascii="宋体" w:hAnsi="宋体" w:cs="宋体" w:eastAsia="宋体" w:hint="default"/>
                <w:sz w:val="18"/>
                <w:szCs w:val="18"/>
              </w:rPr>
            </w:pPr>
            <w:r>
              <w:rPr>
                <w:rFonts w:ascii="宋体" w:hAnsi="宋体" w:cs="宋体" w:eastAsia="宋体" w:hint="default"/>
                <w:sz w:val="18"/>
                <w:szCs w:val="18"/>
              </w:rPr>
              <w:t>截至报告期末 实际投资金额</w:t>
            </w:r>
          </w:p>
        </w:tc>
        <w:tc>
          <w:tcPr>
            <w:tcW w:w="1409"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67" w:lineRule="auto"/>
              <w:ind w:left="386" w:right="203" w:hanging="272"/>
              <w:jc w:val="left"/>
              <w:rPr>
                <w:rFonts w:ascii="宋体" w:hAnsi="宋体" w:cs="宋体" w:eastAsia="宋体" w:hint="default"/>
                <w:sz w:val="18"/>
                <w:szCs w:val="18"/>
              </w:rPr>
            </w:pPr>
            <w:r>
              <w:rPr>
                <w:rFonts w:ascii="宋体" w:hAnsi="宋体" w:cs="宋体" w:eastAsia="宋体" w:hint="default"/>
                <w:sz w:val="18"/>
                <w:szCs w:val="18"/>
              </w:rPr>
              <w:t>募集资金待投 资金额</w:t>
            </w:r>
          </w:p>
        </w:tc>
      </w:tr>
      <w:tr>
        <w:trPr>
          <w:trHeight w:val="799" w:hRule="exact"/>
        </w:trPr>
        <w:tc>
          <w:tcPr>
            <w:tcW w:w="1630" w:type="dxa"/>
            <w:vMerge/>
            <w:tcBorders>
              <w:left w:val="single" w:sz="4" w:space="0" w:color="000008"/>
              <w:bottom w:val="single" w:sz="4" w:space="0" w:color="000008"/>
              <w:right w:val="single" w:sz="4" w:space="0" w:color="000008"/>
            </w:tcBorders>
          </w:tcPr>
          <w:p>
            <w:pP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133"/>
              <w:ind w:left="280" w:right="275" w:firstLine="88"/>
              <w:jc w:val="left"/>
              <w:rPr>
                <w:rFonts w:ascii="宋体" w:hAnsi="宋体" w:cs="宋体" w:eastAsia="宋体" w:hint="default"/>
                <w:sz w:val="18"/>
                <w:szCs w:val="18"/>
              </w:rPr>
            </w:pPr>
            <w:r>
              <w:rPr>
                <w:rFonts w:ascii="宋体" w:hAnsi="宋体" w:cs="宋体" w:eastAsia="宋体" w:hint="default"/>
                <w:sz w:val="18"/>
                <w:szCs w:val="18"/>
              </w:rPr>
              <w:t>前次募集 资金投资额</w:t>
            </w:r>
          </w:p>
        </w:tc>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133"/>
              <w:ind w:left="280" w:right="276" w:firstLine="91"/>
              <w:jc w:val="left"/>
              <w:rPr>
                <w:rFonts w:ascii="宋体" w:hAnsi="宋体" w:cs="宋体" w:eastAsia="宋体" w:hint="default"/>
                <w:sz w:val="18"/>
                <w:szCs w:val="18"/>
              </w:rPr>
            </w:pPr>
            <w:r>
              <w:rPr>
                <w:rFonts w:ascii="宋体" w:hAnsi="宋体" w:cs="宋体" w:eastAsia="宋体" w:hint="default"/>
                <w:sz w:val="18"/>
                <w:szCs w:val="18"/>
              </w:rPr>
              <w:t>本次募集 资金投资额</w:t>
            </w:r>
          </w:p>
        </w:tc>
        <w:tc>
          <w:tcPr>
            <w:tcW w:w="1553"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133"/>
              <w:ind w:left="321" w:right="228" w:hanging="89"/>
              <w:jc w:val="left"/>
              <w:rPr>
                <w:rFonts w:ascii="宋体" w:hAnsi="宋体" w:cs="宋体" w:eastAsia="宋体" w:hint="default"/>
                <w:sz w:val="18"/>
                <w:szCs w:val="18"/>
              </w:rPr>
            </w:pPr>
            <w:r>
              <w:rPr>
                <w:rFonts w:ascii="宋体" w:hAnsi="宋体" w:cs="宋体" w:eastAsia="宋体" w:hint="default"/>
                <w:sz w:val="18"/>
                <w:szCs w:val="18"/>
              </w:rPr>
              <w:t>前次募集资金 实际投资额</w:t>
            </w:r>
          </w:p>
        </w:tc>
        <w:tc>
          <w:tcPr>
            <w:tcW w:w="1802"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133"/>
              <w:ind w:left="628" w:right="173" w:hanging="452"/>
              <w:jc w:val="left"/>
              <w:rPr>
                <w:rFonts w:ascii="宋体" w:hAnsi="宋体" w:cs="宋体" w:eastAsia="宋体" w:hint="default"/>
                <w:sz w:val="18"/>
                <w:szCs w:val="18"/>
              </w:rPr>
            </w:pPr>
            <w:r>
              <w:rPr>
                <w:rFonts w:ascii="宋体" w:hAnsi="宋体" w:cs="宋体" w:eastAsia="宋体" w:hint="default"/>
                <w:sz w:val="18"/>
                <w:szCs w:val="18"/>
              </w:rPr>
              <w:t>本次募集资金实际 投资额</w:t>
            </w:r>
          </w:p>
        </w:tc>
        <w:tc>
          <w:tcPr>
            <w:tcW w:w="1409" w:type="dxa"/>
            <w:vMerge/>
            <w:tcBorders>
              <w:left w:val="single" w:sz="4" w:space="0" w:color="000008"/>
              <w:bottom w:val="single" w:sz="4" w:space="0" w:color="000008"/>
              <w:right w:val="single" w:sz="4" w:space="0" w:color="000008"/>
            </w:tcBorders>
          </w:tcPr>
          <w:p>
            <w:pPr/>
          </w:p>
        </w:tc>
      </w:tr>
      <w:tr>
        <w:trPr>
          <w:trHeight w:val="730" w:hRule="exact"/>
        </w:trPr>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1"/>
              <w:ind w:left="103" w:right="110"/>
              <w:jc w:val="left"/>
              <w:rPr>
                <w:rFonts w:ascii="宋体" w:hAnsi="宋体" w:cs="宋体" w:eastAsia="宋体" w:hint="default"/>
                <w:sz w:val="18"/>
                <w:szCs w:val="18"/>
              </w:rPr>
            </w:pPr>
            <w:r>
              <w:rPr>
                <w:rFonts w:ascii="宋体" w:hAnsi="宋体" w:cs="宋体" w:eastAsia="宋体" w:hint="default"/>
                <w:spacing w:val="9"/>
                <w:sz w:val="18"/>
                <w:szCs w:val="18"/>
              </w:rPr>
              <w:t>深圳</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6"/>
                <w:sz w:val="18"/>
                <w:szCs w:val="18"/>
              </w:rPr>
              <w:t> </w:t>
            </w:r>
            <w:r>
              <w:rPr>
                <w:rFonts w:ascii="宋体" w:hAnsi="宋体" w:cs="宋体" w:eastAsia="宋体" w:hint="default"/>
                <w:sz w:val="18"/>
                <w:szCs w:val="18"/>
              </w:rPr>
              <w:t>际</w:t>
            </w:r>
            <w:r>
              <w:rPr>
                <w:rFonts w:ascii="宋体" w:hAnsi="宋体" w:cs="宋体" w:eastAsia="宋体" w:hint="default"/>
                <w:spacing w:val="-66"/>
                <w:sz w:val="18"/>
                <w:szCs w:val="18"/>
              </w:rPr>
              <w:t> </w:t>
            </w:r>
            <w:r>
              <w:rPr>
                <w:rFonts w:ascii="宋体" w:hAnsi="宋体" w:cs="宋体" w:eastAsia="宋体" w:hint="default"/>
                <w:sz w:val="18"/>
                <w:szCs w:val="18"/>
              </w:rPr>
              <w:t>农</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品</w:t>
            </w:r>
            <w:r>
              <w:rPr>
                <w:rFonts w:ascii="宋体" w:hAnsi="宋体" w:cs="宋体" w:eastAsia="宋体" w:hint="default"/>
                <w:sz w:val="18"/>
                <w:szCs w:val="18"/>
              </w:rPr>
              <w:t> 物流园项目</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7" w:right="0"/>
              <w:jc w:val="left"/>
              <w:rPr>
                <w:rFonts w:ascii="Garamond" w:hAnsi="Garamond" w:cs="Garamond" w:eastAsia="Garamond" w:hint="default"/>
                <w:sz w:val="18"/>
                <w:szCs w:val="18"/>
              </w:rPr>
            </w:pPr>
            <w:r>
              <w:rPr>
                <w:rFonts w:ascii="Garamond"/>
                <w:sz w:val="18"/>
              </w:rPr>
              <w:t>*13,840.92</w:t>
            </w:r>
          </w:p>
        </w:tc>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5" w:right="0"/>
              <w:jc w:val="left"/>
              <w:rPr>
                <w:rFonts w:ascii="Garamond" w:hAnsi="Garamond" w:cs="Garamond" w:eastAsia="Garamond" w:hint="default"/>
                <w:sz w:val="18"/>
                <w:szCs w:val="18"/>
              </w:rPr>
            </w:pPr>
            <w:r>
              <w:rPr>
                <w:rFonts w:ascii="Garamond"/>
                <w:sz w:val="18"/>
              </w:rPr>
              <w:t>113,501.78</w:t>
            </w:r>
          </w:p>
        </w:tc>
        <w:tc>
          <w:tcPr>
            <w:tcW w:w="15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98" w:right="0"/>
              <w:jc w:val="left"/>
              <w:rPr>
                <w:rFonts w:ascii="Garamond" w:hAnsi="Garamond" w:cs="Garamond" w:eastAsia="Garamond" w:hint="default"/>
                <w:sz w:val="18"/>
                <w:szCs w:val="18"/>
              </w:rPr>
            </w:pPr>
            <w:r>
              <w:rPr>
                <w:rFonts w:ascii="Garamond"/>
                <w:sz w:val="18"/>
              </w:rPr>
              <w:t>*13,840.92</w:t>
            </w:r>
          </w:p>
        </w:tc>
        <w:tc>
          <w:tcPr>
            <w:tcW w:w="1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64" w:right="0"/>
              <w:jc w:val="left"/>
              <w:rPr>
                <w:rFonts w:ascii="Garamond" w:hAnsi="Garamond" w:cs="Garamond" w:eastAsia="Garamond" w:hint="default"/>
                <w:sz w:val="18"/>
                <w:szCs w:val="18"/>
              </w:rPr>
            </w:pPr>
            <w:r>
              <w:rPr>
                <w:rFonts w:ascii="Garamond"/>
                <w:sz w:val="18"/>
              </w:rPr>
              <w:t>15,220.12</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67" w:right="0"/>
              <w:jc w:val="left"/>
              <w:rPr>
                <w:rFonts w:ascii="Garamond" w:hAnsi="Garamond" w:cs="Garamond" w:eastAsia="Garamond" w:hint="default"/>
                <w:sz w:val="18"/>
                <w:szCs w:val="18"/>
              </w:rPr>
            </w:pPr>
            <w:r>
              <w:rPr>
                <w:rFonts w:ascii="Garamond"/>
                <w:sz w:val="18"/>
              </w:rPr>
              <w:t>98,281.66</w:t>
            </w:r>
          </w:p>
        </w:tc>
      </w:tr>
      <w:tr>
        <w:trPr>
          <w:trHeight w:val="370" w:hRule="exact"/>
        </w:trPr>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54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93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
              <w:jc w:val="center"/>
              <w:rPr>
                <w:rFonts w:ascii="Garamond" w:hAnsi="Garamond" w:cs="Garamond" w:eastAsia="Garamond" w:hint="default"/>
                <w:sz w:val="18"/>
                <w:szCs w:val="18"/>
              </w:rPr>
            </w:pPr>
            <w:r>
              <w:rPr>
                <w:rFonts w:ascii="Garamond"/>
                <w:sz w:val="18"/>
              </w:rPr>
              <w:t>127,342.70</w:t>
            </w:r>
          </w:p>
        </w:tc>
        <w:tc>
          <w:tcPr>
            <w:tcW w:w="335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4"/>
              <w:jc w:val="center"/>
              <w:rPr>
                <w:rFonts w:ascii="Garamond" w:hAnsi="Garamond" w:cs="Garamond" w:eastAsia="Garamond" w:hint="default"/>
                <w:sz w:val="18"/>
                <w:szCs w:val="18"/>
              </w:rPr>
            </w:pPr>
            <w:r>
              <w:rPr>
                <w:rFonts w:ascii="Garamond"/>
                <w:sz w:val="18"/>
              </w:rPr>
              <w:t>29,061.04</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367" w:right="0"/>
              <w:jc w:val="left"/>
              <w:rPr>
                <w:rFonts w:ascii="Garamond" w:hAnsi="Garamond" w:cs="Garamond" w:eastAsia="Garamond" w:hint="default"/>
                <w:sz w:val="18"/>
                <w:szCs w:val="18"/>
              </w:rPr>
            </w:pPr>
            <w:r>
              <w:rPr>
                <w:rFonts w:ascii="Garamond"/>
                <w:sz w:val="18"/>
              </w:rPr>
              <w:t>98,281.66</w:t>
            </w:r>
          </w:p>
        </w:tc>
      </w:tr>
    </w:tbl>
    <w:p>
      <w:pPr>
        <w:spacing w:before="159"/>
        <w:ind w:left="94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9"/>
          <w:sz w:val="18"/>
          <w:szCs w:val="18"/>
        </w:rPr>
        <w:t>说明</w:t>
      </w:r>
      <w:r>
        <w:rPr>
          <w:rFonts w:ascii="Microsoft JhengHei" w:hAnsi="Microsoft JhengHei" w:cs="Microsoft JhengHei" w:eastAsia="Microsoft JhengHei" w:hint="default"/>
          <w:b/>
          <w:bCs/>
          <w:spacing w:val="-18"/>
          <w:sz w:val="18"/>
          <w:szCs w:val="18"/>
        </w:rPr>
        <w:t> </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p>
      <w:pPr>
        <w:spacing w:line="240" w:lineRule="auto" w:before="14"/>
        <w:rPr>
          <w:rFonts w:ascii="Microsoft JhengHei" w:hAnsi="Microsoft JhengHei" w:cs="Microsoft JhengHei" w:eastAsia="Microsoft JhengHei" w:hint="default"/>
          <w:b/>
          <w:bCs/>
          <w:sz w:val="14"/>
          <w:szCs w:val="14"/>
        </w:rPr>
      </w:pPr>
    </w:p>
    <w:p>
      <w:pPr>
        <w:spacing w:before="0"/>
        <w:ind w:left="94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Garamond" w:hAnsi="Garamond" w:cs="Garamond" w:eastAsia="Garamond"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66"/>
          <w:sz w:val="18"/>
          <w:szCs w:val="18"/>
        </w:rPr>
        <w:t> </w:t>
      </w:r>
      <w:r>
        <w:rPr>
          <w:rFonts w:ascii="Garamond" w:hAnsi="Garamond" w:cs="Garamond" w:eastAsia="Garamond" w:hint="default"/>
          <w:spacing w:val="7"/>
          <w:sz w:val="18"/>
          <w:szCs w:val="18"/>
        </w:rPr>
        <w:t>2003</w:t>
      </w:r>
      <w:r>
        <w:rPr>
          <w:rFonts w:ascii="Garamond" w:hAnsi="Garamond" w:cs="Garamond" w:eastAsia="Garamond" w:hint="default"/>
          <w:spacing w:val="24"/>
          <w:sz w:val="18"/>
          <w:szCs w:val="18"/>
        </w:rPr>
        <w:t> </w:t>
      </w:r>
      <w:r>
        <w:rPr>
          <w:rFonts w:ascii="宋体" w:hAnsi="宋体" w:cs="宋体" w:eastAsia="宋体" w:hint="default"/>
          <w:spacing w:val="9"/>
          <w:sz w:val="18"/>
          <w:szCs w:val="18"/>
        </w:rPr>
        <w:t>年募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结</w:t>
      </w:r>
      <w:r>
        <w:rPr>
          <w:rFonts w:ascii="宋体" w:hAnsi="宋体" w:cs="宋体" w:eastAsia="宋体" w:hint="default"/>
          <w:spacing w:val="-66"/>
          <w:sz w:val="18"/>
          <w:szCs w:val="18"/>
        </w:rPr>
        <w:t> </w:t>
      </w:r>
      <w:r>
        <w:rPr>
          <w:rFonts w:ascii="宋体" w:hAnsi="宋体" w:cs="宋体" w:eastAsia="宋体" w:hint="default"/>
          <w:sz w:val="18"/>
          <w:szCs w:val="18"/>
        </w:rPr>
        <w:t>余</w:t>
      </w:r>
      <w:r>
        <w:rPr>
          <w:rFonts w:ascii="宋体" w:hAnsi="宋体" w:cs="宋体" w:eastAsia="宋体" w:hint="default"/>
          <w:spacing w:val="-66"/>
          <w:sz w:val="18"/>
          <w:szCs w:val="18"/>
        </w:rPr>
        <w:t> </w:t>
      </w:r>
      <w:r>
        <w:rPr>
          <w:rFonts w:ascii="宋体" w:hAnsi="宋体" w:cs="宋体" w:eastAsia="宋体" w:hint="default"/>
          <w:sz w:val="18"/>
          <w:szCs w:val="18"/>
        </w:rPr>
        <w:t>款</w:t>
      </w:r>
      <w:r>
        <w:rPr>
          <w:rFonts w:ascii="宋体" w:hAnsi="宋体" w:cs="宋体" w:eastAsia="宋体" w:hint="default"/>
          <w:spacing w:val="-11"/>
          <w:sz w:val="18"/>
          <w:szCs w:val="18"/>
        </w:rPr>
        <w:t> </w:t>
      </w:r>
      <w:r>
        <w:rPr>
          <w:rFonts w:ascii="Garamond" w:hAnsi="Garamond" w:cs="Garamond" w:eastAsia="Garamond" w:hint="default"/>
          <w:spacing w:val="9"/>
          <w:sz w:val="18"/>
          <w:szCs w:val="18"/>
        </w:rPr>
        <w:t>13,840.92</w:t>
      </w:r>
      <w:r>
        <w:rPr>
          <w:rFonts w:ascii="Garamond" w:hAnsi="Garamond" w:cs="Garamond" w:eastAsia="Garamond" w:hint="default"/>
          <w:spacing w:val="24"/>
          <w:sz w:val="18"/>
          <w:szCs w:val="18"/>
        </w:rPr>
        <w:t> </w:t>
      </w:r>
      <w:r>
        <w:rPr>
          <w:rFonts w:ascii="宋体" w:hAnsi="宋体" w:cs="宋体" w:eastAsia="宋体" w:hint="default"/>
          <w:spacing w:val="9"/>
          <w:sz w:val="18"/>
          <w:szCs w:val="18"/>
        </w:rPr>
        <w:t>万元</w:t>
      </w:r>
      <w:r>
        <w:rPr>
          <w:rFonts w:ascii="宋体" w:hAnsi="宋体" w:cs="宋体" w:eastAsia="宋体" w:hint="default"/>
          <w:spacing w:val="-62"/>
          <w:sz w:val="18"/>
          <w:szCs w:val="18"/>
        </w:rPr>
        <w:t> </w:t>
      </w:r>
      <w:r>
        <w:rPr>
          <w:rFonts w:ascii="宋体" w:hAnsi="宋体" w:cs="宋体" w:eastAsia="宋体" w:hint="default"/>
          <w:spacing w:val="9"/>
          <w:sz w:val="18"/>
          <w:szCs w:val="18"/>
        </w:rPr>
        <w:t>已于</w:t>
      </w:r>
      <w:r>
        <w:rPr>
          <w:rFonts w:ascii="宋体" w:hAnsi="宋体" w:cs="宋体" w:eastAsia="宋体" w:hint="default"/>
          <w:spacing w:val="-66"/>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全</w:t>
      </w:r>
      <w:r>
        <w:rPr>
          <w:rFonts w:ascii="宋体" w:hAnsi="宋体" w:cs="宋体" w:eastAsia="宋体" w:hint="default"/>
          <w:spacing w:val="-66"/>
          <w:sz w:val="18"/>
          <w:szCs w:val="18"/>
        </w:rPr>
        <w:t> </w:t>
      </w:r>
      <w:r>
        <w:rPr>
          <w:rFonts w:ascii="宋体" w:hAnsi="宋体" w:cs="宋体" w:eastAsia="宋体" w:hint="default"/>
          <w:sz w:val="18"/>
          <w:szCs w:val="18"/>
        </w:rPr>
        <w:t>部</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入</w:t>
      </w:r>
      <w:r>
        <w:rPr>
          <w:rFonts w:ascii="宋体" w:hAnsi="宋体" w:cs="宋体" w:eastAsia="宋体" w:hint="default"/>
          <w:spacing w:val="-62"/>
          <w:sz w:val="18"/>
          <w:szCs w:val="18"/>
        </w:rPr>
        <w:t> </w:t>
      </w:r>
      <w:r>
        <w:rPr>
          <w:rFonts w:ascii="宋体" w:hAnsi="宋体" w:cs="宋体" w:eastAsia="宋体" w:hint="default"/>
          <w:spacing w:val="9"/>
          <w:sz w:val="18"/>
          <w:szCs w:val="18"/>
        </w:rPr>
        <w:t>深圳</w:t>
      </w:r>
      <w:r>
        <w:rPr>
          <w:rFonts w:ascii="宋体" w:hAnsi="宋体" w:cs="宋体" w:eastAsia="宋体" w:hint="default"/>
          <w:spacing w:val="-66"/>
          <w:sz w:val="18"/>
          <w:szCs w:val="18"/>
        </w:rPr>
        <w:t> </w:t>
      </w:r>
      <w:r>
        <w:rPr>
          <w:rFonts w:ascii="宋体" w:hAnsi="宋体" w:cs="宋体" w:eastAsia="宋体" w:hint="default"/>
          <w:sz w:val="18"/>
          <w:szCs w:val="18"/>
        </w:rPr>
        <w:t>国</w:t>
      </w:r>
      <w:r>
        <w:rPr>
          <w:rFonts w:ascii="宋体" w:hAnsi="宋体" w:cs="宋体" w:eastAsia="宋体" w:hint="default"/>
          <w:spacing w:val="-66"/>
          <w:sz w:val="18"/>
          <w:szCs w:val="18"/>
        </w:rPr>
        <w:t> </w:t>
      </w:r>
      <w:r>
        <w:rPr>
          <w:rFonts w:ascii="宋体" w:hAnsi="宋体" w:cs="宋体" w:eastAsia="宋体" w:hint="default"/>
          <w:sz w:val="18"/>
          <w:szCs w:val="18"/>
        </w:rPr>
        <w:t>际</w:t>
      </w:r>
      <w:r>
        <w:rPr>
          <w:rFonts w:ascii="宋体" w:hAnsi="宋体" w:cs="宋体" w:eastAsia="宋体" w:hint="default"/>
          <w:spacing w:val="-66"/>
          <w:sz w:val="18"/>
          <w:szCs w:val="18"/>
        </w:rPr>
        <w:t> </w:t>
      </w:r>
      <w:r>
        <w:rPr>
          <w:rFonts w:ascii="宋体" w:hAnsi="宋体" w:cs="宋体" w:eastAsia="宋体" w:hint="default"/>
          <w:sz w:val="18"/>
          <w:szCs w:val="18"/>
        </w:rPr>
        <w:t>农</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品</w:t>
      </w:r>
      <w:r>
        <w:rPr>
          <w:rFonts w:ascii="宋体" w:hAnsi="宋体" w:cs="宋体" w:eastAsia="宋体" w:hint="default"/>
          <w:spacing w:val="-66"/>
          <w:sz w:val="18"/>
          <w:szCs w:val="18"/>
        </w:rPr>
        <w:t> </w:t>
      </w:r>
      <w:r>
        <w:rPr>
          <w:rFonts w:ascii="宋体" w:hAnsi="宋体" w:cs="宋体" w:eastAsia="宋体" w:hint="default"/>
          <w:sz w:val="18"/>
          <w:szCs w:val="18"/>
        </w:rPr>
        <w:t>物</w:t>
      </w:r>
      <w:r>
        <w:rPr>
          <w:rFonts w:ascii="宋体" w:hAnsi="宋体" w:cs="宋体" w:eastAsia="宋体" w:hint="default"/>
          <w:spacing w:val="-66"/>
          <w:sz w:val="18"/>
          <w:szCs w:val="18"/>
        </w:rPr>
        <w:t> </w:t>
      </w:r>
      <w:r>
        <w:rPr>
          <w:rFonts w:ascii="宋体" w:hAnsi="宋体" w:cs="宋体" w:eastAsia="宋体" w:hint="default"/>
          <w:sz w:val="18"/>
          <w:szCs w:val="18"/>
        </w:rPr>
        <w:t>流</w:t>
      </w:r>
      <w:r>
        <w:rPr>
          <w:rFonts w:ascii="宋体" w:hAnsi="宋体" w:cs="宋体" w:eastAsia="宋体" w:hint="default"/>
          <w:spacing w:val="-66"/>
          <w:sz w:val="18"/>
          <w:szCs w:val="18"/>
        </w:rPr>
        <w:t> </w:t>
      </w:r>
      <w:r>
        <w:rPr>
          <w:rFonts w:ascii="宋体" w:hAnsi="宋体" w:cs="宋体" w:eastAsia="宋体" w:hint="default"/>
          <w:sz w:val="18"/>
          <w:szCs w:val="18"/>
        </w:rPr>
        <w:t>园</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pacing w:val="10"/>
          <w:sz w:val="18"/>
          <w:szCs w:val="18"/>
        </w:rPr>
        <w:t>目。</w:t>
      </w:r>
    </w:p>
    <w:p>
      <w:pPr>
        <w:spacing w:line="240" w:lineRule="auto" w:before="7"/>
        <w:rPr>
          <w:rFonts w:ascii="宋体" w:hAnsi="宋体" w:cs="宋体" w:eastAsia="宋体" w:hint="default"/>
          <w:sz w:val="19"/>
          <w:szCs w:val="19"/>
        </w:rPr>
      </w:pPr>
    </w:p>
    <w:p>
      <w:pPr>
        <w:spacing w:line="290" w:lineRule="auto" w:before="0"/>
        <w:ind w:left="540" w:right="569" w:firstLine="38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Garamond" w:hAnsi="Garamond" w:cs="Garamond" w:eastAsia="Garamond" w:hint="default"/>
          <w:spacing w:val="7"/>
          <w:sz w:val="18"/>
          <w:szCs w:val="18"/>
        </w:rPr>
        <w:t>2</w:t>
      </w:r>
      <w:r>
        <w:rPr>
          <w:rFonts w:ascii="宋体" w:hAnsi="宋体" w:cs="宋体" w:eastAsia="宋体" w:hint="default"/>
          <w:spacing w:val="7"/>
          <w:sz w:val="18"/>
          <w:szCs w:val="18"/>
        </w:rPr>
        <w:t>）根据</w:t>
      </w:r>
      <w:r>
        <w:rPr>
          <w:rFonts w:ascii="宋体" w:hAnsi="宋体" w:cs="宋体" w:eastAsia="宋体" w:hint="default"/>
          <w:spacing w:val="-14"/>
          <w:sz w:val="18"/>
          <w:szCs w:val="18"/>
        </w:rPr>
        <w:t> </w:t>
      </w:r>
      <w:r>
        <w:rPr>
          <w:rFonts w:ascii="Garamond" w:hAnsi="Garamond" w:cs="Garamond" w:eastAsia="Garamond" w:hint="default"/>
          <w:spacing w:val="7"/>
          <w:sz w:val="18"/>
          <w:szCs w:val="18"/>
        </w:rPr>
        <w:t>2007</w:t>
      </w:r>
      <w:r>
        <w:rPr>
          <w:rFonts w:ascii="Garamond" w:hAnsi="Garamond" w:cs="Garamond" w:eastAsia="Garamond" w:hint="default"/>
          <w:spacing w:val="21"/>
          <w:sz w:val="18"/>
          <w:szCs w:val="18"/>
        </w:rPr>
        <w:t> </w:t>
      </w:r>
      <w:r>
        <w:rPr>
          <w:rFonts w:ascii="宋体" w:hAnsi="宋体" w:cs="宋体" w:eastAsia="宋体" w:hint="default"/>
          <w:spacing w:val="10"/>
          <w:sz w:val="18"/>
          <w:szCs w:val="18"/>
        </w:rPr>
        <w:t>年公司《</w:t>
      </w:r>
      <w:r>
        <w:rPr>
          <w:rFonts w:ascii="宋体" w:hAnsi="宋体" w:cs="宋体" w:eastAsia="宋体" w:hint="default"/>
          <w:spacing w:val="-69"/>
          <w:sz w:val="18"/>
          <w:szCs w:val="18"/>
        </w:rPr>
        <w:t> </w:t>
      </w:r>
      <w:r>
        <w:rPr>
          <w:rFonts w:ascii="宋体" w:hAnsi="宋体" w:cs="宋体" w:eastAsia="宋体" w:hint="default"/>
          <w:sz w:val="18"/>
          <w:szCs w:val="18"/>
        </w:rPr>
        <w:t>非</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开</w:t>
      </w:r>
      <w:r>
        <w:rPr>
          <w:rFonts w:ascii="宋体" w:hAnsi="宋体" w:cs="宋体" w:eastAsia="宋体" w:hint="default"/>
          <w:spacing w:val="-66"/>
          <w:sz w:val="18"/>
          <w:szCs w:val="18"/>
        </w:rPr>
        <w:t> </w:t>
      </w:r>
      <w:r>
        <w:rPr>
          <w:rFonts w:ascii="宋体" w:hAnsi="宋体" w:cs="宋体" w:eastAsia="宋体" w:hint="default"/>
          <w:sz w:val="18"/>
          <w:szCs w:val="18"/>
        </w:rPr>
        <w:t>发</w:t>
      </w:r>
      <w:r>
        <w:rPr>
          <w:rFonts w:ascii="宋体" w:hAnsi="宋体" w:cs="宋体" w:eastAsia="宋体" w:hint="default"/>
          <w:spacing w:val="-66"/>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z w:val="18"/>
          <w:szCs w:val="18"/>
        </w:rPr>
        <w:t>股</w:t>
      </w:r>
      <w:r>
        <w:rPr>
          <w:rFonts w:ascii="宋体" w:hAnsi="宋体" w:cs="宋体" w:eastAsia="宋体" w:hint="default"/>
          <w:spacing w:val="-66"/>
          <w:sz w:val="18"/>
          <w:szCs w:val="18"/>
        </w:rPr>
        <w:t> </w:t>
      </w:r>
      <w:r>
        <w:rPr>
          <w:rFonts w:ascii="宋体" w:hAnsi="宋体" w:cs="宋体" w:eastAsia="宋体" w:hint="default"/>
          <w:sz w:val="18"/>
          <w:szCs w:val="18"/>
        </w:rPr>
        <w:t>票</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拟</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z w:val="18"/>
          <w:szCs w:val="18"/>
        </w:rPr>
        <w:t>目</w:t>
      </w:r>
      <w:r>
        <w:rPr>
          <w:rFonts w:ascii="宋体" w:hAnsi="宋体" w:cs="宋体" w:eastAsia="宋体" w:hint="default"/>
          <w:spacing w:val="-66"/>
          <w:sz w:val="18"/>
          <w:szCs w:val="18"/>
        </w:rPr>
        <w:t> </w:t>
      </w:r>
      <w:r>
        <w:rPr>
          <w:rFonts w:ascii="宋体" w:hAnsi="宋体" w:cs="宋体" w:eastAsia="宋体" w:hint="default"/>
          <w:sz w:val="18"/>
          <w:szCs w:val="18"/>
        </w:rPr>
        <w:t>深</w:t>
      </w:r>
      <w:r>
        <w:rPr>
          <w:rFonts w:ascii="宋体" w:hAnsi="宋体" w:cs="宋体" w:eastAsia="宋体" w:hint="default"/>
          <w:spacing w:val="-66"/>
          <w:sz w:val="18"/>
          <w:szCs w:val="18"/>
        </w:rPr>
        <w:t> </w:t>
      </w:r>
      <w:r>
        <w:rPr>
          <w:rFonts w:ascii="宋体" w:hAnsi="宋体" w:cs="宋体" w:eastAsia="宋体" w:hint="default"/>
          <w:sz w:val="18"/>
          <w:szCs w:val="18"/>
        </w:rPr>
        <w:t>圳</w:t>
      </w:r>
      <w:r>
        <w:rPr>
          <w:rFonts w:ascii="宋体" w:hAnsi="宋体" w:cs="宋体" w:eastAsia="宋体" w:hint="default"/>
          <w:spacing w:val="-66"/>
          <w:sz w:val="18"/>
          <w:szCs w:val="18"/>
        </w:rPr>
        <w:t> </w:t>
      </w:r>
      <w:r>
        <w:rPr>
          <w:rFonts w:ascii="宋体" w:hAnsi="宋体" w:cs="宋体" w:eastAsia="宋体" w:hint="default"/>
          <w:sz w:val="18"/>
          <w:szCs w:val="18"/>
        </w:rPr>
        <w:t>国</w:t>
      </w:r>
      <w:r>
        <w:rPr>
          <w:rFonts w:ascii="宋体" w:hAnsi="宋体" w:cs="宋体" w:eastAsia="宋体" w:hint="default"/>
          <w:spacing w:val="-66"/>
          <w:sz w:val="18"/>
          <w:szCs w:val="18"/>
        </w:rPr>
        <w:t> </w:t>
      </w:r>
      <w:r>
        <w:rPr>
          <w:rFonts w:ascii="宋体" w:hAnsi="宋体" w:cs="宋体" w:eastAsia="宋体" w:hint="default"/>
          <w:sz w:val="18"/>
          <w:szCs w:val="18"/>
        </w:rPr>
        <w:t>际</w:t>
      </w:r>
      <w:r>
        <w:rPr>
          <w:rFonts w:ascii="宋体" w:hAnsi="宋体" w:cs="宋体" w:eastAsia="宋体" w:hint="default"/>
          <w:spacing w:val="-66"/>
          <w:sz w:val="18"/>
          <w:szCs w:val="18"/>
        </w:rPr>
        <w:t> </w:t>
      </w:r>
      <w:r>
        <w:rPr>
          <w:rFonts w:ascii="宋体" w:hAnsi="宋体" w:cs="宋体" w:eastAsia="宋体" w:hint="default"/>
          <w:sz w:val="18"/>
          <w:szCs w:val="18"/>
        </w:rPr>
        <w:t>农</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品</w:t>
      </w:r>
      <w:r>
        <w:rPr>
          <w:rFonts w:ascii="宋体" w:hAnsi="宋体" w:cs="宋体" w:eastAsia="宋体" w:hint="default"/>
          <w:spacing w:val="-66"/>
          <w:sz w:val="18"/>
          <w:szCs w:val="18"/>
        </w:rPr>
        <w:t> </w:t>
      </w:r>
      <w:r>
        <w:rPr>
          <w:rFonts w:ascii="宋体" w:hAnsi="宋体" w:cs="宋体" w:eastAsia="宋体" w:hint="default"/>
          <w:sz w:val="18"/>
          <w:szCs w:val="18"/>
        </w:rPr>
        <w:t>物</w:t>
      </w:r>
      <w:r>
        <w:rPr>
          <w:rFonts w:ascii="宋体" w:hAnsi="宋体" w:cs="宋体" w:eastAsia="宋体" w:hint="default"/>
          <w:spacing w:val="-66"/>
          <w:sz w:val="18"/>
          <w:szCs w:val="18"/>
        </w:rPr>
        <w:t> </w:t>
      </w:r>
      <w:r>
        <w:rPr>
          <w:rFonts w:ascii="宋体" w:hAnsi="宋体" w:cs="宋体" w:eastAsia="宋体" w:hint="default"/>
          <w:sz w:val="18"/>
          <w:szCs w:val="18"/>
        </w:rPr>
        <w:t>流</w:t>
      </w:r>
      <w:r>
        <w:rPr>
          <w:rFonts w:ascii="宋体" w:hAnsi="宋体" w:cs="宋体" w:eastAsia="宋体" w:hint="default"/>
          <w:spacing w:val="-66"/>
          <w:sz w:val="18"/>
          <w:szCs w:val="18"/>
        </w:rPr>
        <w:t> </w:t>
      </w:r>
      <w:r>
        <w:rPr>
          <w:rFonts w:ascii="宋体" w:hAnsi="宋体" w:cs="宋体" w:eastAsia="宋体" w:hint="default"/>
          <w:sz w:val="18"/>
          <w:szCs w:val="18"/>
        </w:rPr>
        <w:t>园</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z w:val="18"/>
          <w:szCs w:val="18"/>
        </w:rPr>
        <w:t>目</w:t>
      </w:r>
      <w:r>
        <w:rPr>
          <w:rFonts w:ascii="宋体" w:hAnsi="宋体" w:cs="宋体" w:eastAsia="宋体" w:hint="default"/>
          <w:spacing w:val="-59"/>
          <w:sz w:val="18"/>
          <w:szCs w:val="18"/>
        </w:rPr>
        <w:t> </w:t>
      </w:r>
      <w:r>
        <w:rPr>
          <w:rFonts w:ascii="宋体" w:hAnsi="宋体" w:cs="宋体" w:eastAsia="宋体" w:hint="default"/>
          <w:sz w:val="18"/>
          <w:szCs w:val="18"/>
        </w:rPr>
        <w:t>可</w:t>
      </w:r>
      <w:r>
        <w:rPr>
          <w:rFonts w:ascii="宋体" w:hAnsi="宋体" w:cs="宋体" w:eastAsia="宋体" w:hint="default"/>
          <w:sz w:val="18"/>
          <w:szCs w:val="18"/>
        </w:rPr>
        <w:t> </w:t>
      </w:r>
      <w:r>
        <w:rPr>
          <w:rFonts w:ascii="宋体" w:hAnsi="宋体" w:cs="宋体" w:eastAsia="宋体" w:hint="default"/>
          <w:spacing w:val="9"/>
          <w:sz w:val="18"/>
          <w:szCs w:val="18"/>
        </w:rPr>
        <w:t>行性</w:t>
      </w:r>
      <w:r>
        <w:rPr>
          <w:rFonts w:ascii="宋体" w:hAnsi="宋体" w:cs="宋体" w:eastAsia="宋体" w:hint="default"/>
          <w:spacing w:val="-66"/>
          <w:sz w:val="18"/>
          <w:szCs w:val="18"/>
        </w:rPr>
        <w:t> </w:t>
      </w:r>
      <w:r>
        <w:rPr>
          <w:rFonts w:ascii="宋体" w:hAnsi="宋体" w:cs="宋体" w:eastAsia="宋体" w:hint="default"/>
          <w:sz w:val="18"/>
          <w:szCs w:val="18"/>
        </w:rPr>
        <w:t>研</w:t>
      </w:r>
      <w:r>
        <w:rPr>
          <w:rFonts w:ascii="宋体" w:hAnsi="宋体" w:cs="宋体" w:eastAsia="宋体" w:hint="default"/>
          <w:spacing w:val="-66"/>
          <w:sz w:val="18"/>
          <w:szCs w:val="18"/>
        </w:rPr>
        <w:t> </w:t>
      </w:r>
      <w:r>
        <w:rPr>
          <w:rFonts w:ascii="宋体" w:hAnsi="宋体" w:cs="宋体" w:eastAsia="宋体" w:hint="default"/>
          <w:sz w:val="18"/>
          <w:szCs w:val="18"/>
        </w:rPr>
        <w:t>究</w:t>
      </w:r>
      <w:r>
        <w:rPr>
          <w:rFonts w:ascii="宋体" w:hAnsi="宋体" w:cs="宋体" w:eastAsia="宋体" w:hint="default"/>
          <w:spacing w:val="-66"/>
          <w:sz w:val="18"/>
          <w:szCs w:val="18"/>
        </w:rPr>
        <w:t> </w:t>
      </w:r>
      <w:r>
        <w:rPr>
          <w:rFonts w:ascii="宋体" w:hAnsi="宋体" w:cs="宋体" w:eastAsia="宋体" w:hint="default"/>
          <w:sz w:val="18"/>
          <w:szCs w:val="18"/>
        </w:rPr>
        <w:t>报</w:t>
      </w:r>
      <w:r>
        <w:rPr>
          <w:rFonts w:ascii="宋体" w:hAnsi="宋体" w:cs="宋体" w:eastAsia="宋体" w:hint="default"/>
          <w:spacing w:val="-66"/>
          <w:sz w:val="18"/>
          <w:szCs w:val="18"/>
        </w:rPr>
        <w:t> </w:t>
      </w:r>
      <w:r>
        <w:rPr>
          <w:rFonts w:ascii="宋体" w:hAnsi="宋体" w:cs="宋体" w:eastAsia="宋体" w:hint="default"/>
          <w:sz w:val="18"/>
          <w:szCs w:val="18"/>
        </w:rPr>
        <w:t>告</w:t>
      </w:r>
      <w:r>
        <w:rPr>
          <w:rFonts w:ascii="宋体" w:hAnsi="宋体" w:cs="宋体" w:eastAsia="宋体" w:hint="default"/>
          <w:spacing w:val="-66"/>
          <w:sz w:val="18"/>
          <w:szCs w:val="18"/>
        </w:rPr>
        <w:t> </w:t>
      </w:r>
      <w:r>
        <w:rPr>
          <w:rFonts w:ascii="宋体" w:hAnsi="宋体" w:cs="宋体" w:eastAsia="宋体" w:hint="default"/>
          <w:sz w:val="18"/>
          <w:szCs w:val="18"/>
        </w:rPr>
        <w:t>摘</w:t>
      </w:r>
      <w:r>
        <w:rPr>
          <w:rFonts w:ascii="宋体" w:hAnsi="宋体" w:cs="宋体" w:eastAsia="宋体" w:hint="default"/>
          <w:spacing w:val="-66"/>
          <w:sz w:val="18"/>
          <w:szCs w:val="18"/>
        </w:rPr>
        <w:t> </w:t>
      </w:r>
      <w:r>
        <w:rPr>
          <w:rFonts w:ascii="宋体" w:hAnsi="宋体" w:cs="宋体" w:eastAsia="宋体" w:hint="default"/>
          <w:spacing w:val="12"/>
          <w:sz w:val="18"/>
          <w:szCs w:val="18"/>
        </w:rPr>
        <w:t>要》和公司</w:t>
      </w:r>
      <w:r>
        <w:rPr>
          <w:rFonts w:ascii="宋体" w:hAnsi="宋体" w:cs="宋体" w:eastAsia="宋体" w:hint="default"/>
          <w:spacing w:val="-9"/>
          <w:sz w:val="18"/>
          <w:szCs w:val="18"/>
        </w:rPr>
        <w:t> </w:t>
      </w:r>
      <w:r>
        <w:rPr>
          <w:rFonts w:ascii="Garamond" w:hAnsi="Garamond" w:cs="Garamond" w:eastAsia="Garamond" w:hint="default"/>
          <w:spacing w:val="7"/>
          <w:sz w:val="18"/>
          <w:szCs w:val="18"/>
        </w:rPr>
        <w:t>2008</w:t>
      </w:r>
      <w:r>
        <w:rPr>
          <w:rFonts w:ascii="Garamond" w:hAnsi="Garamond" w:cs="Garamond" w:eastAsia="Garamond" w:hint="default"/>
          <w:spacing w:val="24"/>
          <w:sz w:val="18"/>
          <w:szCs w:val="18"/>
        </w:rPr>
        <w:t> </w:t>
      </w:r>
      <w:r>
        <w:rPr>
          <w:rFonts w:ascii="宋体" w:hAnsi="宋体" w:cs="宋体" w:eastAsia="宋体" w:hint="default"/>
          <w:spacing w:val="9"/>
          <w:sz w:val="18"/>
          <w:szCs w:val="18"/>
        </w:rPr>
        <w:t>年年</w:t>
      </w:r>
      <w:r>
        <w:rPr>
          <w:rFonts w:ascii="宋体" w:hAnsi="宋体" w:cs="宋体" w:eastAsia="宋体" w:hint="default"/>
          <w:spacing w:val="-66"/>
          <w:sz w:val="18"/>
          <w:szCs w:val="18"/>
        </w:rPr>
        <w:t> </w:t>
      </w:r>
      <w:r>
        <w:rPr>
          <w:rFonts w:ascii="宋体" w:hAnsi="宋体" w:cs="宋体" w:eastAsia="宋体" w:hint="default"/>
          <w:sz w:val="18"/>
          <w:szCs w:val="18"/>
        </w:rPr>
        <w:t>度</w:t>
      </w:r>
      <w:r>
        <w:rPr>
          <w:rFonts w:ascii="宋体" w:hAnsi="宋体" w:cs="宋体" w:eastAsia="宋体" w:hint="default"/>
          <w:spacing w:val="-66"/>
          <w:sz w:val="18"/>
          <w:szCs w:val="18"/>
        </w:rPr>
        <w:t> </w:t>
      </w:r>
      <w:r>
        <w:rPr>
          <w:rFonts w:ascii="宋体" w:hAnsi="宋体" w:cs="宋体" w:eastAsia="宋体" w:hint="default"/>
          <w:sz w:val="18"/>
          <w:szCs w:val="18"/>
        </w:rPr>
        <w:t>报</w:t>
      </w:r>
      <w:r>
        <w:rPr>
          <w:rFonts w:ascii="宋体" w:hAnsi="宋体" w:cs="宋体" w:eastAsia="宋体" w:hint="default"/>
          <w:spacing w:val="-66"/>
          <w:sz w:val="18"/>
          <w:szCs w:val="18"/>
        </w:rPr>
        <w:t> </w:t>
      </w:r>
      <w:r>
        <w:rPr>
          <w:rFonts w:ascii="宋体" w:hAnsi="宋体" w:cs="宋体" w:eastAsia="宋体" w:hint="default"/>
          <w:sz w:val="18"/>
          <w:szCs w:val="18"/>
        </w:rPr>
        <w:t>告</w:t>
      </w:r>
      <w:r>
        <w:rPr>
          <w:rFonts w:ascii="宋体" w:hAnsi="宋体" w:cs="宋体" w:eastAsia="宋体" w:hint="default"/>
          <w:spacing w:val="-66"/>
          <w:sz w:val="18"/>
          <w:szCs w:val="18"/>
        </w:rPr>
        <w:t> </w:t>
      </w:r>
      <w:r>
        <w:rPr>
          <w:rFonts w:ascii="宋体" w:hAnsi="宋体" w:cs="宋体" w:eastAsia="宋体" w:hint="default"/>
          <w:sz w:val="18"/>
          <w:szCs w:val="18"/>
        </w:rPr>
        <w:t>对</w:t>
      </w:r>
      <w:r>
        <w:rPr>
          <w:rFonts w:ascii="宋体" w:hAnsi="宋体" w:cs="宋体" w:eastAsia="宋体" w:hint="default"/>
          <w:spacing w:val="-66"/>
          <w:sz w:val="18"/>
          <w:szCs w:val="18"/>
        </w:rPr>
        <w:t> </w:t>
      </w:r>
      <w:r>
        <w:rPr>
          <w:rFonts w:ascii="宋体" w:hAnsi="宋体" w:cs="宋体" w:eastAsia="宋体" w:hint="default"/>
          <w:sz w:val="18"/>
          <w:szCs w:val="18"/>
        </w:rPr>
        <w:t>前</w:t>
      </w:r>
      <w:r>
        <w:rPr>
          <w:rFonts w:ascii="宋体" w:hAnsi="宋体" w:cs="宋体" w:eastAsia="宋体" w:hint="default"/>
          <w:spacing w:val="-66"/>
          <w:sz w:val="18"/>
          <w:szCs w:val="18"/>
        </w:rPr>
        <w:t> </w:t>
      </w:r>
      <w:r>
        <w:rPr>
          <w:rFonts w:ascii="宋体" w:hAnsi="宋体" w:cs="宋体" w:eastAsia="宋体" w:hint="default"/>
          <w:sz w:val="18"/>
          <w:szCs w:val="18"/>
        </w:rPr>
        <w:t>次</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计</w:t>
      </w:r>
      <w:r>
        <w:rPr>
          <w:rFonts w:ascii="宋体" w:hAnsi="宋体" w:cs="宋体" w:eastAsia="宋体" w:hint="default"/>
          <w:spacing w:val="-66"/>
          <w:sz w:val="18"/>
          <w:szCs w:val="18"/>
        </w:rPr>
        <w:t> </w:t>
      </w:r>
      <w:r>
        <w:rPr>
          <w:rFonts w:ascii="宋体" w:hAnsi="宋体" w:cs="宋体" w:eastAsia="宋体" w:hint="default"/>
          <w:sz w:val="18"/>
          <w:szCs w:val="18"/>
        </w:rPr>
        <w:t>划</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调</w:t>
      </w:r>
      <w:r>
        <w:rPr>
          <w:rFonts w:ascii="宋体" w:hAnsi="宋体" w:cs="宋体" w:eastAsia="宋体" w:hint="default"/>
          <w:spacing w:val="-66"/>
          <w:sz w:val="18"/>
          <w:szCs w:val="18"/>
        </w:rPr>
        <w:t> </w:t>
      </w:r>
      <w:r>
        <w:rPr>
          <w:rFonts w:ascii="宋体" w:hAnsi="宋体" w:cs="宋体" w:eastAsia="宋体" w:hint="default"/>
          <w:spacing w:val="10"/>
          <w:sz w:val="18"/>
          <w:szCs w:val="18"/>
        </w:rPr>
        <w:t>整，公司</w:t>
      </w:r>
      <w:r>
        <w:rPr>
          <w:rFonts w:ascii="宋体" w:hAnsi="宋体" w:cs="宋体" w:eastAsia="宋体" w:hint="default"/>
          <w:spacing w:val="-11"/>
          <w:sz w:val="18"/>
          <w:szCs w:val="18"/>
        </w:rPr>
        <w:t> </w:t>
      </w:r>
      <w:r>
        <w:rPr>
          <w:rFonts w:ascii="Garamond" w:hAnsi="Garamond" w:cs="Garamond" w:eastAsia="Garamond" w:hint="default"/>
          <w:spacing w:val="7"/>
          <w:sz w:val="18"/>
          <w:szCs w:val="18"/>
        </w:rPr>
        <w:t>2009</w:t>
      </w:r>
      <w:r>
        <w:rPr>
          <w:rFonts w:ascii="Garamond" w:hAnsi="Garamond" w:cs="Garamond" w:eastAsia="Garamond" w:hint="default"/>
          <w:spacing w:val="24"/>
          <w:sz w:val="18"/>
          <w:szCs w:val="18"/>
        </w:rPr>
        <w:t> </w:t>
      </w:r>
      <w:r>
        <w:rPr>
          <w:rFonts w:ascii="宋体" w:hAnsi="宋体" w:cs="宋体" w:eastAsia="宋体" w:hint="default"/>
          <w:spacing w:val="9"/>
          <w:sz w:val="18"/>
          <w:szCs w:val="18"/>
        </w:rPr>
        <w:t>年度</w:t>
      </w:r>
      <w:r>
        <w:rPr>
          <w:rFonts w:ascii="宋体" w:hAnsi="宋体" w:cs="宋体" w:eastAsia="宋体" w:hint="default"/>
          <w:spacing w:val="-62"/>
          <w:sz w:val="18"/>
          <w:szCs w:val="18"/>
        </w:rPr>
        <w:t> </w:t>
      </w:r>
      <w:r>
        <w:rPr>
          <w:rFonts w:ascii="宋体" w:hAnsi="宋体" w:cs="宋体" w:eastAsia="宋体" w:hint="default"/>
          <w:sz w:val="18"/>
          <w:szCs w:val="18"/>
        </w:rPr>
        <w:t>将</w:t>
      </w:r>
      <w:r>
        <w:rPr>
          <w:rFonts w:ascii="宋体" w:hAnsi="宋体" w:cs="宋体" w:eastAsia="宋体" w:hint="default"/>
          <w:sz w:val="18"/>
          <w:szCs w:val="18"/>
        </w:rPr>
        <w:t> </w:t>
      </w:r>
      <w:r>
        <w:rPr>
          <w:rFonts w:ascii="宋体" w:hAnsi="宋体" w:cs="宋体" w:eastAsia="宋体" w:hint="default"/>
          <w:spacing w:val="9"/>
          <w:sz w:val="18"/>
          <w:szCs w:val="18"/>
        </w:rPr>
        <w:t>投入</w:t>
      </w:r>
      <w:r>
        <w:rPr>
          <w:rFonts w:ascii="宋体" w:hAnsi="宋体" w:cs="宋体" w:eastAsia="宋体" w:hint="default"/>
          <w:spacing w:val="-64"/>
          <w:sz w:val="18"/>
          <w:szCs w:val="18"/>
        </w:rPr>
        <w:t> </w:t>
      </w:r>
      <w:r>
        <w:rPr>
          <w:rFonts w:ascii="宋体" w:hAnsi="宋体" w:cs="宋体" w:eastAsia="宋体" w:hint="default"/>
          <w:sz w:val="18"/>
          <w:szCs w:val="18"/>
        </w:rPr>
        <w:t>使</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
          <w:sz w:val="18"/>
          <w:szCs w:val="18"/>
        </w:rPr>
        <w:t> </w:t>
      </w:r>
      <w:r>
        <w:rPr>
          <w:rFonts w:ascii="Garamond" w:hAnsi="Garamond" w:cs="Garamond" w:eastAsia="Garamond" w:hint="default"/>
          <w:spacing w:val="8"/>
          <w:sz w:val="18"/>
          <w:szCs w:val="18"/>
        </w:rPr>
        <w:t>59,652</w:t>
      </w:r>
      <w:r>
        <w:rPr>
          <w:rFonts w:ascii="Garamond" w:hAnsi="Garamond" w:cs="Garamond" w:eastAsia="Garamond" w:hint="default"/>
          <w:spacing w:val="24"/>
          <w:sz w:val="18"/>
          <w:szCs w:val="18"/>
        </w:rPr>
        <w:t> </w:t>
      </w:r>
      <w:r>
        <w:rPr>
          <w:rFonts w:ascii="宋体" w:hAnsi="宋体" w:cs="宋体" w:eastAsia="宋体" w:hint="default"/>
          <w:spacing w:val="9"/>
          <w:sz w:val="18"/>
          <w:szCs w:val="18"/>
        </w:rPr>
        <w:t>万元</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Garamond" w:hAnsi="Garamond" w:cs="Garamond" w:eastAsia="Garamond" w:hint="default"/>
          <w:spacing w:val="7"/>
          <w:sz w:val="18"/>
          <w:szCs w:val="18"/>
        </w:rPr>
        <w:t>2009</w:t>
      </w:r>
      <w:r>
        <w:rPr>
          <w:rFonts w:ascii="Garamond" w:hAnsi="Garamond" w:cs="Garamond" w:eastAsia="Garamond" w:hint="default"/>
          <w:spacing w:val="24"/>
          <w:sz w:val="18"/>
          <w:szCs w:val="18"/>
        </w:rPr>
        <w:t> </w:t>
      </w:r>
      <w:r>
        <w:rPr>
          <w:rFonts w:ascii="宋体" w:hAnsi="宋体" w:cs="宋体" w:eastAsia="宋体" w:hint="default"/>
          <w:spacing w:val="9"/>
          <w:sz w:val="18"/>
          <w:szCs w:val="18"/>
        </w:rPr>
        <w:t>年度</w:t>
      </w:r>
      <w:r>
        <w:rPr>
          <w:rFonts w:ascii="宋体" w:hAnsi="宋体" w:cs="宋体" w:eastAsia="宋体" w:hint="default"/>
          <w:spacing w:val="-64"/>
          <w:sz w:val="18"/>
          <w:szCs w:val="18"/>
        </w:rPr>
        <w:t> </w:t>
      </w:r>
      <w:r>
        <w:rPr>
          <w:rFonts w:ascii="宋体" w:hAnsi="宋体" w:cs="宋体" w:eastAsia="宋体" w:hint="default"/>
          <w:sz w:val="18"/>
          <w:szCs w:val="18"/>
        </w:rPr>
        <w:t>实</w:t>
      </w:r>
      <w:r>
        <w:rPr>
          <w:rFonts w:ascii="宋体" w:hAnsi="宋体" w:cs="宋体" w:eastAsia="宋体" w:hint="default"/>
          <w:spacing w:val="-66"/>
          <w:sz w:val="18"/>
          <w:szCs w:val="18"/>
        </w:rPr>
        <w:t> </w:t>
      </w:r>
      <w:r>
        <w:rPr>
          <w:rFonts w:ascii="宋体" w:hAnsi="宋体" w:cs="宋体" w:eastAsia="宋体" w:hint="default"/>
          <w:sz w:val="18"/>
          <w:szCs w:val="18"/>
        </w:rPr>
        <w:t>际</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59"/>
          <w:sz w:val="18"/>
          <w:szCs w:val="18"/>
        </w:rPr>
        <w:t> </w:t>
      </w:r>
      <w:r>
        <w:rPr>
          <w:rFonts w:ascii="宋体" w:hAnsi="宋体" w:cs="宋体" w:eastAsia="宋体" w:hint="default"/>
          <w:spacing w:val="9"/>
          <w:sz w:val="18"/>
          <w:szCs w:val="18"/>
        </w:rPr>
        <w:t>资金</w:t>
      </w:r>
      <w:r>
        <w:rPr>
          <w:rFonts w:ascii="宋体" w:hAnsi="宋体" w:cs="宋体" w:eastAsia="宋体" w:hint="default"/>
          <w:spacing w:val="-9"/>
          <w:sz w:val="18"/>
          <w:szCs w:val="18"/>
        </w:rPr>
        <w:t> </w:t>
      </w:r>
      <w:r>
        <w:rPr>
          <w:rFonts w:ascii="Garamond" w:hAnsi="Garamond" w:cs="Garamond" w:eastAsia="Garamond" w:hint="default"/>
          <w:sz w:val="18"/>
          <w:szCs w:val="18"/>
        </w:rPr>
        <w:t>8,920.21</w:t>
      </w:r>
      <w:r>
        <w:rPr>
          <w:rFonts w:ascii="Garamond" w:hAnsi="Garamond" w:cs="Garamond" w:eastAsia="Garamond" w:hint="default"/>
          <w:spacing w:val="2"/>
          <w:sz w:val="18"/>
          <w:szCs w:val="18"/>
        </w:rPr>
        <w:t> </w:t>
      </w:r>
      <w:r>
        <w:rPr>
          <w:rFonts w:ascii="宋体" w:hAnsi="宋体" w:cs="宋体" w:eastAsia="宋体" w:hint="default"/>
          <w:spacing w:val="4"/>
          <w:sz w:val="18"/>
          <w:szCs w:val="18"/>
        </w:rPr>
        <w:t>万元，本年</w:t>
      </w:r>
      <w:r>
        <w:rPr>
          <w:rFonts w:ascii="宋体" w:hAnsi="宋体" w:cs="宋体" w:eastAsia="宋体" w:hint="default"/>
          <w:spacing w:val="-64"/>
          <w:sz w:val="18"/>
          <w:szCs w:val="18"/>
        </w:rPr>
        <w:t> </w:t>
      </w:r>
      <w:r>
        <w:rPr>
          <w:rFonts w:ascii="宋体" w:hAnsi="宋体" w:cs="宋体" w:eastAsia="宋体" w:hint="default"/>
          <w:sz w:val="18"/>
          <w:szCs w:val="18"/>
        </w:rPr>
        <w:t>度</w:t>
      </w:r>
      <w:r>
        <w:rPr>
          <w:rFonts w:ascii="宋体" w:hAnsi="宋体" w:cs="宋体" w:eastAsia="宋体" w:hint="default"/>
          <w:spacing w:val="-66"/>
          <w:sz w:val="18"/>
          <w:szCs w:val="18"/>
        </w:rPr>
        <w:t> </w:t>
      </w:r>
      <w:r>
        <w:rPr>
          <w:rFonts w:ascii="宋体" w:hAnsi="宋体" w:cs="宋体" w:eastAsia="宋体" w:hint="default"/>
          <w:sz w:val="18"/>
          <w:szCs w:val="18"/>
        </w:rPr>
        <w:t>所</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57"/>
          <w:sz w:val="18"/>
          <w:szCs w:val="18"/>
        </w:rPr>
        <w:t> </w:t>
      </w:r>
      <w:r>
        <w:rPr>
          <w:rFonts w:ascii="宋体" w:hAnsi="宋体" w:cs="宋体" w:eastAsia="宋体" w:hint="default"/>
          <w:sz w:val="18"/>
          <w:szCs w:val="18"/>
        </w:rPr>
        <w:t>集</w:t>
      </w:r>
      <w:r>
        <w:rPr>
          <w:rFonts w:ascii="宋体" w:hAnsi="宋体" w:cs="宋体" w:eastAsia="宋体" w:hint="default"/>
          <w:sz w:val="18"/>
          <w:szCs w:val="18"/>
        </w:rPr>
        <w:t> </w:t>
      </w:r>
      <w:r>
        <w:rPr>
          <w:rFonts w:ascii="宋体" w:hAnsi="宋体" w:cs="宋体" w:eastAsia="宋体" w:hint="default"/>
          <w:spacing w:val="9"/>
          <w:sz w:val="18"/>
          <w:szCs w:val="18"/>
        </w:rPr>
        <w:t>资金</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所</w:t>
      </w:r>
      <w:r>
        <w:rPr>
          <w:rFonts w:ascii="宋体" w:hAnsi="宋体" w:cs="宋体" w:eastAsia="宋体" w:hint="default"/>
          <w:spacing w:val="-66"/>
          <w:sz w:val="18"/>
          <w:szCs w:val="18"/>
        </w:rPr>
        <w:t> </w:t>
      </w:r>
      <w:r>
        <w:rPr>
          <w:rFonts w:ascii="宋体" w:hAnsi="宋体" w:cs="宋体" w:eastAsia="宋体" w:hint="default"/>
          <w:sz w:val="18"/>
          <w:szCs w:val="18"/>
        </w:rPr>
        <w:t>延</w:t>
      </w:r>
      <w:r>
        <w:rPr>
          <w:rFonts w:ascii="宋体" w:hAnsi="宋体" w:cs="宋体" w:eastAsia="宋体" w:hint="default"/>
          <w:spacing w:val="-66"/>
          <w:sz w:val="18"/>
          <w:szCs w:val="18"/>
        </w:rPr>
        <w:t> </w:t>
      </w:r>
      <w:r>
        <w:rPr>
          <w:rFonts w:ascii="宋体" w:hAnsi="宋体" w:cs="宋体" w:eastAsia="宋体" w:hint="default"/>
          <w:sz w:val="18"/>
          <w:szCs w:val="18"/>
        </w:rPr>
        <w:t>后</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计</w:t>
      </w:r>
      <w:r>
        <w:rPr>
          <w:rFonts w:ascii="宋体" w:hAnsi="宋体" w:cs="宋体" w:eastAsia="宋体" w:hint="default"/>
          <w:spacing w:val="-66"/>
          <w:sz w:val="18"/>
          <w:szCs w:val="18"/>
        </w:rPr>
        <w:t> </w:t>
      </w:r>
      <w:r>
        <w:rPr>
          <w:rFonts w:ascii="宋体" w:hAnsi="宋体" w:cs="宋体" w:eastAsia="宋体" w:hint="default"/>
          <w:sz w:val="18"/>
          <w:szCs w:val="18"/>
        </w:rPr>
        <w:t>划</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所</w:t>
      </w:r>
      <w:r>
        <w:rPr>
          <w:rFonts w:ascii="宋体" w:hAnsi="宋体" w:cs="宋体" w:eastAsia="宋体" w:hint="default"/>
          <w:spacing w:val="-66"/>
          <w:sz w:val="18"/>
          <w:szCs w:val="18"/>
        </w:rPr>
        <w:t> </w:t>
      </w:r>
      <w:r>
        <w:rPr>
          <w:rFonts w:ascii="宋体" w:hAnsi="宋体" w:cs="宋体" w:eastAsia="宋体" w:hint="default"/>
          <w:sz w:val="18"/>
          <w:szCs w:val="18"/>
        </w:rPr>
        <w:t>延</w:t>
      </w:r>
      <w:r>
        <w:rPr>
          <w:rFonts w:ascii="宋体" w:hAnsi="宋体" w:cs="宋体" w:eastAsia="宋体" w:hint="default"/>
          <w:spacing w:val="-66"/>
          <w:sz w:val="18"/>
          <w:szCs w:val="18"/>
        </w:rPr>
        <w:t> </w:t>
      </w:r>
      <w:r>
        <w:rPr>
          <w:rFonts w:ascii="宋体" w:hAnsi="宋体" w:cs="宋体" w:eastAsia="宋体" w:hint="default"/>
          <w:sz w:val="18"/>
          <w:szCs w:val="18"/>
        </w:rPr>
        <w:t>后</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原</w:t>
      </w:r>
      <w:r>
        <w:rPr>
          <w:rFonts w:ascii="宋体" w:hAnsi="宋体" w:cs="宋体" w:eastAsia="宋体" w:hint="default"/>
          <w:spacing w:val="-66"/>
          <w:sz w:val="18"/>
          <w:szCs w:val="18"/>
        </w:rPr>
        <w:t> </w:t>
      </w:r>
      <w:r>
        <w:rPr>
          <w:rFonts w:ascii="宋体" w:hAnsi="宋体" w:cs="宋体" w:eastAsia="宋体" w:hint="default"/>
          <w:sz w:val="18"/>
          <w:szCs w:val="18"/>
        </w:rPr>
        <w:t>因</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after="0" w:line="290" w:lineRule="auto"/>
        <w:jc w:val="both"/>
        <w:rPr>
          <w:rFonts w:ascii="宋体" w:hAnsi="宋体" w:cs="宋体" w:eastAsia="宋体" w:hint="default"/>
          <w:sz w:val="18"/>
          <w:szCs w:val="18"/>
        </w:rPr>
        <w:sectPr>
          <w:headerReference w:type="default" r:id="rId91"/>
          <w:footerReference w:type="default" r:id="rId92"/>
          <w:pgSz w:w="11910" w:h="16840"/>
          <w:pgMar w:header="0" w:footer="1095" w:top="1040" w:bottom="1280" w:left="1440" w:right="920"/>
          <w:pgNumType w:start="49"/>
        </w:sectPr>
      </w:pPr>
    </w:p>
    <w:p>
      <w:pPr>
        <w:spacing w:line="316" w:lineRule="auto" w:before="24"/>
        <w:ind w:left="300" w:right="301" w:firstLine="0"/>
        <w:jc w:val="both"/>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64"/>
          <w:sz w:val="18"/>
          <w:szCs w:val="18"/>
        </w:rPr>
        <w:t> </w:t>
      </w:r>
      <w:r>
        <w:rPr>
          <w:rFonts w:ascii="宋体" w:hAnsi="宋体" w:cs="宋体" w:eastAsia="宋体" w:hint="default"/>
          <w:spacing w:val="10"/>
          <w:sz w:val="18"/>
          <w:szCs w:val="18"/>
        </w:rPr>
        <w:t>由于</w:t>
      </w:r>
      <w:r>
        <w:rPr>
          <w:rFonts w:ascii="宋体" w:hAnsi="宋体" w:cs="宋体" w:eastAsia="宋体" w:hint="default"/>
          <w:spacing w:val="-64"/>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次</w:t>
      </w:r>
      <w:r>
        <w:rPr>
          <w:rFonts w:ascii="宋体" w:hAnsi="宋体" w:cs="宋体" w:eastAsia="宋体" w:hint="default"/>
          <w:spacing w:val="-64"/>
          <w:sz w:val="18"/>
          <w:szCs w:val="18"/>
        </w:rPr>
        <w:t> </w:t>
      </w:r>
      <w:r>
        <w:rPr>
          <w:rFonts w:ascii="宋体" w:hAnsi="宋体" w:cs="宋体" w:eastAsia="宋体" w:hint="default"/>
          <w:sz w:val="18"/>
          <w:szCs w:val="18"/>
        </w:rPr>
        <w:t>非</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开</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际</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到</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pacing w:val="-64"/>
          <w:sz w:val="18"/>
          <w:szCs w:val="18"/>
        </w:rPr>
        <w:t> </w:t>
      </w:r>
      <w:r>
        <w:rPr>
          <w:rFonts w:ascii="宋体" w:hAnsi="宋体" w:cs="宋体" w:eastAsia="宋体" w:hint="default"/>
          <w:sz w:val="18"/>
          <w:szCs w:val="18"/>
        </w:rPr>
        <w:t>时</w:t>
      </w:r>
      <w:r>
        <w:rPr>
          <w:rFonts w:ascii="宋体" w:hAnsi="宋体" w:cs="宋体" w:eastAsia="宋体" w:hint="default"/>
          <w:spacing w:val="-66"/>
          <w:sz w:val="18"/>
          <w:szCs w:val="18"/>
        </w:rPr>
        <w:t> </w:t>
      </w:r>
      <w:r>
        <w:rPr>
          <w:rFonts w:ascii="宋体" w:hAnsi="宋体" w:cs="宋体" w:eastAsia="宋体" w:hint="default"/>
          <w:sz w:val="18"/>
          <w:szCs w:val="18"/>
        </w:rPr>
        <w:t>间</w:t>
      </w:r>
      <w:r>
        <w:rPr>
          <w:rFonts w:ascii="宋体" w:hAnsi="宋体" w:cs="宋体" w:eastAsia="宋体" w:hint="default"/>
          <w:spacing w:val="-64"/>
          <w:sz w:val="18"/>
          <w:szCs w:val="18"/>
        </w:rPr>
        <w:t> </w:t>
      </w:r>
      <w:r>
        <w:rPr>
          <w:rFonts w:ascii="宋体" w:hAnsi="宋体" w:cs="宋体" w:eastAsia="宋体" w:hint="default"/>
          <w:sz w:val="18"/>
          <w:szCs w:val="18"/>
        </w:rPr>
        <w:t>与</w:t>
      </w:r>
      <w:r>
        <w:rPr>
          <w:rFonts w:ascii="宋体" w:hAnsi="宋体" w:cs="宋体" w:eastAsia="宋体" w:hint="default"/>
          <w:spacing w:val="-64"/>
          <w:sz w:val="18"/>
          <w:szCs w:val="18"/>
        </w:rPr>
        <w:t> </w:t>
      </w:r>
      <w:r>
        <w:rPr>
          <w:rFonts w:ascii="宋体" w:hAnsi="宋体" w:cs="宋体" w:eastAsia="宋体" w:hint="default"/>
          <w:sz w:val="18"/>
          <w:szCs w:val="18"/>
        </w:rPr>
        <w:t>预</w:t>
      </w:r>
      <w:r>
        <w:rPr>
          <w:rFonts w:ascii="宋体" w:hAnsi="宋体" w:cs="宋体" w:eastAsia="宋体" w:hint="default"/>
          <w:spacing w:val="-66"/>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到</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pacing w:val="-64"/>
          <w:sz w:val="18"/>
          <w:szCs w:val="18"/>
        </w:rPr>
        <w:t> </w:t>
      </w:r>
      <w:r>
        <w:rPr>
          <w:rFonts w:ascii="宋体" w:hAnsi="宋体" w:cs="宋体" w:eastAsia="宋体" w:hint="default"/>
          <w:sz w:val="18"/>
          <w:szCs w:val="18"/>
        </w:rPr>
        <w:t>时</w:t>
      </w:r>
      <w:r>
        <w:rPr>
          <w:rFonts w:ascii="宋体" w:hAnsi="宋体" w:cs="宋体" w:eastAsia="宋体" w:hint="default"/>
          <w:spacing w:val="-66"/>
          <w:sz w:val="18"/>
          <w:szCs w:val="18"/>
        </w:rPr>
        <w:t> </w:t>
      </w:r>
      <w:r>
        <w:rPr>
          <w:rFonts w:ascii="宋体" w:hAnsi="宋体" w:cs="宋体" w:eastAsia="宋体" w:hint="default"/>
          <w:sz w:val="18"/>
          <w:szCs w:val="18"/>
        </w:rPr>
        <w:t>间</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所</w:t>
      </w:r>
      <w:r>
        <w:rPr>
          <w:rFonts w:ascii="宋体" w:hAnsi="宋体" w:cs="宋体" w:eastAsia="宋体" w:hint="default"/>
          <w:spacing w:val="-66"/>
          <w:sz w:val="18"/>
          <w:szCs w:val="18"/>
        </w:rPr>
        <w:t> </w:t>
      </w:r>
      <w:r>
        <w:rPr>
          <w:rFonts w:ascii="宋体" w:hAnsi="宋体" w:cs="宋体" w:eastAsia="宋体" w:hint="default"/>
          <w:sz w:val="18"/>
          <w:szCs w:val="18"/>
        </w:rPr>
        <w:t>延</w:t>
      </w:r>
      <w:r>
        <w:rPr>
          <w:rFonts w:ascii="宋体" w:hAnsi="宋体" w:cs="宋体" w:eastAsia="宋体" w:hint="default"/>
          <w:spacing w:val="-64"/>
          <w:sz w:val="18"/>
          <w:szCs w:val="18"/>
        </w:rPr>
        <w:t> </w:t>
      </w:r>
      <w:r>
        <w:rPr>
          <w:rFonts w:ascii="宋体" w:hAnsi="宋体" w:cs="宋体" w:eastAsia="宋体" w:hint="default"/>
          <w:sz w:val="18"/>
          <w:szCs w:val="18"/>
        </w:rPr>
        <w:t>后</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导</w:t>
      </w:r>
      <w:r>
        <w:rPr>
          <w:rFonts w:ascii="宋体" w:hAnsi="宋体" w:cs="宋体" w:eastAsia="宋体" w:hint="default"/>
          <w:spacing w:val="-64"/>
          <w:sz w:val="18"/>
          <w:szCs w:val="18"/>
        </w:rPr>
        <w:t> </w:t>
      </w:r>
      <w:r>
        <w:rPr>
          <w:rFonts w:ascii="宋体" w:hAnsi="宋体" w:cs="宋体" w:eastAsia="宋体" w:hint="default"/>
          <w:sz w:val="18"/>
          <w:szCs w:val="18"/>
        </w:rPr>
        <w:t>致</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z w:val="18"/>
          <w:szCs w:val="18"/>
        </w:rPr>
        <w:t>目</w:t>
      </w:r>
      <w:r>
        <w:rPr>
          <w:rFonts w:ascii="宋体" w:hAnsi="宋体" w:cs="宋体" w:eastAsia="宋体" w:hint="default"/>
          <w:spacing w:val="-64"/>
          <w:sz w:val="18"/>
          <w:szCs w:val="18"/>
        </w:rPr>
        <w:t> </w:t>
      </w:r>
      <w:r>
        <w:rPr>
          <w:rFonts w:ascii="宋体" w:hAnsi="宋体" w:cs="宋体" w:eastAsia="宋体" w:hint="default"/>
          <w:sz w:val="18"/>
          <w:szCs w:val="18"/>
        </w:rPr>
        <w:t>未</w:t>
      </w:r>
      <w:r>
        <w:rPr>
          <w:rFonts w:ascii="宋体" w:hAnsi="宋体" w:cs="宋体" w:eastAsia="宋体" w:hint="default"/>
          <w:spacing w:val="-64"/>
          <w:sz w:val="18"/>
          <w:szCs w:val="18"/>
        </w:rPr>
        <w:t> </w:t>
      </w:r>
      <w:r>
        <w:rPr>
          <w:rFonts w:ascii="宋体" w:hAnsi="宋体" w:cs="宋体" w:eastAsia="宋体" w:hint="default"/>
          <w:sz w:val="18"/>
          <w:szCs w:val="18"/>
        </w:rPr>
        <w:t>能</w:t>
      </w:r>
      <w:r>
        <w:rPr>
          <w:rFonts w:ascii="宋体" w:hAnsi="宋体" w:cs="宋体" w:eastAsia="宋体" w:hint="default"/>
          <w:spacing w:val="-66"/>
          <w:sz w:val="18"/>
          <w:szCs w:val="18"/>
        </w:rPr>
        <w:t> </w:t>
      </w:r>
      <w:r>
        <w:rPr>
          <w:rFonts w:ascii="宋体" w:hAnsi="宋体" w:cs="宋体" w:eastAsia="宋体" w:hint="default"/>
          <w:sz w:val="18"/>
          <w:szCs w:val="18"/>
        </w:rPr>
        <w:t>按</w:t>
      </w:r>
      <w:r>
        <w:rPr>
          <w:rFonts w:ascii="宋体" w:hAnsi="宋体" w:cs="宋体" w:eastAsia="宋体" w:hint="default"/>
          <w:sz w:val="18"/>
          <w:szCs w:val="18"/>
        </w:rPr>
        <w:t> </w:t>
      </w:r>
      <w:r>
        <w:rPr>
          <w:rFonts w:ascii="宋体" w:hAnsi="宋体" w:cs="宋体" w:eastAsia="宋体" w:hint="default"/>
          <w:spacing w:val="10"/>
          <w:sz w:val="18"/>
          <w:szCs w:val="18"/>
        </w:rPr>
        <w:t>原计</w:t>
      </w:r>
      <w:r>
        <w:rPr>
          <w:rFonts w:ascii="宋体" w:hAnsi="宋体" w:cs="宋体" w:eastAsia="宋体" w:hint="default"/>
          <w:spacing w:val="-64"/>
          <w:sz w:val="18"/>
          <w:szCs w:val="18"/>
        </w:rPr>
        <w:t> </w:t>
      </w:r>
      <w:r>
        <w:rPr>
          <w:rFonts w:ascii="宋体" w:hAnsi="宋体" w:cs="宋体" w:eastAsia="宋体" w:hint="default"/>
          <w:sz w:val="18"/>
          <w:szCs w:val="18"/>
        </w:rPr>
        <w:t>划</w:t>
      </w:r>
      <w:r>
        <w:rPr>
          <w:rFonts w:ascii="宋体" w:hAnsi="宋体" w:cs="宋体" w:eastAsia="宋体" w:hint="default"/>
          <w:spacing w:val="-66"/>
          <w:sz w:val="18"/>
          <w:szCs w:val="18"/>
        </w:rPr>
        <w:t> </w:t>
      </w:r>
      <w:r>
        <w:rPr>
          <w:rFonts w:ascii="宋体" w:hAnsi="宋体" w:cs="宋体" w:eastAsia="宋体" w:hint="default"/>
          <w:sz w:val="18"/>
          <w:szCs w:val="18"/>
        </w:rPr>
        <w:t>开</w:t>
      </w:r>
      <w:r>
        <w:rPr>
          <w:rFonts w:ascii="宋体" w:hAnsi="宋体" w:cs="宋体" w:eastAsia="宋体" w:hint="default"/>
          <w:spacing w:val="-64"/>
          <w:sz w:val="18"/>
          <w:szCs w:val="18"/>
        </w:rPr>
        <w:t> </w:t>
      </w:r>
      <w:r>
        <w:rPr>
          <w:rFonts w:ascii="宋体" w:hAnsi="宋体" w:cs="宋体" w:eastAsia="宋体" w:hint="default"/>
          <w:sz w:val="18"/>
          <w:szCs w:val="18"/>
        </w:rPr>
        <w:t>展</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②</w:t>
      </w:r>
      <w:r>
        <w:rPr>
          <w:rFonts w:ascii="宋体" w:hAnsi="宋体" w:cs="宋体" w:eastAsia="宋体" w:hint="default"/>
          <w:spacing w:val="-64"/>
          <w:sz w:val="18"/>
          <w:szCs w:val="18"/>
        </w:rPr>
        <w:t> </w:t>
      </w:r>
      <w:r>
        <w:rPr>
          <w:rFonts w:ascii="宋体" w:hAnsi="宋体" w:cs="宋体" w:eastAsia="宋体" w:hint="default"/>
          <w:spacing w:val="10"/>
          <w:sz w:val="18"/>
          <w:szCs w:val="18"/>
        </w:rPr>
        <w:t>项目</w:t>
      </w:r>
      <w:r>
        <w:rPr>
          <w:rFonts w:ascii="宋体" w:hAnsi="宋体" w:cs="宋体" w:eastAsia="宋体" w:hint="default"/>
          <w:spacing w:val="-64"/>
          <w:sz w:val="18"/>
          <w:szCs w:val="18"/>
        </w:rPr>
        <w:t> </w:t>
      </w:r>
      <w:r>
        <w:rPr>
          <w:rFonts w:ascii="宋体" w:hAnsi="宋体" w:cs="宋体" w:eastAsia="宋体" w:hint="default"/>
          <w:sz w:val="18"/>
          <w:szCs w:val="18"/>
        </w:rPr>
        <w:t>工</w:t>
      </w:r>
      <w:r>
        <w:rPr>
          <w:rFonts w:ascii="宋体" w:hAnsi="宋体" w:cs="宋体" w:eastAsia="宋体" w:hint="default"/>
          <w:spacing w:val="-66"/>
          <w:sz w:val="18"/>
          <w:szCs w:val="18"/>
        </w:rPr>
        <w:t> </w:t>
      </w:r>
      <w:r>
        <w:rPr>
          <w:rFonts w:ascii="宋体" w:hAnsi="宋体" w:cs="宋体" w:eastAsia="宋体" w:hint="default"/>
          <w:sz w:val="18"/>
          <w:szCs w:val="18"/>
        </w:rPr>
        <w:t>程</w:t>
      </w:r>
      <w:r>
        <w:rPr>
          <w:rFonts w:ascii="宋体" w:hAnsi="宋体" w:cs="宋体" w:eastAsia="宋体" w:hint="default"/>
          <w:spacing w:val="-64"/>
          <w:sz w:val="18"/>
          <w:szCs w:val="18"/>
        </w:rPr>
        <w:t> </w:t>
      </w:r>
      <w:r>
        <w:rPr>
          <w:rFonts w:ascii="宋体" w:hAnsi="宋体" w:cs="宋体" w:eastAsia="宋体" w:hint="default"/>
          <w:sz w:val="18"/>
          <w:szCs w:val="18"/>
        </w:rPr>
        <w:t>土</w:t>
      </w:r>
      <w:r>
        <w:rPr>
          <w:rFonts w:ascii="宋体" w:hAnsi="宋体" w:cs="宋体" w:eastAsia="宋体" w:hint="default"/>
          <w:spacing w:val="-64"/>
          <w:sz w:val="18"/>
          <w:szCs w:val="18"/>
        </w:rPr>
        <w:t> </w:t>
      </w:r>
      <w:r>
        <w:rPr>
          <w:rFonts w:ascii="宋体" w:hAnsi="宋体" w:cs="宋体" w:eastAsia="宋体" w:hint="default"/>
          <w:sz w:val="18"/>
          <w:szCs w:val="18"/>
        </w:rPr>
        <w:t>建</w:t>
      </w:r>
      <w:r>
        <w:rPr>
          <w:rFonts w:ascii="宋体" w:hAnsi="宋体" w:cs="宋体" w:eastAsia="宋体" w:hint="default"/>
          <w:spacing w:val="-66"/>
          <w:sz w:val="18"/>
          <w:szCs w:val="18"/>
        </w:rPr>
        <w:t> </w:t>
      </w:r>
      <w:r>
        <w:rPr>
          <w:rFonts w:ascii="宋体" w:hAnsi="宋体" w:cs="宋体" w:eastAsia="宋体" w:hint="default"/>
          <w:sz w:val="18"/>
          <w:szCs w:val="18"/>
        </w:rPr>
        <w:t>施</w:t>
      </w:r>
      <w:r>
        <w:rPr>
          <w:rFonts w:ascii="宋体" w:hAnsi="宋体" w:cs="宋体" w:eastAsia="宋体" w:hint="default"/>
          <w:spacing w:val="-64"/>
          <w:sz w:val="18"/>
          <w:szCs w:val="18"/>
        </w:rPr>
        <w:t> </w:t>
      </w:r>
      <w:r>
        <w:rPr>
          <w:rFonts w:ascii="宋体" w:hAnsi="宋体" w:cs="宋体" w:eastAsia="宋体" w:hint="default"/>
          <w:sz w:val="18"/>
          <w:szCs w:val="18"/>
        </w:rPr>
        <w:t>工</w:t>
      </w:r>
      <w:r>
        <w:rPr>
          <w:rFonts w:ascii="宋体" w:hAnsi="宋体" w:cs="宋体" w:eastAsia="宋体" w:hint="default"/>
          <w:spacing w:val="-64"/>
          <w:sz w:val="18"/>
          <w:szCs w:val="18"/>
        </w:rPr>
        <w:t> </w:t>
      </w:r>
      <w:r>
        <w:rPr>
          <w:rFonts w:ascii="宋体" w:hAnsi="宋体" w:cs="宋体" w:eastAsia="宋体" w:hint="default"/>
          <w:sz w:val="18"/>
          <w:szCs w:val="18"/>
        </w:rPr>
        <w:t>过</w:t>
      </w:r>
      <w:r>
        <w:rPr>
          <w:rFonts w:ascii="宋体" w:hAnsi="宋体" w:cs="宋体" w:eastAsia="宋体" w:hint="default"/>
          <w:spacing w:val="-66"/>
          <w:sz w:val="18"/>
          <w:szCs w:val="18"/>
        </w:rPr>
        <w:t> </w:t>
      </w:r>
      <w:r>
        <w:rPr>
          <w:rFonts w:ascii="宋体" w:hAnsi="宋体" w:cs="宋体" w:eastAsia="宋体" w:hint="default"/>
          <w:sz w:val="18"/>
          <w:szCs w:val="18"/>
        </w:rPr>
        <w:t>程</w:t>
      </w:r>
      <w:r>
        <w:rPr>
          <w:rFonts w:ascii="宋体" w:hAnsi="宋体" w:cs="宋体" w:eastAsia="宋体" w:hint="default"/>
          <w:spacing w:val="-64"/>
          <w:sz w:val="18"/>
          <w:szCs w:val="18"/>
        </w:rPr>
        <w:t> </w:t>
      </w:r>
      <w:r>
        <w:rPr>
          <w:rFonts w:ascii="宋体" w:hAnsi="宋体" w:cs="宋体" w:eastAsia="宋体" w:hint="default"/>
          <w:sz w:val="18"/>
          <w:szCs w:val="18"/>
        </w:rPr>
        <w:t>当</w:t>
      </w:r>
      <w:r>
        <w:rPr>
          <w:rFonts w:ascii="宋体" w:hAnsi="宋体" w:cs="宋体" w:eastAsia="宋体" w:hint="default"/>
          <w:spacing w:val="-64"/>
          <w:sz w:val="18"/>
          <w:szCs w:val="18"/>
        </w:rPr>
        <w:t> </w:t>
      </w:r>
      <w:r>
        <w:rPr>
          <w:rFonts w:ascii="宋体" w:hAnsi="宋体" w:cs="宋体" w:eastAsia="宋体" w:hint="default"/>
          <w:sz w:val="18"/>
          <w:szCs w:val="18"/>
        </w:rPr>
        <w:t>中</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目</w:t>
      </w:r>
      <w:r>
        <w:rPr>
          <w:rFonts w:ascii="宋体" w:hAnsi="宋体" w:cs="宋体" w:eastAsia="宋体" w:hint="default"/>
          <w:spacing w:val="-66"/>
          <w:sz w:val="18"/>
          <w:szCs w:val="18"/>
        </w:rPr>
        <w:t> </w:t>
      </w:r>
      <w:r>
        <w:rPr>
          <w:rFonts w:ascii="宋体" w:hAnsi="宋体" w:cs="宋体" w:eastAsia="宋体" w:hint="default"/>
          <w:sz w:val="18"/>
          <w:szCs w:val="18"/>
        </w:rPr>
        <w:t>地</w:t>
      </w:r>
      <w:r>
        <w:rPr>
          <w:rFonts w:ascii="宋体" w:hAnsi="宋体" w:cs="宋体" w:eastAsia="宋体" w:hint="default"/>
          <w:spacing w:val="-64"/>
          <w:sz w:val="18"/>
          <w:szCs w:val="18"/>
        </w:rPr>
        <w:t> </w:t>
      </w:r>
      <w:r>
        <w:rPr>
          <w:rFonts w:ascii="宋体" w:hAnsi="宋体" w:cs="宋体" w:eastAsia="宋体" w:hint="default"/>
          <w:sz w:val="18"/>
          <w:szCs w:val="18"/>
        </w:rPr>
        <w:t>块</w:t>
      </w:r>
      <w:r>
        <w:rPr>
          <w:rFonts w:ascii="宋体" w:hAnsi="宋体" w:cs="宋体" w:eastAsia="宋体" w:hint="default"/>
          <w:spacing w:val="-64"/>
          <w:sz w:val="18"/>
          <w:szCs w:val="18"/>
        </w:rPr>
        <w:t> </w:t>
      </w:r>
      <w:r>
        <w:rPr>
          <w:rFonts w:ascii="宋体" w:hAnsi="宋体" w:cs="宋体" w:eastAsia="宋体" w:hint="default"/>
          <w:sz w:val="18"/>
          <w:szCs w:val="18"/>
        </w:rPr>
        <w:t>红</w:t>
      </w:r>
      <w:r>
        <w:rPr>
          <w:rFonts w:ascii="宋体" w:hAnsi="宋体" w:cs="宋体" w:eastAsia="宋体" w:hint="default"/>
          <w:spacing w:val="-66"/>
          <w:sz w:val="18"/>
          <w:szCs w:val="18"/>
        </w:rPr>
        <w:t> </w:t>
      </w:r>
      <w:r>
        <w:rPr>
          <w:rFonts w:ascii="宋体" w:hAnsi="宋体" w:cs="宋体" w:eastAsia="宋体" w:hint="default"/>
          <w:sz w:val="18"/>
          <w:szCs w:val="18"/>
        </w:rPr>
        <w:t>线</w:t>
      </w:r>
      <w:r>
        <w:rPr>
          <w:rFonts w:ascii="宋体" w:hAnsi="宋体" w:cs="宋体" w:eastAsia="宋体" w:hint="default"/>
          <w:spacing w:val="-64"/>
          <w:sz w:val="18"/>
          <w:szCs w:val="18"/>
        </w:rPr>
        <w:t> </w:t>
      </w:r>
      <w:r>
        <w:rPr>
          <w:rFonts w:ascii="宋体" w:hAnsi="宋体" w:cs="宋体" w:eastAsia="宋体" w:hint="default"/>
          <w:sz w:val="18"/>
          <w:szCs w:val="18"/>
        </w:rPr>
        <w:t>周</w:t>
      </w:r>
      <w:r>
        <w:rPr>
          <w:rFonts w:ascii="宋体" w:hAnsi="宋体" w:cs="宋体" w:eastAsia="宋体" w:hint="default"/>
          <w:spacing w:val="-64"/>
          <w:sz w:val="18"/>
          <w:szCs w:val="18"/>
        </w:rPr>
        <w:t> </w:t>
      </w:r>
      <w:r>
        <w:rPr>
          <w:rFonts w:ascii="宋体" w:hAnsi="宋体" w:cs="宋体" w:eastAsia="宋体" w:hint="default"/>
          <w:sz w:val="18"/>
          <w:szCs w:val="18"/>
        </w:rPr>
        <w:t>边</w:t>
      </w:r>
      <w:r>
        <w:rPr>
          <w:rFonts w:ascii="宋体" w:hAnsi="宋体" w:cs="宋体" w:eastAsia="宋体" w:hint="default"/>
          <w:spacing w:val="-66"/>
          <w:sz w:val="18"/>
          <w:szCs w:val="18"/>
        </w:rPr>
        <w:t> </w:t>
      </w:r>
      <w:r>
        <w:rPr>
          <w:rFonts w:ascii="宋体" w:hAnsi="宋体" w:cs="宋体" w:eastAsia="宋体" w:hint="default"/>
          <w:sz w:val="18"/>
          <w:szCs w:val="18"/>
        </w:rPr>
        <w:t>交</w:t>
      </w:r>
      <w:r>
        <w:rPr>
          <w:rFonts w:ascii="宋体" w:hAnsi="宋体" w:cs="宋体" w:eastAsia="宋体" w:hint="default"/>
          <w:spacing w:val="-64"/>
          <w:sz w:val="18"/>
          <w:szCs w:val="18"/>
        </w:rPr>
        <w:t> </w:t>
      </w:r>
      <w:r>
        <w:rPr>
          <w:rFonts w:ascii="宋体" w:hAnsi="宋体" w:cs="宋体" w:eastAsia="宋体" w:hint="default"/>
          <w:sz w:val="18"/>
          <w:szCs w:val="18"/>
        </w:rPr>
        <w:t>接</w:t>
      </w:r>
      <w:r>
        <w:rPr>
          <w:rFonts w:ascii="宋体" w:hAnsi="宋体" w:cs="宋体" w:eastAsia="宋体" w:hint="default"/>
          <w:spacing w:val="-64"/>
          <w:sz w:val="18"/>
          <w:szCs w:val="18"/>
        </w:rPr>
        <w:t> </w:t>
      </w:r>
      <w:r>
        <w:rPr>
          <w:rFonts w:ascii="宋体" w:hAnsi="宋体" w:cs="宋体" w:eastAsia="宋体" w:hint="default"/>
          <w:sz w:val="18"/>
          <w:szCs w:val="18"/>
        </w:rPr>
        <w:t>地</w:t>
      </w:r>
      <w:r>
        <w:rPr>
          <w:rFonts w:ascii="宋体" w:hAnsi="宋体" w:cs="宋体" w:eastAsia="宋体" w:hint="default"/>
          <w:spacing w:val="-66"/>
          <w:sz w:val="18"/>
          <w:szCs w:val="18"/>
        </w:rPr>
        <w:t> </w:t>
      </w:r>
      <w:r>
        <w:rPr>
          <w:rFonts w:ascii="宋体" w:hAnsi="宋体" w:cs="宋体" w:eastAsia="宋体" w:hint="default"/>
          <w:sz w:val="18"/>
          <w:szCs w:val="18"/>
        </w:rPr>
        <w:t>带</w:t>
      </w:r>
      <w:r>
        <w:rPr>
          <w:rFonts w:ascii="宋体" w:hAnsi="宋体" w:cs="宋体" w:eastAsia="宋体" w:hint="default"/>
          <w:spacing w:val="-64"/>
          <w:sz w:val="18"/>
          <w:szCs w:val="18"/>
        </w:rPr>
        <w:t> </w:t>
      </w:r>
      <w:r>
        <w:rPr>
          <w:rFonts w:ascii="宋体" w:hAnsi="宋体" w:cs="宋体" w:eastAsia="宋体" w:hint="default"/>
          <w:sz w:val="18"/>
          <w:szCs w:val="18"/>
        </w:rPr>
        <w:t>遗</w:t>
      </w:r>
      <w:r>
        <w:rPr>
          <w:rFonts w:ascii="宋体" w:hAnsi="宋体" w:cs="宋体" w:eastAsia="宋体" w:hint="default"/>
          <w:spacing w:val="-64"/>
          <w:sz w:val="18"/>
          <w:szCs w:val="18"/>
        </w:rPr>
        <w:t> </w:t>
      </w:r>
      <w:r>
        <w:rPr>
          <w:rFonts w:ascii="宋体" w:hAnsi="宋体" w:cs="宋体" w:eastAsia="宋体" w:hint="default"/>
          <w:sz w:val="18"/>
          <w:szCs w:val="18"/>
        </w:rPr>
        <w:t>留</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部</w:t>
      </w:r>
      <w:r>
        <w:rPr>
          <w:rFonts w:ascii="宋体" w:hAnsi="宋体" w:cs="宋体" w:eastAsia="宋体" w:hint="default"/>
          <w:spacing w:val="-64"/>
          <w:sz w:val="18"/>
          <w:szCs w:val="18"/>
        </w:rPr>
        <w:t> </w:t>
      </w:r>
      <w:r>
        <w:rPr>
          <w:rFonts w:ascii="宋体" w:hAnsi="宋体" w:cs="宋体" w:eastAsia="宋体" w:hint="default"/>
          <w:sz w:val="18"/>
          <w:szCs w:val="18"/>
        </w:rPr>
        <w:t>分</w:t>
      </w:r>
      <w:r>
        <w:rPr>
          <w:rFonts w:ascii="宋体" w:hAnsi="宋体" w:cs="宋体" w:eastAsia="宋体" w:hint="default"/>
          <w:spacing w:val="-66"/>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政</w:t>
      </w:r>
      <w:r>
        <w:rPr>
          <w:rFonts w:ascii="宋体" w:hAnsi="宋体" w:cs="宋体" w:eastAsia="宋体" w:hint="default"/>
          <w:spacing w:val="-64"/>
          <w:sz w:val="18"/>
          <w:szCs w:val="18"/>
        </w:rPr>
        <w:t> </w:t>
      </w:r>
      <w:r>
        <w:rPr>
          <w:rFonts w:ascii="宋体" w:hAnsi="宋体" w:cs="宋体" w:eastAsia="宋体" w:hint="default"/>
          <w:sz w:val="18"/>
          <w:szCs w:val="18"/>
        </w:rPr>
        <w:t>设</w:t>
      </w:r>
      <w:r>
        <w:rPr>
          <w:rFonts w:ascii="宋体" w:hAnsi="宋体" w:cs="宋体" w:eastAsia="宋体" w:hint="default"/>
          <w:spacing w:val="-66"/>
          <w:sz w:val="18"/>
          <w:szCs w:val="18"/>
        </w:rPr>
        <w:t> </w:t>
      </w:r>
      <w:r>
        <w:rPr>
          <w:rFonts w:ascii="宋体" w:hAnsi="宋体" w:cs="宋体" w:eastAsia="宋体" w:hint="default"/>
          <w:sz w:val="18"/>
          <w:szCs w:val="18"/>
        </w:rPr>
        <w:t>施</w:t>
      </w:r>
      <w:r>
        <w:rPr>
          <w:rFonts w:ascii="宋体" w:hAnsi="宋体" w:cs="宋体" w:eastAsia="宋体" w:hint="default"/>
          <w:sz w:val="18"/>
          <w:szCs w:val="18"/>
        </w:rPr>
        <w:t> </w:t>
      </w:r>
      <w:r>
        <w:rPr>
          <w:rFonts w:ascii="宋体" w:hAnsi="宋体" w:cs="宋体" w:eastAsia="宋体" w:hint="default"/>
          <w:spacing w:val="9"/>
          <w:sz w:val="18"/>
          <w:szCs w:val="18"/>
        </w:rPr>
        <w:t>未能</w:t>
      </w:r>
      <w:r>
        <w:rPr>
          <w:rFonts w:ascii="宋体" w:hAnsi="宋体" w:cs="宋体" w:eastAsia="宋体" w:hint="default"/>
          <w:spacing w:val="-66"/>
          <w:sz w:val="18"/>
          <w:szCs w:val="18"/>
        </w:rPr>
        <w:t> </w:t>
      </w:r>
      <w:r>
        <w:rPr>
          <w:rFonts w:ascii="宋体" w:hAnsi="宋体" w:cs="宋体" w:eastAsia="宋体" w:hint="default"/>
          <w:sz w:val="18"/>
          <w:szCs w:val="18"/>
        </w:rPr>
        <w:t>在</w:t>
      </w:r>
      <w:r>
        <w:rPr>
          <w:rFonts w:ascii="宋体" w:hAnsi="宋体" w:cs="宋体" w:eastAsia="宋体" w:hint="default"/>
          <w:spacing w:val="-66"/>
          <w:sz w:val="18"/>
          <w:szCs w:val="18"/>
        </w:rPr>
        <w:t> </w:t>
      </w:r>
      <w:r>
        <w:rPr>
          <w:rFonts w:ascii="宋体" w:hAnsi="宋体" w:cs="宋体" w:eastAsia="宋体" w:hint="default"/>
          <w:sz w:val="18"/>
          <w:szCs w:val="18"/>
        </w:rPr>
        <w:t>相</w:t>
      </w:r>
      <w:r>
        <w:rPr>
          <w:rFonts w:ascii="宋体" w:hAnsi="宋体" w:cs="宋体" w:eastAsia="宋体" w:hint="default"/>
          <w:spacing w:val="-66"/>
          <w:sz w:val="18"/>
          <w:szCs w:val="18"/>
        </w:rPr>
        <w:t> </w:t>
      </w:r>
      <w:r>
        <w:rPr>
          <w:rFonts w:ascii="宋体" w:hAnsi="宋体" w:cs="宋体" w:eastAsia="宋体" w:hint="default"/>
          <w:sz w:val="18"/>
          <w:szCs w:val="18"/>
        </w:rPr>
        <w:t>关</w:t>
      </w:r>
      <w:r>
        <w:rPr>
          <w:rFonts w:ascii="宋体" w:hAnsi="宋体" w:cs="宋体" w:eastAsia="宋体" w:hint="default"/>
          <w:spacing w:val="-66"/>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z w:val="18"/>
          <w:szCs w:val="18"/>
        </w:rPr>
        <w:t>政</w:t>
      </w:r>
      <w:r>
        <w:rPr>
          <w:rFonts w:ascii="宋体" w:hAnsi="宋体" w:cs="宋体" w:eastAsia="宋体" w:hint="default"/>
          <w:spacing w:val="-66"/>
          <w:sz w:val="18"/>
          <w:szCs w:val="18"/>
        </w:rPr>
        <w:t> </w:t>
      </w:r>
      <w:r>
        <w:rPr>
          <w:rFonts w:ascii="宋体" w:hAnsi="宋体" w:cs="宋体" w:eastAsia="宋体" w:hint="default"/>
          <w:sz w:val="18"/>
          <w:szCs w:val="18"/>
        </w:rPr>
        <w:t>部</w:t>
      </w:r>
      <w:r>
        <w:rPr>
          <w:rFonts w:ascii="宋体" w:hAnsi="宋体" w:cs="宋体" w:eastAsia="宋体" w:hint="default"/>
          <w:spacing w:val="-66"/>
          <w:sz w:val="18"/>
          <w:szCs w:val="18"/>
        </w:rPr>
        <w:t> </w:t>
      </w:r>
      <w:r>
        <w:rPr>
          <w:rFonts w:ascii="宋体" w:hAnsi="宋体" w:cs="宋体" w:eastAsia="宋体" w:hint="default"/>
          <w:sz w:val="18"/>
          <w:szCs w:val="18"/>
        </w:rPr>
        <w:t>门</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配</w:t>
      </w:r>
      <w:r>
        <w:rPr>
          <w:rFonts w:ascii="宋体" w:hAnsi="宋体" w:cs="宋体" w:eastAsia="宋体" w:hint="default"/>
          <w:spacing w:val="-66"/>
          <w:sz w:val="18"/>
          <w:szCs w:val="18"/>
        </w:rPr>
        <w:t> </w:t>
      </w:r>
      <w:r>
        <w:rPr>
          <w:rFonts w:ascii="宋体" w:hAnsi="宋体" w:cs="宋体" w:eastAsia="宋体" w:hint="default"/>
          <w:sz w:val="18"/>
          <w:szCs w:val="18"/>
        </w:rPr>
        <w:t>合</w:t>
      </w:r>
      <w:r>
        <w:rPr>
          <w:rFonts w:ascii="宋体" w:hAnsi="宋体" w:cs="宋体" w:eastAsia="宋体" w:hint="default"/>
          <w:spacing w:val="-66"/>
          <w:sz w:val="18"/>
          <w:szCs w:val="18"/>
        </w:rPr>
        <w:t> </w:t>
      </w:r>
      <w:r>
        <w:rPr>
          <w:rFonts w:ascii="宋体" w:hAnsi="宋体" w:cs="宋体" w:eastAsia="宋体" w:hint="default"/>
          <w:sz w:val="18"/>
          <w:szCs w:val="18"/>
        </w:rPr>
        <w:t>下</w:t>
      </w:r>
      <w:r>
        <w:rPr>
          <w:rFonts w:ascii="宋体" w:hAnsi="宋体" w:cs="宋体" w:eastAsia="宋体" w:hint="default"/>
          <w:spacing w:val="-66"/>
          <w:sz w:val="18"/>
          <w:szCs w:val="18"/>
        </w:rPr>
        <w:t> </w:t>
      </w:r>
      <w:r>
        <w:rPr>
          <w:rFonts w:ascii="宋体" w:hAnsi="宋体" w:cs="宋体" w:eastAsia="宋体" w:hint="default"/>
          <w:sz w:val="18"/>
          <w:szCs w:val="18"/>
        </w:rPr>
        <w:t>如</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迁</w:t>
      </w:r>
      <w:r>
        <w:rPr>
          <w:rFonts w:ascii="宋体" w:hAnsi="宋体" w:cs="宋体" w:eastAsia="宋体" w:hint="default"/>
          <w:spacing w:val="-66"/>
          <w:sz w:val="18"/>
          <w:szCs w:val="18"/>
        </w:rPr>
        <w:t> </w:t>
      </w:r>
      <w:r>
        <w:rPr>
          <w:rFonts w:ascii="宋体" w:hAnsi="宋体" w:cs="宋体" w:eastAsia="宋体" w:hint="default"/>
          <w:sz w:val="18"/>
          <w:szCs w:val="18"/>
        </w:rPr>
        <w:t>出</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z w:val="18"/>
          <w:szCs w:val="18"/>
        </w:rPr>
        <w:t>目</w:t>
      </w:r>
      <w:r>
        <w:rPr>
          <w:rFonts w:ascii="宋体" w:hAnsi="宋体" w:cs="宋体" w:eastAsia="宋体" w:hint="default"/>
          <w:spacing w:val="-66"/>
          <w:sz w:val="18"/>
          <w:szCs w:val="18"/>
        </w:rPr>
        <w:t> </w:t>
      </w:r>
      <w:r>
        <w:rPr>
          <w:rFonts w:ascii="宋体" w:hAnsi="宋体" w:cs="宋体" w:eastAsia="宋体" w:hint="default"/>
          <w:sz w:val="18"/>
          <w:szCs w:val="18"/>
        </w:rPr>
        <w:t>所</w:t>
      </w:r>
      <w:r>
        <w:rPr>
          <w:rFonts w:ascii="宋体" w:hAnsi="宋体" w:cs="宋体" w:eastAsia="宋体" w:hint="default"/>
          <w:spacing w:val="-66"/>
          <w:sz w:val="18"/>
          <w:szCs w:val="18"/>
        </w:rPr>
        <w:t> </w:t>
      </w:r>
      <w:r>
        <w:rPr>
          <w:rFonts w:ascii="宋体" w:hAnsi="宋体" w:cs="宋体" w:eastAsia="宋体" w:hint="default"/>
          <w:sz w:val="18"/>
          <w:szCs w:val="18"/>
        </w:rPr>
        <w:t>在</w:t>
      </w:r>
      <w:r>
        <w:rPr>
          <w:rFonts w:ascii="宋体" w:hAnsi="宋体" w:cs="宋体" w:eastAsia="宋体" w:hint="default"/>
          <w:spacing w:val="-66"/>
          <w:sz w:val="18"/>
          <w:szCs w:val="18"/>
        </w:rPr>
        <w:t> </w:t>
      </w:r>
      <w:r>
        <w:rPr>
          <w:rFonts w:ascii="宋体" w:hAnsi="宋体" w:cs="宋体" w:eastAsia="宋体" w:hint="default"/>
          <w:sz w:val="18"/>
          <w:szCs w:val="18"/>
        </w:rPr>
        <w:t>地</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导</w:t>
      </w:r>
      <w:r>
        <w:rPr>
          <w:rFonts w:ascii="宋体" w:hAnsi="宋体" w:cs="宋体" w:eastAsia="宋体" w:hint="default"/>
          <w:spacing w:val="-66"/>
          <w:sz w:val="18"/>
          <w:szCs w:val="18"/>
        </w:rPr>
        <w:t> </w:t>
      </w:r>
      <w:r>
        <w:rPr>
          <w:rFonts w:ascii="宋体" w:hAnsi="宋体" w:cs="宋体" w:eastAsia="宋体" w:hint="default"/>
          <w:sz w:val="18"/>
          <w:szCs w:val="18"/>
        </w:rPr>
        <w:t>致</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z w:val="18"/>
          <w:szCs w:val="18"/>
        </w:rPr>
        <w:t>目</w:t>
      </w:r>
      <w:r>
        <w:rPr>
          <w:rFonts w:ascii="宋体" w:hAnsi="宋体" w:cs="宋体" w:eastAsia="宋体" w:hint="default"/>
          <w:spacing w:val="-66"/>
          <w:sz w:val="18"/>
          <w:szCs w:val="18"/>
        </w:rPr>
        <w:t> </w:t>
      </w:r>
      <w:r>
        <w:rPr>
          <w:rFonts w:ascii="宋体" w:hAnsi="宋体" w:cs="宋体" w:eastAsia="宋体" w:hint="default"/>
          <w:sz w:val="18"/>
          <w:szCs w:val="18"/>
        </w:rPr>
        <w:t>土</w:t>
      </w:r>
      <w:r>
        <w:rPr>
          <w:rFonts w:ascii="宋体" w:hAnsi="宋体" w:cs="宋体" w:eastAsia="宋体" w:hint="default"/>
          <w:spacing w:val="-66"/>
          <w:sz w:val="18"/>
          <w:szCs w:val="18"/>
        </w:rPr>
        <w:t> </w:t>
      </w:r>
      <w:r>
        <w:rPr>
          <w:rFonts w:ascii="宋体" w:hAnsi="宋体" w:cs="宋体" w:eastAsia="宋体" w:hint="default"/>
          <w:sz w:val="18"/>
          <w:szCs w:val="18"/>
        </w:rPr>
        <w:t>建</w:t>
      </w:r>
      <w:r>
        <w:rPr>
          <w:rFonts w:ascii="宋体" w:hAnsi="宋体" w:cs="宋体" w:eastAsia="宋体" w:hint="default"/>
          <w:spacing w:val="-66"/>
          <w:sz w:val="18"/>
          <w:szCs w:val="18"/>
        </w:rPr>
        <w:t> </w:t>
      </w:r>
      <w:r>
        <w:rPr>
          <w:rFonts w:ascii="宋体" w:hAnsi="宋体" w:cs="宋体" w:eastAsia="宋体" w:hint="default"/>
          <w:sz w:val="18"/>
          <w:szCs w:val="18"/>
        </w:rPr>
        <w:t>施</w:t>
      </w:r>
      <w:r>
        <w:rPr>
          <w:rFonts w:ascii="宋体" w:hAnsi="宋体" w:cs="宋体" w:eastAsia="宋体" w:hint="default"/>
          <w:spacing w:val="-66"/>
          <w:sz w:val="18"/>
          <w:szCs w:val="18"/>
        </w:rPr>
        <w:t> </w:t>
      </w:r>
      <w:r>
        <w:rPr>
          <w:rFonts w:ascii="宋体" w:hAnsi="宋体" w:cs="宋体" w:eastAsia="宋体" w:hint="default"/>
          <w:sz w:val="18"/>
          <w:szCs w:val="18"/>
        </w:rPr>
        <w:t>工</w:t>
      </w:r>
      <w:r>
        <w:rPr>
          <w:rFonts w:ascii="宋体" w:hAnsi="宋体" w:cs="宋体" w:eastAsia="宋体" w:hint="default"/>
          <w:spacing w:val="-66"/>
          <w:sz w:val="18"/>
          <w:szCs w:val="18"/>
        </w:rPr>
        <w:t> </w:t>
      </w:r>
      <w:r>
        <w:rPr>
          <w:rFonts w:ascii="宋体" w:hAnsi="宋体" w:cs="宋体" w:eastAsia="宋体" w:hint="default"/>
          <w:sz w:val="18"/>
          <w:szCs w:val="18"/>
        </w:rPr>
        <w:t>未</w:t>
      </w:r>
      <w:r>
        <w:rPr>
          <w:rFonts w:ascii="宋体" w:hAnsi="宋体" w:cs="宋体" w:eastAsia="宋体" w:hint="default"/>
          <w:spacing w:val="-66"/>
          <w:sz w:val="18"/>
          <w:szCs w:val="18"/>
        </w:rPr>
        <w:t> </w:t>
      </w:r>
      <w:r>
        <w:rPr>
          <w:rFonts w:ascii="宋体" w:hAnsi="宋体" w:cs="宋体" w:eastAsia="宋体" w:hint="default"/>
          <w:sz w:val="18"/>
          <w:szCs w:val="18"/>
        </w:rPr>
        <w:t>能</w:t>
      </w:r>
      <w:r>
        <w:rPr>
          <w:rFonts w:ascii="宋体" w:hAnsi="宋体" w:cs="宋体" w:eastAsia="宋体" w:hint="default"/>
          <w:spacing w:val="-66"/>
          <w:sz w:val="18"/>
          <w:szCs w:val="18"/>
        </w:rPr>
        <w:t> </w:t>
      </w:r>
      <w:r>
        <w:rPr>
          <w:rFonts w:ascii="宋体" w:hAnsi="宋体" w:cs="宋体" w:eastAsia="宋体" w:hint="default"/>
          <w:sz w:val="18"/>
          <w:szCs w:val="18"/>
        </w:rPr>
        <w:t>按</w:t>
      </w:r>
      <w:r>
        <w:rPr>
          <w:rFonts w:ascii="宋体" w:hAnsi="宋体" w:cs="宋体" w:eastAsia="宋体" w:hint="default"/>
          <w:spacing w:val="-66"/>
          <w:sz w:val="18"/>
          <w:szCs w:val="18"/>
        </w:rPr>
        <w:t> </w:t>
      </w:r>
      <w:r>
        <w:rPr>
          <w:rFonts w:ascii="宋体" w:hAnsi="宋体" w:cs="宋体" w:eastAsia="宋体" w:hint="default"/>
          <w:sz w:val="18"/>
          <w:szCs w:val="18"/>
        </w:rPr>
        <w:t>原</w:t>
      </w:r>
      <w:r>
        <w:rPr>
          <w:rFonts w:ascii="宋体" w:hAnsi="宋体" w:cs="宋体" w:eastAsia="宋体" w:hint="default"/>
          <w:spacing w:val="-66"/>
          <w:sz w:val="18"/>
          <w:szCs w:val="18"/>
        </w:rPr>
        <w:t> </w:t>
      </w:r>
      <w:r>
        <w:rPr>
          <w:rFonts w:ascii="宋体" w:hAnsi="宋体" w:cs="宋体" w:eastAsia="宋体" w:hint="default"/>
          <w:sz w:val="18"/>
          <w:szCs w:val="18"/>
        </w:rPr>
        <w:t>计</w:t>
      </w:r>
      <w:r>
        <w:rPr>
          <w:rFonts w:ascii="宋体" w:hAnsi="宋体" w:cs="宋体" w:eastAsia="宋体" w:hint="default"/>
          <w:spacing w:val="-66"/>
          <w:sz w:val="18"/>
          <w:szCs w:val="18"/>
        </w:rPr>
        <w:t> </w:t>
      </w:r>
      <w:r>
        <w:rPr>
          <w:rFonts w:ascii="宋体" w:hAnsi="宋体" w:cs="宋体" w:eastAsia="宋体" w:hint="default"/>
          <w:sz w:val="18"/>
          <w:szCs w:val="18"/>
        </w:rPr>
        <w:t>划</w:t>
      </w:r>
      <w:r>
        <w:rPr>
          <w:rFonts w:ascii="宋体" w:hAnsi="宋体" w:cs="宋体" w:eastAsia="宋体" w:hint="default"/>
          <w:spacing w:val="-66"/>
          <w:sz w:val="18"/>
          <w:szCs w:val="18"/>
        </w:rPr>
        <w:t> </w:t>
      </w:r>
      <w:r>
        <w:rPr>
          <w:rFonts w:ascii="宋体" w:hAnsi="宋体" w:cs="宋体" w:eastAsia="宋体" w:hint="default"/>
          <w:sz w:val="18"/>
          <w:szCs w:val="18"/>
        </w:rPr>
        <w:t>进</w:t>
      </w:r>
      <w:r>
        <w:rPr>
          <w:rFonts w:ascii="宋体" w:hAnsi="宋体" w:cs="宋体" w:eastAsia="宋体" w:hint="default"/>
          <w:spacing w:val="-66"/>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line="240" w:lineRule="auto" w:before="11"/>
        <w:rPr>
          <w:rFonts w:ascii="宋体" w:hAnsi="宋体" w:cs="宋体" w:eastAsia="宋体" w:hint="default"/>
          <w:sz w:val="14"/>
          <w:szCs w:val="14"/>
        </w:rPr>
      </w:pPr>
    </w:p>
    <w:p>
      <w:pPr>
        <w:spacing w:before="0"/>
        <w:ind w:left="713" w:right="0" w:firstLine="0"/>
        <w:jc w:val="left"/>
        <w:rPr>
          <w:rFonts w:ascii="Microsoft JhengHei" w:hAnsi="Microsoft JhengHei" w:cs="Microsoft JhengHei" w:eastAsia="Microsoft JhengHei" w:hint="default"/>
          <w:sz w:val="18"/>
          <w:szCs w:val="18"/>
        </w:rPr>
      </w:pPr>
      <w:r>
        <w:rPr>
          <w:rFonts w:ascii="Garamond" w:hAnsi="Garamond" w:cs="Garamond" w:eastAsia="Garamond" w:hint="default"/>
          <w:b/>
          <w:bCs/>
          <w:spacing w:val="3"/>
          <w:sz w:val="18"/>
          <w:szCs w:val="18"/>
        </w:rPr>
        <w:t>2</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pacing w:val="9"/>
          <w:sz w:val="18"/>
          <w:szCs w:val="18"/>
        </w:rPr>
        <w:t>前次</w:t>
      </w:r>
      <w:r>
        <w:rPr>
          <w:rFonts w:ascii="Microsoft JhengHei" w:hAnsi="Microsoft JhengHei" w:cs="Microsoft JhengHei" w:eastAsia="Microsoft JhengHei" w:hint="default"/>
          <w:b/>
          <w:bCs/>
          <w:spacing w:val="-19"/>
          <w:sz w:val="18"/>
          <w:szCs w:val="18"/>
        </w:rPr>
        <w:t> </w:t>
      </w:r>
      <w:r>
        <w:rPr>
          <w:rFonts w:ascii="Microsoft JhengHei" w:hAnsi="Microsoft JhengHei" w:cs="Microsoft JhengHei" w:eastAsia="Microsoft JhengHei" w:hint="default"/>
          <w:b/>
          <w:bCs/>
          <w:sz w:val="18"/>
          <w:szCs w:val="18"/>
        </w:rPr>
        <w:t>募</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z w:val="18"/>
          <w:szCs w:val="18"/>
        </w:rPr>
        <w:t>集</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z w:val="18"/>
          <w:szCs w:val="18"/>
        </w:rPr>
        <w:t>资</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z w:val="18"/>
          <w:szCs w:val="18"/>
        </w:rPr>
        <w:t>金</w:t>
      </w:r>
      <w:r>
        <w:rPr>
          <w:rFonts w:ascii="Microsoft JhengHei" w:hAnsi="Microsoft JhengHei" w:cs="Microsoft JhengHei" w:eastAsia="Microsoft JhengHei" w:hint="default"/>
          <w:b/>
          <w:bCs/>
          <w:spacing w:val="-19"/>
          <w:sz w:val="18"/>
          <w:szCs w:val="18"/>
        </w:rPr>
        <w:t> </w:t>
      </w:r>
      <w:r>
        <w:rPr>
          <w:rFonts w:ascii="Microsoft JhengHei" w:hAnsi="Microsoft JhengHei" w:cs="Microsoft JhengHei" w:eastAsia="Microsoft JhengHei" w:hint="default"/>
          <w:b/>
          <w:bCs/>
          <w:spacing w:val="10"/>
          <w:sz w:val="18"/>
          <w:szCs w:val="18"/>
        </w:rPr>
        <w:t>投资</w:t>
      </w:r>
      <w:r>
        <w:rPr>
          <w:rFonts w:ascii="Microsoft JhengHei" w:hAnsi="Microsoft JhengHei" w:cs="Microsoft JhengHei" w:eastAsia="Microsoft JhengHei" w:hint="default"/>
          <w:b/>
          <w:bCs/>
          <w:spacing w:val="-19"/>
          <w:sz w:val="18"/>
          <w:szCs w:val="18"/>
        </w:rPr>
        <w:t> </w:t>
      </w: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z w:val="18"/>
          <w:szCs w:val="18"/>
        </w:rPr>
        <w:t>变</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z w:val="18"/>
          <w:szCs w:val="18"/>
        </w:rPr>
        <w:t>更</w:t>
      </w:r>
      <w:r>
        <w:rPr>
          <w:rFonts w:ascii="Microsoft JhengHei" w:hAnsi="Microsoft JhengHei" w:cs="Microsoft JhengHei" w:eastAsia="Microsoft JhengHei" w:hint="default"/>
          <w:b/>
          <w:bCs/>
          <w:spacing w:val="-19"/>
          <w:sz w:val="18"/>
          <w:szCs w:val="18"/>
        </w:rPr>
        <w:t> </w:t>
      </w:r>
      <w:r>
        <w:rPr>
          <w:rFonts w:ascii="Microsoft JhengHei" w:hAnsi="Microsoft JhengHei" w:cs="Microsoft JhengHei" w:eastAsia="Microsoft JhengHei" w:hint="default"/>
          <w:b/>
          <w:bCs/>
          <w:sz w:val="18"/>
          <w:szCs w:val="18"/>
        </w:rPr>
        <w:t>情</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z w:val="18"/>
          <w:szCs w:val="18"/>
        </w:rPr>
        <w:t>况</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14"/>
          <w:szCs w:val="14"/>
        </w:rPr>
      </w:pPr>
    </w:p>
    <w:p>
      <w:pPr>
        <w:spacing w:line="316" w:lineRule="auto" w:before="0"/>
        <w:ind w:left="300" w:right="240" w:firstLine="408"/>
        <w:jc w:val="both"/>
        <w:rPr>
          <w:rFonts w:ascii="宋体" w:hAnsi="宋体" w:cs="宋体" w:eastAsia="宋体" w:hint="default"/>
          <w:sz w:val="18"/>
          <w:szCs w:val="18"/>
        </w:rPr>
      </w:pPr>
      <w:r>
        <w:rPr>
          <w:rFonts w:ascii="宋体" w:hAnsi="宋体" w:cs="宋体" w:eastAsia="宋体" w:hint="default"/>
          <w:spacing w:val="9"/>
          <w:sz w:val="18"/>
          <w:szCs w:val="18"/>
        </w:rPr>
        <w:t>根据</w:t>
      </w:r>
      <w:r>
        <w:rPr>
          <w:rFonts w:ascii="宋体" w:hAnsi="宋体" w:cs="宋体" w:eastAsia="宋体" w:hint="default"/>
          <w:spacing w:val="-68"/>
          <w:sz w:val="18"/>
          <w:szCs w:val="18"/>
        </w:rPr>
        <w:t> </w:t>
      </w:r>
      <w:r>
        <w:rPr>
          <w:rFonts w:ascii="宋体" w:hAnsi="宋体" w:cs="宋体" w:eastAsia="宋体" w:hint="default"/>
          <w:sz w:val="18"/>
          <w:szCs w:val="18"/>
        </w:rPr>
        <w:t>深</w:t>
      </w:r>
      <w:r>
        <w:rPr>
          <w:rFonts w:ascii="宋体" w:hAnsi="宋体" w:cs="宋体" w:eastAsia="宋体" w:hint="default"/>
          <w:spacing w:val="-68"/>
          <w:sz w:val="18"/>
          <w:szCs w:val="18"/>
        </w:rPr>
        <w:t> </w:t>
      </w:r>
      <w:r>
        <w:rPr>
          <w:rFonts w:ascii="宋体" w:hAnsi="宋体" w:cs="宋体" w:eastAsia="宋体" w:hint="default"/>
          <w:sz w:val="18"/>
          <w:szCs w:val="18"/>
        </w:rPr>
        <w:t>圳</w:t>
      </w:r>
      <w:r>
        <w:rPr>
          <w:rFonts w:ascii="宋体" w:hAnsi="宋体" w:cs="宋体" w:eastAsia="宋体" w:hint="default"/>
          <w:spacing w:val="-68"/>
          <w:sz w:val="18"/>
          <w:szCs w:val="18"/>
        </w:rPr>
        <w:t> </w:t>
      </w:r>
      <w:r>
        <w:rPr>
          <w:rFonts w:ascii="宋体" w:hAnsi="宋体" w:cs="宋体" w:eastAsia="宋体" w:hint="default"/>
          <w:sz w:val="18"/>
          <w:szCs w:val="18"/>
        </w:rPr>
        <w:t>国</w:t>
      </w:r>
      <w:r>
        <w:rPr>
          <w:rFonts w:ascii="宋体" w:hAnsi="宋体" w:cs="宋体" w:eastAsia="宋体" w:hint="default"/>
          <w:spacing w:val="-68"/>
          <w:sz w:val="18"/>
          <w:szCs w:val="18"/>
        </w:rPr>
        <w:t> </w:t>
      </w:r>
      <w:r>
        <w:rPr>
          <w:rFonts w:ascii="宋体" w:hAnsi="宋体" w:cs="宋体" w:eastAsia="宋体" w:hint="default"/>
          <w:sz w:val="18"/>
          <w:szCs w:val="18"/>
        </w:rPr>
        <w:t>际</w:t>
      </w:r>
      <w:r>
        <w:rPr>
          <w:rFonts w:ascii="宋体" w:hAnsi="宋体" w:cs="宋体" w:eastAsia="宋体" w:hint="default"/>
          <w:spacing w:val="-68"/>
          <w:sz w:val="18"/>
          <w:szCs w:val="18"/>
        </w:rPr>
        <w:t> </w:t>
      </w:r>
      <w:r>
        <w:rPr>
          <w:rFonts w:ascii="宋体" w:hAnsi="宋体" w:cs="宋体" w:eastAsia="宋体" w:hint="default"/>
          <w:sz w:val="18"/>
          <w:szCs w:val="18"/>
        </w:rPr>
        <w:t>农</w:t>
      </w:r>
      <w:r>
        <w:rPr>
          <w:rFonts w:ascii="宋体" w:hAnsi="宋体" w:cs="宋体" w:eastAsia="宋体" w:hint="default"/>
          <w:spacing w:val="-68"/>
          <w:sz w:val="18"/>
          <w:szCs w:val="18"/>
        </w:rPr>
        <w:t> </w:t>
      </w:r>
      <w:r>
        <w:rPr>
          <w:rFonts w:ascii="宋体" w:hAnsi="宋体" w:cs="宋体" w:eastAsia="宋体" w:hint="default"/>
          <w:sz w:val="18"/>
          <w:szCs w:val="18"/>
        </w:rPr>
        <w:t>产</w:t>
      </w:r>
      <w:r>
        <w:rPr>
          <w:rFonts w:ascii="宋体" w:hAnsi="宋体" w:cs="宋体" w:eastAsia="宋体" w:hint="default"/>
          <w:spacing w:val="-68"/>
          <w:sz w:val="18"/>
          <w:szCs w:val="18"/>
        </w:rPr>
        <w:t> </w:t>
      </w:r>
      <w:r>
        <w:rPr>
          <w:rFonts w:ascii="宋体" w:hAnsi="宋体" w:cs="宋体" w:eastAsia="宋体" w:hint="default"/>
          <w:sz w:val="18"/>
          <w:szCs w:val="18"/>
        </w:rPr>
        <w:t>品</w:t>
      </w:r>
      <w:r>
        <w:rPr>
          <w:rFonts w:ascii="宋体" w:hAnsi="宋体" w:cs="宋体" w:eastAsia="宋体" w:hint="default"/>
          <w:spacing w:val="-68"/>
          <w:sz w:val="18"/>
          <w:szCs w:val="18"/>
        </w:rPr>
        <w:t> </w:t>
      </w:r>
      <w:r>
        <w:rPr>
          <w:rFonts w:ascii="宋体" w:hAnsi="宋体" w:cs="宋体" w:eastAsia="宋体" w:hint="default"/>
          <w:sz w:val="18"/>
          <w:szCs w:val="18"/>
        </w:rPr>
        <w:t>物</w:t>
      </w:r>
      <w:r>
        <w:rPr>
          <w:rFonts w:ascii="宋体" w:hAnsi="宋体" w:cs="宋体" w:eastAsia="宋体" w:hint="default"/>
          <w:spacing w:val="-68"/>
          <w:sz w:val="18"/>
          <w:szCs w:val="18"/>
        </w:rPr>
        <w:t> </w:t>
      </w:r>
      <w:r>
        <w:rPr>
          <w:rFonts w:ascii="宋体" w:hAnsi="宋体" w:cs="宋体" w:eastAsia="宋体" w:hint="default"/>
          <w:sz w:val="18"/>
          <w:szCs w:val="18"/>
        </w:rPr>
        <w:t>流</w:t>
      </w:r>
      <w:r>
        <w:rPr>
          <w:rFonts w:ascii="宋体" w:hAnsi="宋体" w:cs="宋体" w:eastAsia="宋体" w:hint="default"/>
          <w:spacing w:val="-68"/>
          <w:sz w:val="18"/>
          <w:szCs w:val="18"/>
        </w:rPr>
        <w:t> </w:t>
      </w:r>
      <w:r>
        <w:rPr>
          <w:rFonts w:ascii="宋体" w:hAnsi="宋体" w:cs="宋体" w:eastAsia="宋体" w:hint="default"/>
          <w:sz w:val="18"/>
          <w:szCs w:val="18"/>
        </w:rPr>
        <w:t>园</w:t>
      </w:r>
      <w:r>
        <w:rPr>
          <w:rFonts w:ascii="宋体" w:hAnsi="宋体" w:cs="宋体" w:eastAsia="宋体" w:hint="default"/>
          <w:spacing w:val="-68"/>
          <w:sz w:val="18"/>
          <w:szCs w:val="18"/>
        </w:rPr>
        <w:t> </w:t>
      </w:r>
      <w:r>
        <w:rPr>
          <w:rFonts w:ascii="宋体" w:hAnsi="宋体" w:cs="宋体" w:eastAsia="宋体" w:hint="default"/>
          <w:sz w:val="18"/>
          <w:szCs w:val="18"/>
        </w:rPr>
        <w:t>项</w:t>
      </w:r>
      <w:r>
        <w:rPr>
          <w:rFonts w:ascii="宋体" w:hAnsi="宋体" w:cs="宋体" w:eastAsia="宋体" w:hint="default"/>
          <w:spacing w:val="-68"/>
          <w:sz w:val="18"/>
          <w:szCs w:val="18"/>
        </w:rPr>
        <w:t> </w:t>
      </w:r>
      <w:r>
        <w:rPr>
          <w:rFonts w:ascii="宋体" w:hAnsi="宋体" w:cs="宋体" w:eastAsia="宋体" w:hint="default"/>
          <w:sz w:val="18"/>
          <w:szCs w:val="18"/>
        </w:rPr>
        <w:t>目</w:t>
      </w:r>
      <w:r>
        <w:rPr>
          <w:rFonts w:ascii="宋体" w:hAnsi="宋体" w:cs="宋体" w:eastAsia="宋体" w:hint="default"/>
          <w:spacing w:val="-68"/>
          <w:sz w:val="18"/>
          <w:szCs w:val="18"/>
        </w:rPr>
        <w:t> </w:t>
      </w:r>
      <w:r>
        <w:rPr>
          <w:rFonts w:ascii="宋体" w:hAnsi="宋体" w:cs="宋体" w:eastAsia="宋体" w:hint="default"/>
          <w:sz w:val="18"/>
          <w:szCs w:val="18"/>
        </w:rPr>
        <w:t>建</w:t>
      </w:r>
      <w:r>
        <w:rPr>
          <w:rFonts w:ascii="宋体" w:hAnsi="宋体" w:cs="宋体" w:eastAsia="宋体" w:hint="default"/>
          <w:spacing w:val="-68"/>
          <w:sz w:val="18"/>
          <w:szCs w:val="18"/>
        </w:rPr>
        <w:t> </w:t>
      </w:r>
      <w:r>
        <w:rPr>
          <w:rFonts w:ascii="宋体" w:hAnsi="宋体" w:cs="宋体" w:eastAsia="宋体" w:hint="default"/>
          <w:sz w:val="18"/>
          <w:szCs w:val="18"/>
        </w:rPr>
        <w:t>设</w:t>
      </w:r>
      <w:r>
        <w:rPr>
          <w:rFonts w:ascii="宋体" w:hAnsi="宋体" w:cs="宋体" w:eastAsia="宋体" w:hint="default"/>
          <w:spacing w:val="-68"/>
          <w:sz w:val="18"/>
          <w:szCs w:val="18"/>
        </w:rPr>
        <w:t> </w:t>
      </w:r>
      <w:r>
        <w:rPr>
          <w:rFonts w:ascii="宋体" w:hAnsi="宋体" w:cs="宋体" w:eastAsia="宋体" w:hint="default"/>
          <w:sz w:val="18"/>
          <w:szCs w:val="18"/>
        </w:rPr>
        <w:t>资</w:t>
      </w:r>
      <w:r>
        <w:rPr>
          <w:rFonts w:ascii="宋体" w:hAnsi="宋体" w:cs="宋体" w:eastAsia="宋体" w:hint="default"/>
          <w:spacing w:val="-68"/>
          <w:sz w:val="18"/>
          <w:szCs w:val="18"/>
        </w:rPr>
        <w:t> </w:t>
      </w:r>
      <w:r>
        <w:rPr>
          <w:rFonts w:ascii="宋体" w:hAnsi="宋体" w:cs="宋体" w:eastAsia="宋体" w:hint="default"/>
          <w:sz w:val="18"/>
          <w:szCs w:val="18"/>
        </w:rPr>
        <w:t>金</w:t>
      </w:r>
      <w:r>
        <w:rPr>
          <w:rFonts w:ascii="宋体" w:hAnsi="宋体" w:cs="宋体" w:eastAsia="宋体" w:hint="default"/>
          <w:spacing w:val="-68"/>
          <w:sz w:val="18"/>
          <w:szCs w:val="18"/>
        </w:rPr>
        <w:t> </w:t>
      </w:r>
      <w:r>
        <w:rPr>
          <w:rFonts w:ascii="宋体" w:hAnsi="宋体" w:cs="宋体" w:eastAsia="宋体" w:hint="default"/>
          <w:sz w:val="18"/>
          <w:szCs w:val="18"/>
        </w:rPr>
        <w:t>需</w:t>
      </w:r>
      <w:r>
        <w:rPr>
          <w:rFonts w:ascii="宋体" w:hAnsi="宋体" w:cs="宋体" w:eastAsia="宋体" w:hint="default"/>
          <w:spacing w:val="-68"/>
          <w:sz w:val="18"/>
          <w:szCs w:val="18"/>
        </w:rPr>
        <w:t> </w:t>
      </w:r>
      <w:r>
        <w:rPr>
          <w:rFonts w:ascii="宋体" w:hAnsi="宋体" w:cs="宋体" w:eastAsia="宋体" w:hint="default"/>
          <w:sz w:val="18"/>
          <w:szCs w:val="18"/>
        </w:rPr>
        <w:t>要</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pacing w:val="10"/>
          <w:sz w:val="18"/>
          <w:szCs w:val="18"/>
        </w:rPr>
        <w:t>为提</w:t>
      </w:r>
      <w:r>
        <w:rPr>
          <w:rFonts w:ascii="宋体" w:hAnsi="宋体" w:cs="宋体" w:eastAsia="宋体" w:hint="default"/>
          <w:spacing w:val="-68"/>
          <w:sz w:val="18"/>
          <w:szCs w:val="18"/>
        </w:rPr>
        <w:t> </w:t>
      </w:r>
      <w:r>
        <w:rPr>
          <w:rFonts w:ascii="宋体" w:hAnsi="宋体" w:cs="宋体" w:eastAsia="宋体" w:hint="default"/>
          <w:sz w:val="18"/>
          <w:szCs w:val="18"/>
        </w:rPr>
        <w:t>高</w:t>
      </w:r>
      <w:r>
        <w:rPr>
          <w:rFonts w:ascii="宋体" w:hAnsi="宋体" w:cs="宋体" w:eastAsia="宋体" w:hint="default"/>
          <w:spacing w:val="-68"/>
          <w:sz w:val="18"/>
          <w:szCs w:val="18"/>
        </w:rPr>
        <w:t> </w:t>
      </w:r>
      <w:r>
        <w:rPr>
          <w:rFonts w:ascii="宋体" w:hAnsi="宋体" w:cs="宋体" w:eastAsia="宋体" w:hint="default"/>
          <w:sz w:val="18"/>
          <w:szCs w:val="18"/>
        </w:rPr>
        <w:t>资</w:t>
      </w:r>
      <w:r>
        <w:rPr>
          <w:rFonts w:ascii="宋体" w:hAnsi="宋体" w:cs="宋体" w:eastAsia="宋体" w:hint="default"/>
          <w:spacing w:val="-68"/>
          <w:sz w:val="18"/>
          <w:szCs w:val="18"/>
        </w:rPr>
        <w:t> </w:t>
      </w:r>
      <w:r>
        <w:rPr>
          <w:rFonts w:ascii="宋体" w:hAnsi="宋体" w:cs="宋体" w:eastAsia="宋体" w:hint="default"/>
          <w:sz w:val="18"/>
          <w:szCs w:val="18"/>
        </w:rPr>
        <w:t>金</w:t>
      </w:r>
      <w:r>
        <w:rPr>
          <w:rFonts w:ascii="宋体" w:hAnsi="宋体" w:cs="宋体" w:eastAsia="宋体" w:hint="default"/>
          <w:spacing w:val="-68"/>
          <w:sz w:val="18"/>
          <w:szCs w:val="18"/>
        </w:rPr>
        <w:t> </w:t>
      </w:r>
      <w:r>
        <w:rPr>
          <w:rFonts w:ascii="宋体" w:hAnsi="宋体" w:cs="宋体" w:eastAsia="宋体" w:hint="default"/>
          <w:sz w:val="18"/>
          <w:szCs w:val="18"/>
        </w:rPr>
        <w:t>使</w:t>
      </w:r>
      <w:r>
        <w:rPr>
          <w:rFonts w:ascii="宋体" w:hAnsi="宋体" w:cs="宋体" w:eastAsia="宋体" w:hint="default"/>
          <w:spacing w:val="-68"/>
          <w:sz w:val="18"/>
          <w:szCs w:val="18"/>
        </w:rPr>
        <w:t> </w:t>
      </w:r>
      <w:r>
        <w:rPr>
          <w:rFonts w:ascii="宋体" w:hAnsi="宋体" w:cs="宋体" w:eastAsia="宋体" w:hint="default"/>
          <w:sz w:val="18"/>
          <w:szCs w:val="18"/>
        </w:rPr>
        <w:t>用</w:t>
      </w:r>
      <w:r>
        <w:rPr>
          <w:rFonts w:ascii="宋体" w:hAnsi="宋体" w:cs="宋体" w:eastAsia="宋体" w:hint="default"/>
          <w:spacing w:val="-68"/>
          <w:sz w:val="18"/>
          <w:szCs w:val="18"/>
        </w:rPr>
        <w:t> </w:t>
      </w:r>
      <w:r>
        <w:rPr>
          <w:rFonts w:ascii="宋体" w:hAnsi="宋体" w:cs="宋体" w:eastAsia="宋体" w:hint="default"/>
          <w:sz w:val="18"/>
          <w:szCs w:val="18"/>
        </w:rPr>
        <w:t>效</w:t>
      </w:r>
      <w:r>
        <w:rPr>
          <w:rFonts w:ascii="宋体" w:hAnsi="宋体" w:cs="宋体" w:eastAsia="宋体" w:hint="default"/>
          <w:spacing w:val="-68"/>
          <w:sz w:val="18"/>
          <w:szCs w:val="18"/>
        </w:rPr>
        <w:t> </w:t>
      </w:r>
      <w:r>
        <w:rPr>
          <w:rFonts w:ascii="宋体" w:hAnsi="宋体" w:cs="宋体" w:eastAsia="宋体" w:hint="default"/>
          <w:sz w:val="18"/>
          <w:szCs w:val="18"/>
        </w:rPr>
        <w:t>率</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z w:val="18"/>
          <w:szCs w:val="18"/>
        </w:rPr>
        <w:t>降</w:t>
      </w:r>
      <w:r>
        <w:rPr>
          <w:rFonts w:ascii="宋体" w:hAnsi="宋体" w:cs="宋体" w:eastAsia="宋体" w:hint="default"/>
          <w:spacing w:val="-68"/>
          <w:sz w:val="18"/>
          <w:szCs w:val="18"/>
        </w:rPr>
        <w:t> </w:t>
      </w:r>
      <w:r>
        <w:rPr>
          <w:rFonts w:ascii="宋体" w:hAnsi="宋体" w:cs="宋体" w:eastAsia="宋体" w:hint="default"/>
          <w:sz w:val="18"/>
          <w:szCs w:val="18"/>
        </w:rPr>
        <w:t>低</w:t>
      </w:r>
      <w:r>
        <w:rPr>
          <w:rFonts w:ascii="宋体" w:hAnsi="宋体" w:cs="宋体" w:eastAsia="宋体" w:hint="default"/>
          <w:spacing w:val="-68"/>
          <w:sz w:val="18"/>
          <w:szCs w:val="18"/>
        </w:rPr>
        <w:t> </w:t>
      </w:r>
      <w:r>
        <w:rPr>
          <w:rFonts w:ascii="宋体" w:hAnsi="宋体" w:cs="宋体" w:eastAsia="宋体" w:hint="default"/>
          <w:sz w:val="18"/>
          <w:szCs w:val="18"/>
        </w:rPr>
        <w:t>财</w:t>
      </w:r>
      <w:r>
        <w:rPr>
          <w:rFonts w:ascii="宋体" w:hAnsi="宋体" w:cs="宋体" w:eastAsia="宋体" w:hint="default"/>
          <w:spacing w:val="-68"/>
          <w:sz w:val="18"/>
          <w:szCs w:val="18"/>
        </w:rPr>
        <w:t> </w:t>
      </w:r>
      <w:r>
        <w:rPr>
          <w:rFonts w:ascii="宋体" w:hAnsi="宋体" w:cs="宋体" w:eastAsia="宋体" w:hint="default"/>
          <w:sz w:val="18"/>
          <w:szCs w:val="18"/>
        </w:rPr>
        <w:t>务</w:t>
      </w:r>
      <w:r>
        <w:rPr>
          <w:rFonts w:ascii="宋体" w:hAnsi="宋体" w:cs="宋体" w:eastAsia="宋体" w:hint="default"/>
          <w:spacing w:val="-68"/>
          <w:sz w:val="18"/>
          <w:szCs w:val="18"/>
        </w:rPr>
        <w:t> </w:t>
      </w:r>
      <w:r>
        <w:rPr>
          <w:rFonts w:ascii="宋体" w:hAnsi="宋体" w:cs="宋体" w:eastAsia="宋体" w:hint="default"/>
          <w:sz w:val="18"/>
          <w:szCs w:val="18"/>
        </w:rPr>
        <w:t>费</w:t>
      </w:r>
      <w:r>
        <w:rPr>
          <w:rFonts w:ascii="宋体" w:hAnsi="宋体" w:cs="宋体" w:eastAsia="宋体" w:hint="default"/>
          <w:spacing w:val="-68"/>
          <w:sz w:val="18"/>
          <w:szCs w:val="18"/>
        </w:rPr>
        <w:t> </w:t>
      </w:r>
      <w:r>
        <w:rPr>
          <w:rFonts w:ascii="宋体" w:hAnsi="宋体" w:cs="宋体" w:eastAsia="宋体" w:hint="default"/>
          <w:sz w:val="18"/>
          <w:szCs w:val="18"/>
        </w:rPr>
        <w:t>用</w:t>
      </w:r>
      <w:r>
        <w:rPr>
          <w:rFonts w:ascii="宋体" w:hAnsi="宋体" w:cs="宋体" w:eastAsia="宋体" w:hint="default"/>
          <w:spacing w:val="-68"/>
          <w:sz w:val="18"/>
          <w:szCs w:val="18"/>
        </w:rPr>
        <w:t> </w:t>
      </w:r>
      <w:r>
        <w:rPr>
          <w:rFonts w:ascii="宋体" w:hAnsi="宋体" w:cs="宋体" w:eastAsia="宋体" w:hint="default"/>
          <w:sz w:val="18"/>
          <w:szCs w:val="18"/>
        </w:rPr>
        <w:t>支</w:t>
      </w:r>
      <w:r>
        <w:rPr>
          <w:rFonts w:ascii="宋体" w:hAnsi="宋体" w:cs="宋体" w:eastAsia="宋体" w:hint="default"/>
          <w:spacing w:val="-68"/>
          <w:sz w:val="18"/>
          <w:szCs w:val="18"/>
        </w:rPr>
        <w:t> </w:t>
      </w:r>
      <w:r>
        <w:rPr>
          <w:rFonts w:ascii="宋体" w:hAnsi="宋体" w:cs="宋体" w:eastAsia="宋体" w:hint="default"/>
          <w:sz w:val="18"/>
          <w:szCs w:val="18"/>
        </w:rPr>
        <w:t>出</w:t>
      </w:r>
      <w:r>
        <w:rPr>
          <w:rFonts w:ascii="宋体" w:hAnsi="宋体" w:cs="宋体" w:eastAsia="宋体" w:hint="default"/>
          <w:spacing w:val="-62"/>
          <w:sz w:val="18"/>
          <w:szCs w:val="18"/>
        </w:rPr>
        <w:t> </w:t>
      </w:r>
      <w:r>
        <w:rPr>
          <w:rFonts w:ascii="宋体" w:hAnsi="宋体" w:cs="宋体" w:eastAsia="宋体" w:hint="default"/>
          <w:w w:val="95"/>
          <w:sz w:val="18"/>
          <w:szCs w:val="18"/>
        </w:rPr>
        <w:t>，</w:t>
      </w:r>
      <w:r>
        <w:rPr>
          <w:rFonts w:ascii="宋体" w:hAnsi="宋体" w:cs="宋体" w:eastAsia="宋体" w:hint="default"/>
          <w:w w:val="58"/>
          <w:sz w:val="18"/>
          <w:szCs w:val="18"/>
        </w:rPr>
        <w:t> </w:t>
      </w:r>
      <w:r>
        <w:rPr>
          <w:rFonts w:ascii="宋体" w:hAnsi="宋体" w:cs="宋体" w:eastAsia="宋体" w:hint="default"/>
          <w:spacing w:val="9"/>
          <w:sz w:val="18"/>
          <w:szCs w:val="18"/>
        </w:rPr>
        <w:t>在保</w:t>
      </w:r>
      <w:r>
        <w:rPr>
          <w:rFonts w:ascii="宋体" w:hAnsi="宋体" w:cs="宋体" w:eastAsia="宋体" w:hint="default"/>
          <w:spacing w:val="-64"/>
          <w:sz w:val="18"/>
          <w:szCs w:val="18"/>
        </w:rPr>
        <w:t> </w:t>
      </w:r>
      <w:r>
        <w:rPr>
          <w:rFonts w:ascii="宋体" w:hAnsi="宋体" w:cs="宋体" w:eastAsia="宋体" w:hint="default"/>
          <w:sz w:val="18"/>
          <w:szCs w:val="18"/>
        </w:rPr>
        <w:t>证</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目</w:t>
      </w:r>
      <w:r>
        <w:rPr>
          <w:rFonts w:ascii="宋体" w:hAnsi="宋体" w:cs="宋体" w:eastAsia="宋体" w:hint="default"/>
          <w:spacing w:val="-66"/>
          <w:sz w:val="18"/>
          <w:szCs w:val="18"/>
        </w:rPr>
        <w:t> </w:t>
      </w:r>
      <w:r>
        <w:rPr>
          <w:rFonts w:ascii="宋体" w:hAnsi="宋体" w:cs="宋体" w:eastAsia="宋体" w:hint="default"/>
          <w:sz w:val="18"/>
          <w:szCs w:val="18"/>
        </w:rPr>
        <w:t>建</w:t>
      </w:r>
      <w:r>
        <w:rPr>
          <w:rFonts w:ascii="宋体" w:hAnsi="宋体" w:cs="宋体" w:eastAsia="宋体" w:hint="default"/>
          <w:spacing w:val="-66"/>
          <w:sz w:val="18"/>
          <w:szCs w:val="18"/>
        </w:rPr>
        <w:t> </w:t>
      </w:r>
      <w:r>
        <w:rPr>
          <w:rFonts w:ascii="宋体" w:hAnsi="宋体" w:cs="宋体" w:eastAsia="宋体" w:hint="default"/>
          <w:sz w:val="18"/>
          <w:szCs w:val="18"/>
        </w:rPr>
        <w:t>设</w:t>
      </w:r>
      <w:r>
        <w:rPr>
          <w:rFonts w:ascii="宋体" w:hAnsi="宋体" w:cs="宋体" w:eastAsia="宋体" w:hint="default"/>
          <w:spacing w:val="-64"/>
          <w:sz w:val="18"/>
          <w:szCs w:val="18"/>
        </w:rPr>
        <w:t> </w:t>
      </w:r>
      <w:r>
        <w:rPr>
          <w:rFonts w:ascii="宋体" w:hAnsi="宋体" w:cs="宋体" w:eastAsia="宋体" w:hint="default"/>
          <w:sz w:val="18"/>
          <w:szCs w:val="18"/>
        </w:rPr>
        <w:t>对</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需</w:t>
      </w:r>
      <w:r>
        <w:rPr>
          <w:rFonts w:ascii="宋体" w:hAnsi="宋体" w:cs="宋体" w:eastAsia="宋体" w:hint="default"/>
          <w:spacing w:val="-66"/>
          <w:sz w:val="18"/>
          <w:szCs w:val="18"/>
        </w:rPr>
        <w:t> </w:t>
      </w:r>
      <w:r>
        <w:rPr>
          <w:rFonts w:ascii="宋体" w:hAnsi="宋体" w:cs="宋体" w:eastAsia="宋体" w:hint="default"/>
          <w:sz w:val="18"/>
          <w:szCs w:val="18"/>
        </w:rPr>
        <w:t>求</w:t>
      </w:r>
      <w:r>
        <w:rPr>
          <w:rFonts w:ascii="宋体" w:hAnsi="宋体" w:cs="宋体" w:eastAsia="宋体" w:hint="default"/>
          <w:spacing w:val="-64"/>
          <w:sz w:val="18"/>
          <w:szCs w:val="18"/>
        </w:rPr>
        <w:t> </w:t>
      </w:r>
      <w:r>
        <w:rPr>
          <w:rFonts w:ascii="宋体" w:hAnsi="宋体" w:cs="宋体" w:eastAsia="宋体" w:hint="default"/>
          <w:sz w:val="18"/>
          <w:szCs w:val="18"/>
        </w:rPr>
        <w:t>和</w:t>
      </w:r>
      <w:r>
        <w:rPr>
          <w:rFonts w:ascii="宋体" w:hAnsi="宋体" w:cs="宋体" w:eastAsia="宋体" w:hint="default"/>
          <w:spacing w:val="-66"/>
          <w:sz w:val="18"/>
          <w:szCs w:val="18"/>
        </w:rPr>
        <w:t> </w:t>
      </w:r>
      <w:r>
        <w:rPr>
          <w:rFonts w:ascii="宋体" w:hAnsi="宋体" w:cs="宋体" w:eastAsia="宋体" w:hint="default"/>
          <w:sz w:val="18"/>
          <w:szCs w:val="18"/>
        </w:rPr>
        <w:t>正</w:t>
      </w:r>
      <w:r>
        <w:rPr>
          <w:rFonts w:ascii="宋体" w:hAnsi="宋体" w:cs="宋体" w:eastAsia="宋体" w:hint="default"/>
          <w:spacing w:val="-66"/>
          <w:sz w:val="18"/>
          <w:szCs w:val="18"/>
        </w:rPr>
        <w:t> </w:t>
      </w:r>
      <w:r>
        <w:rPr>
          <w:rFonts w:ascii="宋体" w:hAnsi="宋体" w:cs="宋体" w:eastAsia="宋体" w:hint="default"/>
          <w:sz w:val="18"/>
          <w:szCs w:val="18"/>
        </w:rPr>
        <w:t>常</w:t>
      </w:r>
      <w:r>
        <w:rPr>
          <w:rFonts w:ascii="宋体" w:hAnsi="宋体" w:cs="宋体" w:eastAsia="宋体" w:hint="default"/>
          <w:spacing w:val="-64"/>
          <w:sz w:val="18"/>
          <w:szCs w:val="18"/>
        </w:rPr>
        <w:t> </w:t>
      </w:r>
      <w:r>
        <w:rPr>
          <w:rFonts w:ascii="宋体" w:hAnsi="宋体" w:cs="宋体" w:eastAsia="宋体" w:hint="default"/>
          <w:sz w:val="18"/>
          <w:szCs w:val="18"/>
        </w:rPr>
        <w:t>进</w:t>
      </w:r>
      <w:r>
        <w:rPr>
          <w:rFonts w:ascii="宋体" w:hAnsi="宋体" w:cs="宋体" w:eastAsia="宋体" w:hint="default"/>
          <w:spacing w:val="-66"/>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前</w:t>
      </w:r>
      <w:r>
        <w:rPr>
          <w:rFonts w:ascii="宋体" w:hAnsi="宋体" w:cs="宋体" w:eastAsia="宋体" w:hint="default"/>
          <w:spacing w:val="-66"/>
          <w:sz w:val="18"/>
          <w:szCs w:val="18"/>
        </w:rPr>
        <w:t> </w:t>
      </w:r>
      <w:r>
        <w:rPr>
          <w:rFonts w:ascii="宋体" w:hAnsi="宋体" w:cs="宋体" w:eastAsia="宋体" w:hint="default"/>
          <w:sz w:val="18"/>
          <w:szCs w:val="18"/>
        </w:rPr>
        <w:t>提</w:t>
      </w:r>
      <w:r>
        <w:rPr>
          <w:rFonts w:ascii="宋体" w:hAnsi="宋体" w:cs="宋体" w:eastAsia="宋体" w:hint="default"/>
          <w:spacing w:val="-66"/>
          <w:sz w:val="18"/>
          <w:szCs w:val="18"/>
        </w:rPr>
        <w:t> </w:t>
      </w:r>
      <w:r>
        <w:rPr>
          <w:rFonts w:ascii="宋体" w:hAnsi="宋体" w:cs="宋体" w:eastAsia="宋体" w:hint="default"/>
          <w:sz w:val="18"/>
          <w:szCs w:val="18"/>
        </w:rPr>
        <w:t>下</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pacing w:val="7"/>
          <w:sz w:val="18"/>
          <w:szCs w:val="18"/>
        </w:rPr>
        <w:t>2008</w:t>
      </w:r>
      <w:r>
        <w:rPr>
          <w:rFonts w:ascii="宋体" w:hAnsi="宋体" w:cs="宋体" w:eastAsia="宋体"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14"/>
          <w:sz w:val="18"/>
          <w:szCs w:val="18"/>
        </w:rPr>
        <w:t> </w:t>
      </w:r>
      <w:r>
        <w:rPr>
          <w:rFonts w:ascii="宋体" w:hAnsi="宋体" w:cs="宋体" w:eastAsia="宋体" w:hint="default"/>
          <w:spacing w:val="4"/>
          <w:sz w:val="18"/>
          <w:szCs w:val="18"/>
        </w:rPr>
        <w:t>11</w:t>
      </w:r>
      <w:r>
        <w:rPr>
          <w:rFonts w:ascii="宋体" w:hAnsi="宋体" w:cs="宋体" w:eastAsia="宋体"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14"/>
          <w:sz w:val="18"/>
          <w:szCs w:val="18"/>
        </w:rPr>
        <w:t> </w:t>
      </w:r>
      <w:r>
        <w:rPr>
          <w:rFonts w:ascii="宋体" w:hAnsi="宋体" w:cs="宋体" w:eastAsia="宋体" w:hint="default"/>
          <w:spacing w:val="4"/>
          <w:sz w:val="18"/>
          <w:szCs w:val="18"/>
        </w:rPr>
        <w:t>14</w:t>
      </w:r>
      <w:r>
        <w:rPr>
          <w:rFonts w:ascii="宋体" w:hAnsi="宋体" w:cs="宋体" w:eastAsia="宋体" w:hint="default"/>
          <w:spacing w:val="-22"/>
          <w:sz w:val="18"/>
          <w:szCs w:val="18"/>
        </w:rPr>
        <w:t> </w:t>
      </w:r>
      <w:r>
        <w:rPr>
          <w:rFonts w:ascii="宋体" w:hAnsi="宋体" w:cs="宋体" w:eastAsia="宋体" w:hint="default"/>
          <w:spacing w:val="9"/>
          <w:sz w:val="18"/>
          <w:szCs w:val="18"/>
        </w:rPr>
        <w:t>日，</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66"/>
          <w:sz w:val="18"/>
          <w:szCs w:val="18"/>
        </w:rPr>
        <w:t> </w:t>
      </w:r>
      <w:r>
        <w:rPr>
          <w:rFonts w:ascii="宋体" w:hAnsi="宋体" w:cs="宋体" w:eastAsia="宋体" w:hint="default"/>
          <w:sz w:val="18"/>
          <w:szCs w:val="18"/>
        </w:rPr>
        <w:t>从</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z w:val="18"/>
          <w:szCs w:val="18"/>
        </w:rPr>
        <w:t> </w:t>
      </w:r>
      <w:r>
        <w:rPr>
          <w:rFonts w:ascii="宋体" w:hAnsi="宋体" w:cs="宋体" w:eastAsia="宋体" w:hint="default"/>
          <w:spacing w:val="9"/>
          <w:sz w:val="18"/>
          <w:szCs w:val="18"/>
        </w:rPr>
        <w:t>资金</w:t>
      </w:r>
      <w:r>
        <w:rPr>
          <w:rFonts w:ascii="宋体" w:hAnsi="宋体" w:cs="宋体" w:eastAsia="宋体" w:hint="default"/>
          <w:spacing w:val="-66"/>
          <w:sz w:val="18"/>
          <w:szCs w:val="18"/>
        </w:rPr>
        <w:t> </w:t>
      </w:r>
      <w:r>
        <w:rPr>
          <w:rFonts w:ascii="宋体" w:hAnsi="宋体" w:cs="宋体" w:eastAsia="宋体" w:hint="default"/>
          <w:sz w:val="18"/>
          <w:szCs w:val="18"/>
        </w:rPr>
        <w:t>专</w:t>
      </w:r>
      <w:r>
        <w:rPr>
          <w:rFonts w:ascii="宋体" w:hAnsi="宋体" w:cs="宋体" w:eastAsia="宋体" w:hint="default"/>
          <w:spacing w:val="-66"/>
          <w:sz w:val="18"/>
          <w:szCs w:val="18"/>
        </w:rPr>
        <w:t> </w:t>
      </w:r>
      <w:r>
        <w:rPr>
          <w:rFonts w:ascii="宋体" w:hAnsi="宋体" w:cs="宋体" w:eastAsia="宋体" w:hint="default"/>
          <w:sz w:val="18"/>
          <w:szCs w:val="18"/>
        </w:rPr>
        <w:t>户</w:t>
      </w:r>
      <w:r>
        <w:rPr>
          <w:rFonts w:ascii="宋体" w:hAnsi="宋体" w:cs="宋体" w:eastAsia="宋体" w:hint="default"/>
          <w:spacing w:val="-66"/>
          <w:sz w:val="18"/>
          <w:szCs w:val="18"/>
        </w:rPr>
        <w:t> </w:t>
      </w:r>
      <w:r>
        <w:rPr>
          <w:rFonts w:ascii="宋体" w:hAnsi="宋体" w:cs="宋体" w:eastAsia="宋体" w:hint="default"/>
          <w:sz w:val="18"/>
          <w:szCs w:val="18"/>
        </w:rPr>
        <w:t>转</w:t>
      </w:r>
      <w:r>
        <w:rPr>
          <w:rFonts w:ascii="宋体" w:hAnsi="宋体" w:cs="宋体" w:eastAsia="宋体" w:hint="default"/>
          <w:spacing w:val="-66"/>
          <w:sz w:val="18"/>
          <w:szCs w:val="18"/>
        </w:rPr>
        <w:t> </w:t>
      </w:r>
      <w:r>
        <w:rPr>
          <w:rFonts w:ascii="宋体" w:hAnsi="宋体" w:cs="宋体" w:eastAsia="宋体" w:hint="default"/>
          <w:sz w:val="18"/>
          <w:szCs w:val="18"/>
        </w:rPr>
        <w:t>出</w:t>
      </w:r>
      <w:r>
        <w:rPr>
          <w:rFonts w:ascii="宋体" w:hAnsi="宋体" w:cs="宋体" w:eastAsia="宋体" w:hint="default"/>
          <w:spacing w:val="-11"/>
          <w:sz w:val="18"/>
          <w:szCs w:val="18"/>
        </w:rPr>
        <w:t> </w:t>
      </w:r>
      <w:r>
        <w:rPr>
          <w:rFonts w:ascii="宋体" w:hAnsi="宋体" w:cs="宋体" w:eastAsia="宋体" w:hint="default"/>
          <w:sz w:val="18"/>
          <w:szCs w:val="18"/>
        </w:rPr>
        <w:t>5</w:t>
      </w:r>
      <w:r>
        <w:rPr>
          <w:rFonts w:ascii="宋体" w:hAnsi="宋体" w:cs="宋体" w:eastAsia="宋体" w:hint="default"/>
          <w:spacing w:val="-27"/>
          <w:sz w:val="18"/>
          <w:szCs w:val="18"/>
        </w:rPr>
        <w:t> </w:t>
      </w:r>
      <w:r>
        <w:rPr>
          <w:rFonts w:ascii="宋体" w:hAnsi="宋体" w:cs="宋体" w:eastAsia="宋体" w:hint="default"/>
          <w:spacing w:val="9"/>
          <w:sz w:val="18"/>
          <w:szCs w:val="18"/>
        </w:rPr>
        <w:t>亿元</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于</w:t>
      </w:r>
      <w:r>
        <w:rPr>
          <w:rFonts w:ascii="宋体" w:hAnsi="宋体" w:cs="宋体" w:eastAsia="宋体" w:hint="default"/>
          <w:spacing w:val="-66"/>
          <w:sz w:val="18"/>
          <w:szCs w:val="18"/>
        </w:rPr>
        <w:t> </w:t>
      </w:r>
      <w:r>
        <w:rPr>
          <w:rFonts w:ascii="宋体" w:hAnsi="宋体" w:cs="宋体" w:eastAsia="宋体" w:hint="default"/>
          <w:sz w:val="18"/>
          <w:szCs w:val="18"/>
        </w:rPr>
        <w:t>补</w:t>
      </w:r>
      <w:r>
        <w:rPr>
          <w:rFonts w:ascii="宋体" w:hAnsi="宋体" w:cs="宋体" w:eastAsia="宋体" w:hint="default"/>
          <w:spacing w:val="-66"/>
          <w:sz w:val="18"/>
          <w:szCs w:val="18"/>
        </w:rPr>
        <w:t> </w:t>
      </w:r>
      <w:r>
        <w:rPr>
          <w:rFonts w:ascii="宋体" w:hAnsi="宋体" w:cs="宋体" w:eastAsia="宋体" w:hint="default"/>
          <w:sz w:val="18"/>
          <w:szCs w:val="18"/>
        </w:rPr>
        <w:t>充</w:t>
      </w:r>
      <w:r>
        <w:rPr>
          <w:rFonts w:ascii="宋体" w:hAnsi="宋体" w:cs="宋体" w:eastAsia="宋体" w:hint="default"/>
          <w:spacing w:val="-66"/>
          <w:sz w:val="18"/>
          <w:szCs w:val="18"/>
        </w:rPr>
        <w:t> </w:t>
      </w:r>
      <w:r>
        <w:rPr>
          <w:rFonts w:ascii="宋体" w:hAnsi="宋体" w:cs="宋体" w:eastAsia="宋体" w:hint="default"/>
          <w:sz w:val="18"/>
          <w:szCs w:val="18"/>
        </w:rPr>
        <w:t>流</w:t>
      </w:r>
      <w:r>
        <w:rPr>
          <w:rFonts w:ascii="宋体" w:hAnsi="宋体" w:cs="宋体" w:eastAsia="宋体" w:hint="default"/>
          <w:spacing w:val="-66"/>
          <w:sz w:val="18"/>
          <w:szCs w:val="18"/>
        </w:rPr>
        <w:t> </w:t>
      </w:r>
      <w:r>
        <w:rPr>
          <w:rFonts w:ascii="宋体" w:hAnsi="宋体" w:cs="宋体" w:eastAsia="宋体" w:hint="default"/>
          <w:sz w:val="18"/>
          <w:szCs w:val="18"/>
        </w:rPr>
        <w:t>动</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z w:val="18"/>
          <w:szCs w:val="18"/>
        </w:rPr>
        <w:t>不</w:t>
      </w:r>
      <w:r>
        <w:rPr>
          <w:rFonts w:ascii="宋体" w:hAnsi="宋体" w:cs="宋体" w:eastAsia="宋体" w:hint="default"/>
          <w:spacing w:val="-66"/>
          <w:sz w:val="18"/>
          <w:szCs w:val="18"/>
        </w:rPr>
        <w:t> </w:t>
      </w:r>
      <w:r>
        <w:rPr>
          <w:rFonts w:ascii="宋体" w:hAnsi="宋体" w:cs="宋体" w:eastAsia="宋体" w:hint="default"/>
          <w:sz w:val="18"/>
          <w:szCs w:val="18"/>
        </w:rPr>
        <w:t>超</w:t>
      </w:r>
      <w:r>
        <w:rPr>
          <w:rFonts w:ascii="宋体" w:hAnsi="宋体" w:cs="宋体" w:eastAsia="宋体" w:hint="default"/>
          <w:spacing w:val="-66"/>
          <w:sz w:val="18"/>
          <w:szCs w:val="18"/>
        </w:rPr>
        <w:t> </w:t>
      </w:r>
      <w:r>
        <w:rPr>
          <w:rFonts w:ascii="宋体" w:hAnsi="宋体" w:cs="宋体" w:eastAsia="宋体" w:hint="default"/>
          <w:sz w:val="18"/>
          <w:szCs w:val="18"/>
        </w:rPr>
        <w:t>过</w:t>
      </w:r>
      <w:r>
        <w:rPr>
          <w:rFonts w:ascii="宋体" w:hAnsi="宋体" w:cs="宋体" w:eastAsia="宋体" w:hint="default"/>
          <w:spacing w:val="-11"/>
          <w:sz w:val="18"/>
          <w:szCs w:val="18"/>
        </w:rPr>
        <w:t> </w:t>
      </w:r>
      <w:r>
        <w:rPr>
          <w:rFonts w:ascii="宋体" w:hAnsi="宋体" w:cs="宋体" w:eastAsia="宋体" w:hint="default"/>
          <w:spacing w:val="7"/>
          <w:sz w:val="18"/>
          <w:szCs w:val="18"/>
        </w:rPr>
        <w:t>2009</w:t>
      </w:r>
      <w:r>
        <w:rPr>
          <w:rFonts w:ascii="宋体" w:hAnsi="宋体" w:cs="宋体" w:eastAsia="宋体"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宋体" w:hAnsi="宋体" w:cs="宋体" w:eastAsia="宋体" w:hint="default"/>
          <w:sz w:val="18"/>
          <w:szCs w:val="18"/>
        </w:rPr>
        <w:t>5</w:t>
      </w:r>
      <w:r>
        <w:rPr>
          <w:rFonts w:ascii="宋体" w:hAnsi="宋体" w:cs="宋体" w:eastAsia="宋体"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宋体" w:hAnsi="宋体" w:cs="宋体" w:eastAsia="宋体" w:hint="default"/>
          <w:spacing w:val="4"/>
          <w:sz w:val="18"/>
          <w:szCs w:val="18"/>
        </w:rPr>
        <w:t>14</w:t>
      </w:r>
      <w:r>
        <w:rPr>
          <w:rFonts w:ascii="宋体" w:hAnsi="宋体" w:cs="宋体" w:eastAsia="宋体" w:hint="default"/>
          <w:spacing w:val="-24"/>
          <w:sz w:val="18"/>
          <w:szCs w:val="18"/>
        </w:rPr>
        <w:t> </w:t>
      </w:r>
      <w:r>
        <w:rPr>
          <w:rFonts w:ascii="宋体" w:hAnsi="宋体" w:cs="宋体" w:eastAsia="宋体" w:hint="default"/>
          <w:spacing w:val="9"/>
          <w:sz w:val="18"/>
          <w:szCs w:val="18"/>
        </w:rPr>
        <w:t>日。</w:t>
      </w:r>
      <w:r>
        <w:rPr>
          <w:rFonts w:ascii="宋体" w:hAnsi="宋体" w:cs="宋体" w:eastAsia="宋体" w:hint="default"/>
          <w:spacing w:val="-66"/>
          <w:sz w:val="18"/>
          <w:szCs w:val="18"/>
        </w:rPr>
        <w:t> </w:t>
      </w:r>
      <w:r>
        <w:rPr>
          <w:rFonts w:ascii="宋体" w:hAnsi="宋体" w:cs="宋体" w:eastAsia="宋体" w:hint="default"/>
          <w:sz w:val="18"/>
          <w:szCs w:val="18"/>
        </w:rPr>
        <w:t>到</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已</w:t>
      </w:r>
      <w:r>
        <w:rPr>
          <w:rFonts w:ascii="宋体" w:hAnsi="宋体" w:cs="宋体" w:eastAsia="宋体" w:hint="default"/>
          <w:spacing w:val="-66"/>
          <w:sz w:val="18"/>
          <w:szCs w:val="18"/>
        </w:rPr>
        <w:t> </w:t>
      </w:r>
      <w:r>
        <w:rPr>
          <w:rFonts w:ascii="宋体" w:hAnsi="宋体" w:cs="宋体" w:eastAsia="宋体" w:hint="default"/>
          <w:sz w:val="18"/>
          <w:szCs w:val="18"/>
        </w:rPr>
        <w:t>归</w:t>
      </w:r>
      <w:r>
        <w:rPr>
          <w:rFonts w:ascii="宋体" w:hAnsi="宋体" w:cs="宋体" w:eastAsia="宋体" w:hint="default"/>
          <w:spacing w:val="-66"/>
          <w:sz w:val="18"/>
          <w:szCs w:val="18"/>
        </w:rPr>
        <w:t> </w:t>
      </w:r>
      <w:r>
        <w:rPr>
          <w:rFonts w:ascii="宋体" w:hAnsi="宋体" w:cs="宋体" w:eastAsia="宋体" w:hint="default"/>
          <w:sz w:val="18"/>
          <w:szCs w:val="18"/>
        </w:rPr>
        <w:t>还</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line="240" w:lineRule="auto" w:before="0"/>
        <w:rPr>
          <w:rFonts w:ascii="宋体" w:hAnsi="宋体" w:cs="宋体" w:eastAsia="宋体" w:hint="default"/>
          <w:sz w:val="17"/>
          <w:szCs w:val="17"/>
        </w:rPr>
      </w:pPr>
    </w:p>
    <w:p>
      <w:pPr>
        <w:spacing w:line="316" w:lineRule="auto" w:before="0"/>
        <w:ind w:left="300" w:right="251" w:firstLine="408"/>
        <w:jc w:val="left"/>
        <w:rPr>
          <w:rFonts w:ascii="宋体" w:hAnsi="宋体" w:cs="宋体" w:eastAsia="宋体" w:hint="default"/>
          <w:sz w:val="18"/>
          <w:szCs w:val="18"/>
        </w:rPr>
      </w:pPr>
      <w:r>
        <w:rPr>
          <w:rFonts w:ascii="宋体" w:hAnsi="宋体" w:cs="宋体" w:eastAsia="宋体" w:hint="default"/>
          <w:spacing w:val="7"/>
          <w:sz w:val="18"/>
          <w:szCs w:val="18"/>
        </w:rPr>
        <w:t>2009</w:t>
      </w:r>
      <w:r>
        <w:rPr>
          <w:rFonts w:ascii="宋体" w:hAnsi="宋体" w:cs="宋体" w:eastAsia="宋体"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14"/>
          <w:sz w:val="18"/>
          <w:szCs w:val="18"/>
        </w:rPr>
        <w:t> </w:t>
      </w:r>
      <w:r>
        <w:rPr>
          <w:rFonts w:ascii="宋体" w:hAnsi="宋体" w:cs="宋体" w:eastAsia="宋体" w:hint="default"/>
          <w:sz w:val="18"/>
          <w:szCs w:val="18"/>
        </w:rPr>
        <w:t>6</w:t>
      </w:r>
      <w:r>
        <w:rPr>
          <w:rFonts w:ascii="宋体" w:hAnsi="宋体" w:cs="宋体" w:eastAsia="宋体"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14"/>
          <w:sz w:val="18"/>
          <w:szCs w:val="18"/>
        </w:rPr>
        <w:t> </w:t>
      </w:r>
      <w:r>
        <w:rPr>
          <w:rFonts w:ascii="宋体" w:hAnsi="宋体" w:cs="宋体" w:eastAsia="宋体" w:hint="default"/>
          <w:sz w:val="18"/>
          <w:szCs w:val="18"/>
        </w:rPr>
        <w:t>5</w:t>
      </w:r>
      <w:r>
        <w:rPr>
          <w:rFonts w:ascii="宋体" w:hAnsi="宋体" w:cs="宋体" w:eastAsia="宋体" w:hint="default"/>
          <w:spacing w:val="-29"/>
          <w:sz w:val="18"/>
          <w:szCs w:val="18"/>
        </w:rPr>
        <w:t> </w:t>
      </w:r>
      <w:r>
        <w:rPr>
          <w:rFonts w:ascii="宋体" w:hAnsi="宋体" w:cs="宋体" w:eastAsia="宋体" w:hint="default"/>
          <w:sz w:val="18"/>
          <w:szCs w:val="18"/>
        </w:rPr>
        <w:t>日</w:t>
      </w:r>
      <w:r>
        <w:rPr>
          <w:rFonts w:ascii="宋体" w:hAnsi="宋体" w:cs="宋体" w:eastAsia="宋体" w:hint="default"/>
          <w:spacing w:val="-71"/>
          <w:sz w:val="18"/>
          <w:szCs w:val="18"/>
        </w:rPr>
        <w:t> </w:t>
      </w:r>
      <w:r>
        <w:rPr>
          <w:rFonts w:ascii="宋体" w:hAnsi="宋体" w:cs="宋体" w:eastAsia="宋体" w:hint="default"/>
          <w:spacing w:val="-35"/>
          <w:sz w:val="18"/>
          <w:szCs w:val="18"/>
        </w:rPr>
        <w:t>，公</w:t>
      </w:r>
      <w:r>
        <w:rPr>
          <w:rFonts w:ascii="宋体" w:hAnsi="宋体" w:cs="宋体" w:eastAsia="宋体" w:hint="default"/>
          <w:spacing w:val="-71"/>
          <w:sz w:val="18"/>
          <w:szCs w:val="18"/>
        </w:rPr>
        <w:t> </w:t>
      </w:r>
      <w:r>
        <w:rPr>
          <w:rFonts w:ascii="宋体" w:hAnsi="宋体" w:cs="宋体" w:eastAsia="宋体" w:hint="default"/>
          <w:spacing w:val="10"/>
          <w:sz w:val="18"/>
          <w:szCs w:val="18"/>
        </w:rPr>
        <w:t>司从</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专</w:t>
      </w:r>
      <w:r>
        <w:rPr>
          <w:rFonts w:ascii="宋体" w:hAnsi="宋体" w:cs="宋体" w:eastAsia="宋体" w:hint="default"/>
          <w:spacing w:val="-66"/>
          <w:sz w:val="18"/>
          <w:szCs w:val="18"/>
        </w:rPr>
        <w:t> </w:t>
      </w:r>
      <w:r>
        <w:rPr>
          <w:rFonts w:ascii="宋体" w:hAnsi="宋体" w:cs="宋体" w:eastAsia="宋体" w:hint="default"/>
          <w:sz w:val="18"/>
          <w:szCs w:val="18"/>
        </w:rPr>
        <w:t>户</w:t>
      </w:r>
      <w:r>
        <w:rPr>
          <w:rFonts w:ascii="宋体" w:hAnsi="宋体" w:cs="宋体" w:eastAsia="宋体" w:hint="default"/>
          <w:spacing w:val="-66"/>
          <w:sz w:val="18"/>
          <w:szCs w:val="18"/>
        </w:rPr>
        <w:t> </w:t>
      </w:r>
      <w:r>
        <w:rPr>
          <w:rFonts w:ascii="宋体" w:hAnsi="宋体" w:cs="宋体" w:eastAsia="宋体" w:hint="default"/>
          <w:sz w:val="18"/>
          <w:szCs w:val="18"/>
        </w:rPr>
        <w:t>转</w:t>
      </w:r>
      <w:r>
        <w:rPr>
          <w:rFonts w:ascii="宋体" w:hAnsi="宋体" w:cs="宋体" w:eastAsia="宋体" w:hint="default"/>
          <w:spacing w:val="-66"/>
          <w:sz w:val="18"/>
          <w:szCs w:val="18"/>
        </w:rPr>
        <w:t> </w:t>
      </w:r>
      <w:r>
        <w:rPr>
          <w:rFonts w:ascii="宋体" w:hAnsi="宋体" w:cs="宋体" w:eastAsia="宋体" w:hint="default"/>
          <w:sz w:val="18"/>
          <w:szCs w:val="18"/>
        </w:rPr>
        <w:t>出</w:t>
      </w:r>
      <w:r>
        <w:rPr>
          <w:rFonts w:ascii="宋体" w:hAnsi="宋体" w:cs="宋体" w:eastAsia="宋体" w:hint="default"/>
          <w:spacing w:val="-11"/>
          <w:sz w:val="18"/>
          <w:szCs w:val="18"/>
        </w:rPr>
        <w:t> </w:t>
      </w:r>
      <w:r>
        <w:rPr>
          <w:rFonts w:ascii="宋体" w:hAnsi="宋体" w:cs="宋体" w:eastAsia="宋体" w:hint="default"/>
          <w:sz w:val="18"/>
          <w:szCs w:val="18"/>
        </w:rPr>
        <w:t>5</w:t>
      </w:r>
      <w:r>
        <w:rPr>
          <w:rFonts w:ascii="宋体" w:hAnsi="宋体" w:cs="宋体" w:eastAsia="宋体" w:hint="default"/>
          <w:spacing w:val="-27"/>
          <w:sz w:val="18"/>
          <w:szCs w:val="18"/>
        </w:rPr>
        <w:t> </w:t>
      </w:r>
      <w:r>
        <w:rPr>
          <w:rFonts w:ascii="宋体" w:hAnsi="宋体" w:cs="宋体" w:eastAsia="宋体" w:hint="default"/>
          <w:spacing w:val="9"/>
          <w:sz w:val="18"/>
          <w:szCs w:val="18"/>
        </w:rPr>
        <w:t>亿元</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于</w:t>
      </w:r>
      <w:r>
        <w:rPr>
          <w:rFonts w:ascii="宋体" w:hAnsi="宋体" w:cs="宋体" w:eastAsia="宋体" w:hint="default"/>
          <w:spacing w:val="-66"/>
          <w:sz w:val="18"/>
          <w:szCs w:val="18"/>
        </w:rPr>
        <w:t> </w:t>
      </w:r>
      <w:r>
        <w:rPr>
          <w:rFonts w:ascii="宋体" w:hAnsi="宋体" w:cs="宋体" w:eastAsia="宋体" w:hint="default"/>
          <w:sz w:val="18"/>
          <w:szCs w:val="18"/>
        </w:rPr>
        <w:t>补</w:t>
      </w:r>
      <w:r>
        <w:rPr>
          <w:rFonts w:ascii="宋体" w:hAnsi="宋体" w:cs="宋体" w:eastAsia="宋体" w:hint="default"/>
          <w:spacing w:val="-66"/>
          <w:sz w:val="18"/>
          <w:szCs w:val="18"/>
        </w:rPr>
        <w:t> </w:t>
      </w:r>
      <w:r>
        <w:rPr>
          <w:rFonts w:ascii="宋体" w:hAnsi="宋体" w:cs="宋体" w:eastAsia="宋体" w:hint="default"/>
          <w:sz w:val="18"/>
          <w:szCs w:val="18"/>
        </w:rPr>
        <w:t>充</w:t>
      </w:r>
      <w:r>
        <w:rPr>
          <w:rFonts w:ascii="宋体" w:hAnsi="宋体" w:cs="宋体" w:eastAsia="宋体" w:hint="default"/>
          <w:spacing w:val="-66"/>
          <w:sz w:val="18"/>
          <w:szCs w:val="18"/>
        </w:rPr>
        <w:t> </w:t>
      </w:r>
      <w:r>
        <w:rPr>
          <w:rFonts w:ascii="宋体" w:hAnsi="宋体" w:cs="宋体" w:eastAsia="宋体" w:hint="default"/>
          <w:sz w:val="18"/>
          <w:szCs w:val="18"/>
        </w:rPr>
        <w:t>流</w:t>
      </w:r>
      <w:r>
        <w:rPr>
          <w:rFonts w:ascii="宋体" w:hAnsi="宋体" w:cs="宋体" w:eastAsia="宋体" w:hint="default"/>
          <w:spacing w:val="-66"/>
          <w:sz w:val="18"/>
          <w:szCs w:val="18"/>
        </w:rPr>
        <w:t> </w:t>
      </w:r>
      <w:r>
        <w:rPr>
          <w:rFonts w:ascii="宋体" w:hAnsi="宋体" w:cs="宋体" w:eastAsia="宋体" w:hint="default"/>
          <w:sz w:val="18"/>
          <w:szCs w:val="18"/>
        </w:rPr>
        <w:t>动</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9"/>
          <w:sz w:val="18"/>
          <w:szCs w:val="18"/>
        </w:rPr>
        <w:t> </w:t>
      </w:r>
      <w:r>
        <w:rPr>
          <w:rFonts w:ascii="宋体" w:hAnsi="宋体" w:cs="宋体" w:eastAsia="宋体" w:hint="default"/>
          <w:spacing w:val="-35"/>
          <w:sz w:val="18"/>
          <w:szCs w:val="18"/>
        </w:rPr>
        <w:t>，使</w:t>
      </w:r>
      <w:r>
        <w:rPr>
          <w:rFonts w:ascii="宋体" w:hAnsi="宋体" w:cs="宋体" w:eastAsia="宋体" w:hint="default"/>
          <w:spacing w:val="-71"/>
          <w:sz w:val="18"/>
          <w:szCs w:val="18"/>
        </w:rPr>
        <w:t> </w:t>
      </w:r>
      <w:r>
        <w:rPr>
          <w:rFonts w:ascii="宋体" w:hAnsi="宋体" w:cs="宋体" w:eastAsia="宋体" w:hint="default"/>
          <w:spacing w:val="10"/>
          <w:sz w:val="18"/>
          <w:szCs w:val="18"/>
        </w:rPr>
        <w:t>用期</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z w:val="18"/>
          <w:szCs w:val="18"/>
        </w:rPr>
        <w:t>不</w:t>
      </w:r>
      <w:r>
        <w:rPr>
          <w:rFonts w:ascii="宋体" w:hAnsi="宋体" w:cs="宋体" w:eastAsia="宋体" w:hint="default"/>
          <w:spacing w:val="-66"/>
          <w:sz w:val="18"/>
          <w:szCs w:val="18"/>
        </w:rPr>
        <w:t> </w:t>
      </w:r>
      <w:r>
        <w:rPr>
          <w:rFonts w:ascii="宋体" w:hAnsi="宋体" w:cs="宋体" w:eastAsia="宋体" w:hint="default"/>
          <w:sz w:val="18"/>
          <w:szCs w:val="18"/>
        </w:rPr>
        <w:t>超</w:t>
      </w:r>
      <w:r>
        <w:rPr>
          <w:rFonts w:ascii="宋体" w:hAnsi="宋体" w:cs="宋体" w:eastAsia="宋体" w:hint="default"/>
          <w:spacing w:val="-66"/>
          <w:sz w:val="18"/>
          <w:szCs w:val="18"/>
        </w:rPr>
        <w:t> </w:t>
      </w:r>
      <w:r>
        <w:rPr>
          <w:rFonts w:ascii="宋体" w:hAnsi="宋体" w:cs="宋体" w:eastAsia="宋体" w:hint="default"/>
          <w:sz w:val="18"/>
          <w:szCs w:val="18"/>
        </w:rPr>
        <w:t>过</w:t>
      </w:r>
      <w:r>
        <w:rPr>
          <w:rFonts w:ascii="宋体" w:hAnsi="宋体" w:cs="宋体" w:eastAsia="宋体" w:hint="default"/>
          <w:spacing w:val="-9"/>
          <w:sz w:val="18"/>
          <w:szCs w:val="18"/>
        </w:rPr>
        <w:t> </w:t>
      </w:r>
      <w:r>
        <w:rPr>
          <w:rFonts w:ascii="宋体" w:hAnsi="宋体" w:cs="宋体" w:eastAsia="宋体" w:hint="default"/>
          <w:spacing w:val="7"/>
          <w:sz w:val="18"/>
          <w:szCs w:val="18"/>
        </w:rPr>
        <w:t>2009</w:t>
      </w:r>
      <w:r>
        <w:rPr>
          <w:rFonts w:ascii="宋体" w:hAnsi="宋体" w:cs="宋体" w:eastAsia="宋体" w:hint="default"/>
          <w:sz w:val="18"/>
          <w:szCs w:val="18"/>
        </w:rPr>
        <w:t> 年</w:t>
      </w:r>
      <w:r>
        <w:rPr>
          <w:rFonts w:ascii="宋体" w:hAnsi="宋体" w:cs="宋体" w:eastAsia="宋体" w:hint="default"/>
          <w:spacing w:val="-16"/>
          <w:sz w:val="18"/>
          <w:szCs w:val="18"/>
        </w:rPr>
        <w:t> </w:t>
      </w:r>
      <w:r>
        <w:rPr>
          <w:rFonts w:ascii="宋体" w:hAnsi="宋体" w:cs="宋体" w:eastAsia="宋体" w:hint="default"/>
          <w:spacing w:val="4"/>
          <w:sz w:val="18"/>
          <w:szCs w:val="18"/>
        </w:rPr>
        <w:t>12</w:t>
      </w:r>
      <w:r>
        <w:rPr>
          <w:rFonts w:ascii="宋体" w:hAnsi="宋体" w:cs="宋体" w:eastAsia="宋体"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宋体" w:hAnsi="宋体" w:cs="宋体" w:eastAsia="宋体" w:hint="default"/>
          <w:sz w:val="18"/>
          <w:szCs w:val="18"/>
        </w:rPr>
        <w:t>5</w:t>
      </w:r>
      <w:r>
        <w:rPr>
          <w:rFonts w:ascii="宋体" w:hAnsi="宋体" w:cs="宋体" w:eastAsia="宋体" w:hint="default"/>
          <w:spacing w:val="-27"/>
          <w:sz w:val="18"/>
          <w:szCs w:val="18"/>
        </w:rPr>
        <w:t> </w:t>
      </w:r>
      <w:r>
        <w:rPr>
          <w:rFonts w:ascii="宋体" w:hAnsi="宋体" w:cs="宋体" w:eastAsia="宋体" w:hint="default"/>
          <w:spacing w:val="9"/>
          <w:sz w:val="18"/>
          <w:szCs w:val="18"/>
        </w:rPr>
        <w:t>日。</w:t>
      </w:r>
      <w:r>
        <w:rPr>
          <w:rFonts w:ascii="宋体" w:hAnsi="宋体" w:cs="宋体" w:eastAsia="宋体" w:hint="default"/>
          <w:spacing w:val="-66"/>
          <w:sz w:val="18"/>
          <w:szCs w:val="18"/>
        </w:rPr>
        <w:t> </w:t>
      </w:r>
      <w:r>
        <w:rPr>
          <w:rFonts w:ascii="宋体" w:hAnsi="宋体" w:cs="宋体" w:eastAsia="宋体" w:hint="default"/>
          <w:sz w:val="18"/>
          <w:szCs w:val="18"/>
        </w:rPr>
        <w:t>到</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已</w:t>
      </w:r>
      <w:r>
        <w:rPr>
          <w:rFonts w:ascii="宋体" w:hAnsi="宋体" w:cs="宋体" w:eastAsia="宋体" w:hint="default"/>
          <w:spacing w:val="-66"/>
          <w:sz w:val="18"/>
          <w:szCs w:val="18"/>
        </w:rPr>
        <w:t> </w:t>
      </w:r>
      <w:r>
        <w:rPr>
          <w:rFonts w:ascii="宋体" w:hAnsi="宋体" w:cs="宋体" w:eastAsia="宋体" w:hint="default"/>
          <w:sz w:val="18"/>
          <w:szCs w:val="18"/>
        </w:rPr>
        <w:t>归</w:t>
      </w:r>
      <w:r>
        <w:rPr>
          <w:rFonts w:ascii="宋体" w:hAnsi="宋体" w:cs="宋体" w:eastAsia="宋体" w:hint="default"/>
          <w:spacing w:val="-66"/>
          <w:sz w:val="18"/>
          <w:szCs w:val="18"/>
        </w:rPr>
        <w:t> </w:t>
      </w:r>
      <w:r>
        <w:rPr>
          <w:rFonts w:ascii="宋体" w:hAnsi="宋体" w:cs="宋体" w:eastAsia="宋体" w:hint="default"/>
          <w:sz w:val="18"/>
          <w:szCs w:val="18"/>
        </w:rPr>
        <w:t>还</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line="240" w:lineRule="auto" w:before="11"/>
        <w:rPr>
          <w:rFonts w:ascii="宋体" w:hAnsi="宋体" w:cs="宋体" w:eastAsia="宋体" w:hint="default"/>
          <w:sz w:val="16"/>
          <w:szCs w:val="16"/>
        </w:rPr>
      </w:pPr>
    </w:p>
    <w:p>
      <w:pPr>
        <w:spacing w:line="316" w:lineRule="auto" w:before="0"/>
        <w:ind w:left="300" w:right="305" w:firstLine="408"/>
        <w:jc w:val="left"/>
        <w:rPr>
          <w:rFonts w:ascii="宋体" w:hAnsi="宋体" w:cs="宋体" w:eastAsia="宋体" w:hint="default"/>
          <w:sz w:val="18"/>
          <w:szCs w:val="18"/>
        </w:rPr>
      </w:pPr>
      <w:r>
        <w:rPr>
          <w:rFonts w:ascii="宋体" w:hAnsi="宋体" w:cs="宋体" w:eastAsia="宋体" w:hint="default"/>
          <w:spacing w:val="10"/>
          <w:sz w:val="18"/>
          <w:szCs w:val="18"/>
        </w:rPr>
        <w:t>经统</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截</w:t>
      </w:r>
      <w:r>
        <w:rPr>
          <w:rFonts w:ascii="宋体" w:hAnsi="宋体" w:cs="宋体" w:eastAsia="宋体" w:hint="default"/>
          <w:spacing w:val="-64"/>
          <w:sz w:val="18"/>
          <w:szCs w:val="18"/>
        </w:rPr>
        <w:t> </w:t>
      </w:r>
      <w:r>
        <w:rPr>
          <w:rFonts w:ascii="宋体" w:hAnsi="宋体" w:cs="宋体" w:eastAsia="宋体" w:hint="default"/>
          <w:sz w:val="18"/>
          <w:szCs w:val="18"/>
        </w:rPr>
        <w:t>至</w:t>
      </w:r>
      <w:r>
        <w:rPr>
          <w:rFonts w:ascii="宋体" w:hAnsi="宋体" w:cs="宋体" w:eastAsia="宋体" w:hint="default"/>
          <w:spacing w:val="-9"/>
          <w:sz w:val="18"/>
          <w:szCs w:val="18"/>
        </w:rPr>
        <w:t> </w:t>
      </w:r>
      <w:r>
        <w:rPr>
          <w:rFonts w:ascii="宋体" w:hAnsi="宋体" w:cs="宋体" w:eastAsia="宋体" w:hint="default"/>
          <w:spacing w:val="7"/>
          <w:sz w:val="18"/>
          <w:szCs w:val="18"/>
        </w:rPr>
        <w:t>2009</w:t>
      </w:r>
      <w:r>
        <w:rPr>
          <w:rFonts w:ascii="宋体" w:hAnsi="宋体" w:cs="宋体" w:eastAsia="宋体"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14"/>
          <w:sz w:val="18"/>
          <w:szCs w:val="18"/>
        </w:rPr>
        <w:t> </w:t>
      </w:r>
      <w:r>
        <w:rPr>
          <w:rFonts w:ascii="宋体" w:hAnsi="宋体" w:cs="宋体" w:eastAsia="宋体" w:hint="default"/>
          <w:spacing w:val="4"/>
          <w:sz w:val="18"/>
          <w:szCs w:val="18"/>
        </w:rPr>
        <w:t>12</w:t>
      </w:r>
      <w:r>
        <w:rPr>
          <w:rFonts w:ascii="宋体" w:hAnsi="宋体" w:cs="宋体" w:eastAsia="宋体" w:hint="default"/>
          <w:spacing w:val="-20"/>
          <w:sz w:val="18"/>
          <w:szCs w:val="18"/>
        </w:rPr>
        <w:t> </w:t>
      </w:r>
      <w:r>
        <w:rPr>
          <w:rFonts w:ascii="宋体" w:hAnsi="宋体" w:cs="宋体" w:eastAsia="宋体" w:hint="default"/>
          <w:spacing w:val="10"/>
          <w:sz w:val="18"/>
          <w:szCs w:val="18"/>
        </w:rPr>
        <w:t>月末</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补</w:t>
      </w:r>
      <w:r>
        <w:rPr>
          <w:rFonts w:ascii="宋体" w:hAnsi="宋体" w:cs="宋体" w:eastAsia="宋体" w:hint="default"/>
          <w:spacing w:val="-64"/>
          <w:sz w:val="18"/>
          <w:szCs w:val="18"/>
        </w:rPr>
        <w:t> </w:t>
      </w:r>
      <w:r>
        <w:rPr>
          <w:rFonts w:ascii="宋体" w:hAnsi="宋体" w:cs="宋体" w:eastAsia="宋体" w:hint="default"/>
          <w:sz w:val="18"/>
          <w:szCs w:val="18"/>
        </w:rPr>
        <w:t>充</w:t>
      </w:r>
      <w:r>
        <w:rPr>
          <w:rFonts w:ascii="宋体" w:hAnsi="宋体" w:cs="宋体" w:eastAsia="宋体" w:hint="default"/>
          <w:spacing w:val="-66"/>
          <w:sz w:val="18"/>
          <w:szCs w:val="18"/>
        </w:rPr>
        <w:t> </w:t>
      </w:r>
      <w:r>
        <w:rPr>
          <w:rFonts w:ascii="宋体" w:hAnsi="宋体" w:cs="宋体" w:eastAsia="宋体" w:hint="default"/>
          <w:sz w:val="18"/>
          <w:szCs w:val="18"/>
        </w:rPr>
        <w:t>流</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共</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6"/>
          <w:sz w:val="18"/>
          <w:szCs w:val="18"/>
        </w:rPr>
        <w:t> </w:t>
      </w:r>
      <w:r>
        <w:rPr>
          <w:rFonts w:ascii="宋体" w:hAnsi="宋体" w:cs="宋体" w:eastAsia="宋体" w:hint="default"/>
          <w:sz w:val="18"/>
          <w:szCs w:val="18"/>
        </w:rPr>
        <w:t>降</w:t>
      </w:r>
      <w:r>
        <w:rPr>
          <w:rFonts w:ascii="宋体" w:hAnsi="宋体" w:cs="宋体" w:eastAsia="宋体" w:hint="default"/>
          <w:spacing w:val="-64"/>
          <w:sz w:val="18"/>
          <w:szCs w:val="18"/>
        </w:rPr>
        <w:t> </w:t>
      </w:r>
      <w:r>
        <w:rPr>
          <w:rFonts w:ascii="宋体" w:hAnsi="宋体" w:cs="宋体" w:eastAsia="宋体" w:hint="default"/>
          <w:sz w:val="18"/>
          <w:szCs w:val="18"/>
        </w:rPr>
        <w:t>低</w:t>
      </w:r>
      <w:r>
        <w:rPr>
          <w:rFonts w:ascii="宋体" w:hAnsi="宋体" w:cs="宋体" w:eastAsia="宋体" w:hint="default"/>
          <w:spacing w:val="-64"/>
          <w:sz w:val="18"/>
          <w:szCs w:val="18"/>
        </w:rPr>
        <w:t> </w:t>
      </w:r>
      <w:r>
        <w:rPr>
          <w:rFonts w:ascii="宋体" w:hAnsi="宋体" w:cs="宋体" w:eastAsia="宋体" w:hint="default"/>
          <w:sz w:val="18"/>
          <w:szCs w:val="18"/>
        </w:rPr>
        <w:t>财</w:t>
      </w:r>
      <w:r>
        <w:rPr>
          <w:rFonts w:ascii="宋体" w:hAnsi="宋体" w:cs="宋体" w:eastAsia="宋体" w:hint="default"/>
          <w:spacing w:val="-66"/>
          <w:sz w:val="18"/>
          <w:szCs w:val="18"/>
        </w:rPr>
        <w:t> </w:t>
      </w:r>
      <w:r>
        <w:rPr>
          <w:rFonts w:ascii="宋体" w:hAnsi="宋体" w:cs="宋体" w:eastAsia="宋体" w:hint="default"/>
          <w:sz w:val="18"/>
          <w:szCs w:val="18"/>
        </w:rPr>
        <w:t>务</w:t>
      </w:r>
      <w:r>
        <w:rPr>
          <w:rFonts w:ascii="宋体" w:hAnsi="宋体" w:cs="宋体" w:eastAsia="宋体" w:hint="default"/>
          <w:spacing w:val="-64"/>
          <w:sz w:val="18"/>
          <w:szCs w:val="18"/>
        </w:rPr>
        <w:t> </w:t>
      </w:r>
      <w:r>
        <w:rPr>
          <w:rFonts w:ascii="宋体" w:hAnsi="宋体" w:cs="宋体" w:eastAsia="宋体" w:hint="default"/>
          <w:sz w:val="18"/>
          <w:szCs w:val="18"/>
        </w:rPr>
        <w:t>成</w:t>
      </w:r>
      <w:r>
        <w:rPr>
          <w:rFonts w:ascii="宋体" w:hAnsi="宋体" w:cs="宋体" w:eastAsia="宋体" w:hint="default"/>
          <w:spacing w:val="-64"/>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减</w:t>
      </w:r>
      <w:r>
        <w:rPr>
          <w:rFonts w:ascii="宋体" w:hAnsi="宋体" w:cs="宋体" w:eastAsia="宋体" w:hint="default"/>
          <w:spacing w:val="-64"/>
          <w:sz w:val="18"/>
          <w:szCs w:val="18"/>
        </w:rPr>
        <w:t> </w:t>
      </w:r>
      <w:r>
        <w:rPr>
          <w:rFonts w:ascii="宋体" w:hAnsi="宋体" w:cs="宋体" w:eastAsia="宋体" w:hint="default"/>
          <w:sz w:val="18"/>
          <w:szCs w:val="18"/>
        </w:rPr>
        <w:t>少</w:t>
      </w:r>
      <w:r>
        <w:rPr>
          <w:rFonts w:ascii="宋体" w:hAnsi="宋体" w:cs="宋体" w:eastAsia="宋体" w:hint="default"/>
          <w:spacing w:val="-66"/>
          <w:sz w:val="18"/>
          <w:szCs w:val="18"/>
        </w:rPr>
        <w:t> </w:t>
      </w:r>
      <w:r>
        <w:rPr>
          <w:rFonts w:ascii="宋体" w:hAnsi="宋体" w:cs="宋体" w:eastAsia="宋体" w:hint="default"/>
          <w:sz w:val="18"/>
          <w:szCs w:val="18"/>
        </w:rPr>
        <w:t>利</w:t>
      </w:r>
      <w:r>
        <w:rPr>
          <w:rFonts w:ascii="宋体" w:hAnsi="宋体" w:cs="宋体" w:eastAsia="宋体" w:hint="default"/>
          <w:spacing w:val="-64"/>
          <w:sz w:val="18"/>
          <w:szCs w:val="18"/>
        </w:rPr>
        <w:t> </w:t>
      </w:r>
      <w:r>
        <w:rPr>
          <w:rFonts w:ascii="宋体" w:hAnsi="宋体" w:cs="宋体" w:eastAsia="宋体" w:hint="default"/>
          <w:sz w:val="18"/>
          <w:szCs w:val="18"/>
        </w:rPr>
        <w:t>息</w:t>
      </w:r>
      <w:r>
        <w:rPr>
          <w:rFonts w:ascii="宋体" w:hAnsi="宋体" w:cs="宋体" w:eastAsia="宋体" w:hint="default"/>
          <w:spacing w:val="-64"/>
          <w:sz w:val="18"/>
          <w:szCs w:val="18"/>
        </w:rPr>
        <w:t> </w:t>
      </w:r>
      <w:r>
        <w:rPr>
          <w:rFonts w:ascii="宋体" w:hAnsi="宋体" w:cs="宋体" w:eastAsia="宋体" w:hint="default"/>
          <w:sz w:val="18"/>
          <w:szCs w:val="18"/>
        </w:rPr>
        <w:t>支</w:t>
      </w:r>
      <w:r>
        <w:rPr>
          <w:rFonts w:ascii="宋体" w:hAnsi="宋体" w:cs="宋体" w:eastAsia="宋体" w:hint="default"/>
          <w:spacing w:val="-66"/>
          <w:sz w:val="18"/>
          <w:szCs w:val="18"/>
        </w:rPr>
        <w:t> </w:t>
      </w:r>
      <w:r>
        <w:rPr>
          <w:rFonts w:ascii="宋体" w:hAnsi="宋体" w:cs="宋体" w:eastAsia="宋体" w:hint="default"/>
          <w:sz w:val="18"/>
          <w:szCs w:val="18"/>
        </w:rPr>
        <w:t>出</w:t>
      </w:r>
      <w:r>
        <w:rPr>
          <w:rFonts w:ascii="宋体" w:hAnsi="宋体" w:cs="宋体" w:eastAsia="宋体" w:hint="default"/>
          <w:sz w:val="18"/>
          <w:szCs w:val="18"/>
        </w:rPr>
        <w:t> </w:t>
      </w:r>
      <w:r>
        <w:rPr>
          <w:rFonts w:ascii="宋体" w:hAnsi="宋体" w:cs="宋体" w:eastAsia="宋体" w:hint="default"/>
          <w:spacing w:val="8"/>
          <w:sz w:val="18"/>
          <w:szCs w:val="18"/>
        </w:rPr>
        <w:t>1,957</w:t>
      </w:r>
      <w:r>
        <w:rPr>
          <w:rFonts w:ascii="宋体" w:hAnsi="宋体" w:cs="宋体" w:eastAsia="宋体" w:hint="default"/>
          <w:spacing w:val="-21"/>
          <w:sz w:val="18"/>
          <w:szCs w:val="18"/>
        </w:rPr>
        <w:t> </w:t>
      </w:r>
      <w:r>
        <w:rPr>
          <w:rFonts w:ascii="宋体" w:hAnsi="宋体" w:cs="宋体" w:eastAsia="宋体" w:hint="default"/>
          <w:spacing w:val="9"/>
          <w:sz w:val="18"/>
          <w:szCs w:val="18"/>
        </w:rPr>
        <w:t>万元</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line="240" w:lineRule="auto" w:before="11"/>
        <w:rPr>
          <w:rFonts w:ascii="宋体" w:hAnsi="宋体" w:cs="宋体" w:eastAsia="宋体" w:hint="default"/>
          <w:sz w:val="14"/>
          <w:szCs w:val="14"/>
        </w:rPr>
      </w:pPr>
    </w:p>
    <w:p>
      <w:pPr>
        <w:spacing w:before="0"/>
        <w:ind w:left="70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7"/>
          <w:sz w:val="18"/>
          <w:szCs w:val="18"/>
        </w:rPr>
        <w:t>3、</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pacing w:val="9"/>
          <w:sz w:val="18"/>
          <w:szCs w:val="18"/>
        </w:rPr>
        <w:t>前次</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募</w:t>
      </w:r>
      <w:r>
        <w:rPr>
          <w:rFonts w:ascii="Microsoft JhengHei" w:hAnsi="Microsoft JhengHei" w:cs="Microsoft JhengHei" w:eastAsia="Microsoft JhengHei" w:hint="default"/>
          <w:b/>
          <w:bCs/>
          <w:spacing w:val="-20"/>
          <w:sz w:val="18"/>
          <w:szCs w:val="18"/>
        </w:rPr>
        <w:t> </w:t>
      </w:r>
      <w:r>
        <w:rPr>
          <w:rFonts w:ascii="Microsoft JhengHei" w:hAnsi="Microsoft JhengHei" w:cs="Microsoft JhengHei" w:eastAsia="Microsoft JhengHei" w:hint="default"/>
          <w:b/>
          <w:bCs/>
          <w:sz w:val="18"/>
          <w:szCs w:val="18"/>
        </w:rPr>
        <w:t>集</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资</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金</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投</w:t>
      </w:r>
      <w:r>
        <w:rPr>
          <w:rFonts w:ascii="Microsoft JhengHei" w:hAnsi="Microsoft JhengHei" w:cs="Microsoft JhengHei" w:eastAsia="Microsoft JhengHei" w:hint="default"/>
          <w:b/>
          <w:bCs/>
          <w:spacing w:val="-20"/>
          <w:sz w:val="18"/>
          <w:szCs w:val="18"/>
        </w:rPr>
        <w:t> </w:t>
      </w:r>
      <w:r>
        <w:rPr>
          <w:rFonts w:ascii="Microsoft JhengHei" w:hAnsi="Microsoft JhengHei" w:cs="Microsoft JhengHei" w:eastAsia="Microsoft JhengHei" w:hint="default"/>
          <w:b/>
          <w:bCs/>
          <w:spacing w:val="10"/>
          <w:sz w:val="18"/>
          <w:szCs w:val="18"/>
        </w:rPr>
        <w:t>资项</w:t>
      </w:r>
      <w:r>
        <w:rPr>
          <w:rFonts w:ascii="Microsoft JhengHei" w:hAnsi="Microsoft JhengHei" w:cs="Microsoft JhengHei" w:eastAsia="Microsoft JhengHei" w:hint="default"/>
          <w:b/>
          <w:bCs/>
          <w:spacing w:val="-20"/>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对</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外</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转</w:t>
      </w:r>
      <w:r>
        <w:rPr>
          <w:rFonts w:ascii="Microsoft JhengHei" w:hAnsi="Microsoft JhengHei" w:cs="Microsoft JhengHei" w:eastAsia="Microsoft JhengHei" w:hint="default"/>
          <w:b/>
          <w:bCs/>
          <w:spacing w:val="-20"/>
          <w:sz w:val="18"/>
          <w:szCs w:val="18"/>
        </w:rPr>
        <w:t> </w:t>
      </w:r>
      <w:r>
        <w:rPr>
          <w:rFonts w:ascii="Microsoft JhengHei" w:hAnsi="Microsoft JhengHei" w:cs="Microsoft JhengHei" w:eastAsia="Microsoft JhengHei" w:hint="default"/>
          <w:b/>
          <w:bCs/>
          <w:sz w:val="18"/>
          <w:szCs w:val="18"/>
        </w:rPr>
        <w:t>让</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或</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置</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换</w:t>
      </w:r>
      <w:r>
        <w:rPr>
          <w:rFonts w:ascii="Microsoft JhengHei" w:hAnsi="Microsoft JhengHei" w:cs="Microsoft JhengHei" w:eastAsia="Microsoft JhengHei" w:hint="default"/>
          <w:b/>
          <w:bCs/>
          <w:spacing w:val="-20"/>
          <w:sz w:val="18"/>
          <w:szCs w:val="18"/>
        </w:rPr>
        <w:t> </w:t>
      </w:r>
      <w:r>
        <w:rPr>
          <w:rFonts w:ascii="Microsoft JhengHei" w:hAnsi="Microsoft JhengHei" w:cs="Microsoft JhengHei" w:eastAsia="Microsoft JhengHei" w:hint="default"/>
          <w:b/>
          <w:bCs/>
          <w:spacing w:val="10"/>
          <w:sz w:val="18"/>
          <w:szCs w:val="18"/>
        </w:rPr>
        <w:t>情况</w:t>
      </w:r>
      <w:r>
        <w:rPr>
          <w:rFonts w:ascii="Microsoft JhengHei" w:hAnsi="Microsoft JhengHei" w:cs="Microsoft JhengHei" w:eastAsia="Microsoft JhengHei" w:hint="default"/>
          <w:b/>
          <w:bCs/>
          <w:spacing w:val="-20"/>
          <w:sz w:val="18"/>
          <w:szCs w:val="18"/>
        </w:rPr>
        <w:t> </w:t>
      </w:r>
      <w:r>
        <w:rPr>
          <w:rFonts w:ascii="Microsoft JhengHei" w:hAnsi="Microsoft JhengHei" w:cs="Microsoft JhengHei" w:eastAsia="Microsoft JhengHei" w:hint="default"/>
          <w:b/>
          <w:bCs/>
          <w:sz w:val="18"/>
          <w:szCs w:val="18"/>
        </w:rPr>
        <w:t>说</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明</w:t>
      </w:r>
      <w:r>
        <w:rPr>
          <w:rFonts w:ascii="Microsoft JhengHei" w:hAnsi="Microsoft JhengHei" w:cs="Microsoft JhengHei" w:eastAsia="Microsoft JhengHei" w:hint="default"/>
          <w:sz w:val="18"/>
          <w:szCs w:val="18"/>
        </w:rPr>
      </w:r>
    </w:p>
    <w:p>
      <w:pPr>
        <w:spacing w:line="240" w:lineRule="auto" w:before="10"/>
        <w:rPr>
          <w:rFonts w:ascii="Microsoft JhengHei" w:hAnsi="Microsoft JhengHei" w:cs="Microsoft JhengHei" w:eastAsia="Microsoft JhengHei" w:hint="default"/>
          <w:b/>
          <w:bCs/>
          <w:sz w:val="16"/>
          <w:szCs w:val="16"/>
        </w:rPr>
      </w:pPr>
    </w:p>
    <w:p>
      <w:pPr>
        <w:spacing w:line="496" w:lineRule="auto" w:before="0"/>
        <w:ind w:left="707" w:right="2801" w:firstLine="0"/>
        <w:jc w:val="left"/>
        <w:rPr>
          <w:rFonts w:ascii="Microsoft JhengHei" w:hAnsi="Microsoft JhengHei" w:cs="Microsoft JhengHei" w:eastAsia="Microsoft JhengHei" w:hint="default"/>
          <w:sz w:val="18"/>
          <w:szCs w:val="18"/>
        </w:rPr>
      </w:pPr>
      <w:r>
        <w:rPr>
          <w:rFonts w:ascii="宋体" w:hAnsi="宋体" w:cs="宋体" w:eastAsia="宋体" w:hint="default"/>
          <w:spacing w:val="9"/>
          <w:sz w:val="18"/>
          <w:szCs w:val="18"/>
        </w:rPr>
        <w:t>本公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66"/>
          <w:sz w:val="18"/>
          <w:szCs w:val="18"/>
        </w:rPr>
        <w:t> </w:t>
      </w:r>
      <w:r>
        <w:rPr>
          <w:rFonts w:ascii="宋体" w:hAnsi="宋体" w:cs="宋体" w:eastAsia="宋体" w:hint="default"/>
          <w:sz w:val="18"/>
          <w:szCs w:val="18"/>
        </w:rPr>
        <w:t>不</w:t>
      </w:r>
      <w:r>
        <w:rPr>
          <w:rFonts w:ascii="宋体" w:hAnsi="宋体" w:cs="宋体" w:eastAsia="宋体" w:hint="default"/>
          <w:spacing w:val="-66"/>
          <w:sz w:val="18"/>
          <w:szCs w:val="18"/>
        </w:rPr>
        <w:t> </w:t>
      </w:r>
      <w:r>
        <w:rPr>
          <w:rFonts w:ascii="宋体" w:hAnsi="宋体" w:cs="宋体" w:eastAsia="宋体" w:hint="default"/>
          <w:sz w:val="18"/>
          <w:szCs w:val="18"/>
        </w:rPr>
        <w:t>存</w:t>
      </w:r>
      <w:r>
        <w:rPr>
          <w:rFonts w:ascii="宋体" w:hAnsi="宋体" w:cs="宋体" w:eastAsia="宋体" w:hint="default"/>
          <w:spacing w:val="-66"/>
          <w:sz w:val="18"/>
          <w:szCs w:val="18"/>
        </w:rPr>
        <w:t> </w:t>
      </w:r>
      <w:r>
        <w:rPr>
          <w:rFonts w:ascii="宋体" w:hAnsi="宋体" w:cs="宋体" w:eastAsia="宋体" w:hint="default"/>
          <w:sz w:val="18"/>
          <w:szCs w:val="18"/>
        </w:rPr>
        <w:t>在</w:t>
      </w:r>
      <w:r>
        <w:rPr>
          <w:rFonts w:ascii="宋体" w:hAnsi="宋体" w:cs="宋体" w:eastAsia="宋体" w:hint="default"/>
          <w:spacing w:val="-66"/>
          <w:sz w:val="18"/>
          <w:szCs w:val="18"/>
        </w:rPr>
        <w:t> </w:t>
      </w:r>
      <w:r>
        <w:rPr>
          <w:rFonts w:ascii="宋体" w:hAnsi="宋体" w:cs="宋体" w:eastAsia="宋体" w:hint="default"/>
          <w:sz w:val="18"/>
          <w:szCs w:val="18"/>
        </w:rPr>
        <w:t>前</w:t>
      </w:r>
      <w:r>
        <w:rPr>
          <w:rFonts w:ascii="宋体" w:hAnsi="宋体" w:cs="宋体" w:eastAsia="宋体" w:hint="default"/>
          <w:spacing w:val="-66"/>
          <w:sz w:val="18"/>
          <w:szCs w:val="18"/>
        </w:rPr>
        <w:t> </w:t>
      </w:r>
      <w:r>
        <w:rPr>
          <w:rFonts w:ascii="宋体" w:hAnsi="宋体" w:cs="宋体" w:eastAsia="宋体" w:hint="default"/>
          <w:sz w:val="18"/>
          <w:szCs w:val="18"/>
        </w:rPr>
        <w:t>次</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z w:val="18"/>
          <w:szCs w:val="18"/>
        </w:rPr>
        <w:t>目</w:t>
      </w:r>
      <w:r>
        <w:rPr>
          <w:rFonts w:ascii="宋体" w:hAnsi="宋体" w:cs="宋体" w:eastAsia="宋体" w:hint="default"/>
          <w:spacing w:val="-66"/>
          <w:sz w:val="18"/>
          <w:szCs w:val="18"/>
        </w:rPr>
        <w:t> </w:t>
      </w:r>
      <w:r>
        <w:rPr>
          <w:rFonts w:ascii="宋体" w:hAnsi="宋体" w:cs="宋体" w:eastAsia="宋体" w:hint="default"/>
          <w:sz w:val="18"/>
          <w:szCs w:val="18"/>
        </w:rPr>
        <w:t>对</w:t>
      </w:r>
      <w:r>
        <w:rPr>
          <w:rFonts w:ascii="宋体" w:hAnsi="宋体" w:cs="宋体" w:eastAsia="宋体" w:hint="default"/>
          <w:spacing w:val="-66"/>
          <w:sz w:val="18"/>
          <w:szCs w:val="18"/>
        </w:rPr>
        <w:t> </w:t>
      </w:r>
      <w:r>
        <w:rPr>
          <w:rFonts w:ascii="宋体" w:hAnsi="宋体" w:cs="宋体" w:eastAsia="宋体" w:hint="default"/>
          <w:sz w:val="18"/>
          <w:szCs w:val="18"/>
        </w:rPr>
        <w:t>外</w:t>
      </w:r>
      <w:r>
        <w:rPr>
          <w:rFonts w:ascii="宋体" w:hAnsi="宋体" w:cs="宋体" w:eastAsia="宋体" w:hint="default"/>
          <w:spacing w:val="-66"/>
          <w:sz w:val="18"/>
          <w:szCs w:val="18"/>
        </w:rPr>
        <w:t> </w:t>
      </w:r>
      <w:r>
        <w:rPr>
          <w:rFonts w:ascii="宋体" w:hAnsi="宋体" w:cs="宋体" w:eastAsia="宋体" w:hint="default"/>
          <w:sz w:val="18"/>
          <w:szCs w:val="18"/>
        </w:rPr>
        <w:t>转</w:t>
      </w:r>
      <w:r>
        <w:rPr>
          <w:rFonts w:ascii="宋体" w:hAnsi="宋体" w:cs="宋体" w:eastAsia="宋体" w:hint="default"/>
          <w:spacing w:val="-66"/>
          <w:sz w:val="18"/>
          <w:szCs w:val="18"/>
        </w:rPr>
        <w:t> </w:t>
      </w:r>
      <w:r>
        <w:rPr>
          <w:rFonts w:ascii="宋体" w:hAnsi="宋体" w:cs="宋体" w:eastAsia="宋体" w:hint="default"/>
          <w:sz w:val="18"/>
          <w:szCs w:val="18"/>
        </w:rPr>
        <w:t>让</w:t>
      </w:r>
      <w:r>
        <w:rPr>
          <w:rFonts w:ascii="宋体" w:hAnsi="宋体" w:cs="宋体" w:eastAsia="宋体" w:hint="default"/>
          <w:spacing w:val="-66"/>
          <w:sz w:val="18"/>
          <w:szCs w:val="18"/>
        </w:rPr>
        <w:t> </w:t>
      </w:r>
      <w:r>
        <w:rPr>
          <w:rFonts w:ascii="宋体" w:hAnsi="宋体" w:cs="宋体" w:eastAsia="宋体" w:hint="default"/>
          <w:sz w:val="18"/>
          <w:szCs w:val="18"/>
        </w:rPr>
        <w:t>或</w:t>
      </w:r>
      <w:r>
        <w:rPr>
          <w:rFonts w:ascii="宋体" w:hAnsi="宋体" w:cs="宋体" w:eastAsia="宋体" w:hint="default"/>
          <w:spacing w:val="-66"/>
          <w:sz w:val="18"/>
          <w:szCs w:val="18"/>
        </w:rPr>
        <w:t> </w:t>
      </w:r>
      <w:r>
        <w:rPr>
          <w:rFonts w:ascii="宋体" w:hAnsi="宋体" w:cs="宋体" w:eastAsia="宋体" w:hint="default"/>
          <w:sz w:val="18"/>
          <w:szCs w:val="18"/>
        </w:rPr>
        <w:t>置</w:t>
      </w:r>
      <w:r>
        <w:rPr>
          <w:rFonts w:ascii="宋体" w:hAnsi="宋体" w:cs="宋体" w:eastAsia="宋体" w:hint="default"/>
          <w:spacing w:val="-66"/>
          <w:sz w:val="18"/>
          <w:szCs w:val="18"/>
        </w:rPr>
        <w:t> </w:t>
      </w:r>
      <w:r>
        <w:rPr>
          <w:rFonts w:ascii="宋体" w:hAnsi="宋体" w:cs="宋体" w:eastAsia="宋体" w:hint="default"/>
          <w:sz w:val="18"/>
          <w:szCs w:val="18"/>
        </w:rPr>
        <w:t>换</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情</w:t>
      </w:r>
      <w:r>
        <w:rPr>
          <w:rFonts w:ascii="宋体" w:hAnsi="宋体" w:cs="宋体" w:eastAsia="宋体" w:hint="default"/>
          <w:spacing w:val="-66"/>
          <w:sz w:val="18"/>
          <w:szCs w:val="18"/>
        </w:rPr>
        <w:t> </w:t>
      </w:r>
      <w:r>
        <w:rPr>
          <w:rFonts w:ascii="宋体" w:hAnsi="宋体" w:cs="宋体" w:eastAsia="宋体" w:hint="default"/>
          <w:sz w:val="18"/>
          <w:szCs w:val="18"/>
        </w:rPr>
        <w:t>况</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Microsoft JhengHei" w:hAnsi="Microsoft JhengHei" w:cs="Microsoft JhengHei" w:eastAsia="Microsoft JhengHei" w:hint="default"/>
          <w:b/>
          <w:bCs/>
          <w:spacing w:val="7"/>
          <w:sz w:val="18"/>
          <w:szCs w:val="18"/>
        </w:rPr>
        <w:t>4、</w:t>
      </w:r>
      <w:r>
        <w:rPr>
          <w:rFonts w:ascii="Microsoft JhengHei" w:hAnsi="Microsoft JhengHei" w:cs="Microsoft JhengHei" w:eastAsia="Microsoft JhengHei" w:hint="default"/>
          <w:b/>
          <w:bCs/>
          <w:spacing w:val="-23"/>
          <w:sz w:val="18"/>
          <w:szCs w:val="18"/>
        </w:rPr>
        <w:t> </w:t>
      </w:r>
      <w:r>
        <w:rPr>
          <w:rFonts w:ascii="Microsoft JhengHei" w:hAnsi="Microsoft JhengHei" w:cs="Microsoft JhengHei" w:eastAsia="Microsoft JhengHei" w:hint="default"/>
          <w:b/>
          <w:bCs/>
          <w:spacing w:val="9"/>
          <w:sz w:val="18"/>
          <w:szCs w:val="18"/>
        </w:rPr>
        <w:t>闲置</w:t>
      </w:r>
      <w:r>
        <w:rPr>
          <w:rFonts w:ascii="Microsoft JhengHei" w:hAnsi="Microsoft JhengHei" w:cs="Microsoft JhengHei" w:eastAsia="Microsoft JhengHei" w:hint="default"/>
          <w:b/>
          <w:bCs/>
          <w:spacing w:val="-23"/>
          <w:sz w:val="18"/>
          <w:szCs w:val="18"/>
        </w:rPr>
        <w:t> </w:t>
      </w:r>
      <w:r>
        <w:rPr>
          <w:rFonts w:ascii="Microsoft JhengHei" w:hAnsi="Microsoft JhengHei" w:cs="Microsoft JhengHei" w:eastAsia="Microsoft JhengHei" w:hint="default"/>
          <w:b/>
          <w:bCs/>
          <w:sz w:val="18"/>
          <w:szCs w:val="18"/>
        </w:rPr>
        <w:t>募</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集</w:t>
      </w:r>
      <w:r>
        <w:rPr>
          <w:rFonts w:ascii="Microsoft JhengHei" w:hAnsi="Microsoft JhengHei" w:cs="Microsoft JhengHei" w:eastAsia="Microsoft JhengHei" w:hint="default"/>
          <w:b/>
          <w:bCs/>
          <w:spacing w:val="-23"/>
          <w:sz w:val="18"/>
          <w:szCs w:val="18"/>
        </w:rPr>
        <w:t> </w:t>
      </w:r>
      <w:r>
        <w:rPr>
          <w:rFonts w:ascii="Microsoft JhengHei" w:hAnsi="Microsoft JhengHei" w:cs="Microsoft JhengHei" w:eastAsia="Microsoft JhengHei" w:hint="default"/>
          <w:b/>
          <w:bCs/>
          <w:sz w:val="18"/>
          <w:szCs w:val="18"/>
        </w:rPr>
        <w:t>资</w:t>
      </w:r>
      <w:r>
        <w:rPr>
          <w:rFonts w:ascii="Microsoft JhengHei" w:hAnsi="Microsoft JhengHei" w:cs="Microsoft JhengHei" w:eastAsia="Microsoft JhengHei" w:hint="default"/>
          <w:b/>
          <w:bCs/>
          <w:spacing w:val="-23"/>
          <w:sz w:val="18"/>
          <w:szCs w:val="18"/>
        </w:rPr>
        <w:t> </w:t>
      </w:r>
      <w:r>
        <w:rPr>
          <w:rFonts w:ascii="Microsoft JhengHei" w:hAnsi="Microsoft JhengHei" w:cs="Microsoft JhengHei" w:eastAsia="Microsoft JhengHei" w:hint="default"/>
          <w:b/>
          <w:bCs/>
          <w:sz w:val="18"/>
          <w:szCs w:val="18"/>
        </w:rPr>
        <w:t>金</w:t>
      </w:r>
      <w:r>
        <w:rPr>
          <w:rFonts w:ascii="Microsoft JhengHei" w:hAnsi="Microsoft JhengHei" w:cs="Microsoft JhengHei" w:eastAsia="Microsoft JhengHei" w:hint="default"/>
          <w:b/>
          <w:bCs/>
          <w:spacing w:val="-23"/>
          <w:sz w:val="18"/>
          <w:szCs w:val="18"/>
        </w:rPr>
        <w:t> </w:t>
      </w:r>
      <w:r>
        <w:rPr>
          <w:rFonts w:ascii="Microsoft JhengHei" w:hAnsi="Microsoft JhengHei" w:cs="Microsoft JhengHei" w:eastAsia="Microsoft JhengHei" w:hint="default"/>
          <w:b/>
          <w:bCs/>
          <w:sz w:val="18"/>
          <w:szCs w:val="18"/>
        </w:rPr>
        <w:t>情</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pacing w:val="10"/>
          <w:sz w:val="18"/>
          <w:szCs w:val="18"/>
        </w:rPr>
        <w:t>况说</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明</w:t>
      </w:r>
      <w:r>
        <w:rPr>
          <w:rFonts w:ascii="Microsoft JhengHei" w:hAnsi="Microsoft JhengHei" w:cs="Microsoft JhengHei" w:eastAsia="Microsoft JhengHei" w:hint="default"/>
          <w:sz w:val="18"/>
          <w:szCs w:val="18"/>
        </w:rPr>
      </w:r>
    </w:p>
    <w:p>
      <w:pPr>
        <w:spacing w:before="32"/>
        <w:ind w:left="707" w:right="0" w:firstLine="0"/>
        <w:jc w:val="left"/>
        <w:rPr>
          <w:rFonts w:ascii="宋体" w:hAnsi="宋体" w:cs="宋体" w:eastAsia="宋体" w:hint="default"/>
          <w:sz w:val="18"/>
          <w:szCs w:val="18"/>
        </w:rPr>
      </w:pPr>
      <w:r>
        <w:rPr>
          <w:rFonts w:ascii="宋体" w:hAnsi="宋体" w:cs="宋体" w:eastAsia="宋体" w:hint="default"/>
          <w:spacing w:val="9"/>
          <w:sz w:val="18"/>
          <w:szCs w:val="18"/>
        </w:rPr>
        <w:t>截至</w:t>
      </w:r>
      <w:r>
        <w:rPr>
          <w:rFonts w:ascii="宋体" w:hAnsi="宋体" w:cs="宋体" w:eastAsia="宋体" w:hint="default"/>
          <w:spacing w:val="-30"/>
          <w:sz w:val="18"/>
          <w:szCs w:val="18"/>
        </w:rPr>
        <w:t> </w:t>
      </w:r>
      <w:r>
        <w:rPr>
          <w:rFonts w:ascii="宋体" w:hAnsi="宋体" w:cs="宋体" w:eastAsia="宋体" w:hint="default"/>
          <w:spacing w:val="7"/>
          <w:sz w:val="18"/>
          <w:szCs w:val="18"/>
        </w:rPr>
        <w:t>2009</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pacing w:val="4"/>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pacing w:val="4"/>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71"/>
          <w:sz w:val="18"/>
          <w:szCs w:val="18"/>
        </w:rPr>
        <w:t> </w:t>
      </w:r>
      <w:r>
        <w:rPr>
          <w:rFonts w:ascii="宋体" w:hAnsi="宋体" w:cs="宋体" w:eastAsia="宋体" w:hint="default"/>
          <w:spacing w:val="-35"/>
          <w:sz w:val="18"/>
          <w:szCs w:val="18"/>
        </w:rPr>
        <w:t>，公</w:t>
      </w:r>
      <w:r>
        <w:rPr>
          <w:rFonts w:ascii="宋体" w:hAnsi="宋体" w:cs="宋体" w:eastAsia="宋体" w:hint="default"/>
          <w:spacing w:val="-71"/>
          <w:sz w:val="18"/>
          <w:szCs w:val="18"/>
        </w:rPr>
        <w:t> </w:t>
      </w:r>
      <w:r>
        <w:rPr>
          <w:rFonts w:ascii="宋体" w:hAnsi="宋体" w:cs="宋体" w:eastAsia="宋体" w:hint="default"/>
          <w:spacing w:val="10"/>
          <w:sz w:val="18"/>
          <w:szCs w:val="18"/>
        </w:rPr>
        <w:t>司本</w:t>
      </w:r>
      <w:r>
        <w:rPr>
          <w:rFonts w:ascii="宋体" w:hAnsi="宋体" w:cs="宋体" w:eastAsia="宋体" w:hint="default"/>
          <w:spacing w:val="-66"/>
          <w:sz w:val="18"/>
          <w:szCs w:val="18"/>
        </w:rPr>
        <w:t> </w:t>
      </w:r>
      <w:r>
        <w:rPr>
          <w:rFonts w:ascii="宋体" w:hAnsi="宋体" w:cs="宋体" w:eastAsia="宋体" w:hint="default"/>
          <w:sz w:val="18"/>
          <w:szCs w:val="18"/>
        </w:rPr>
        <w:t>次</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了</w:t>
      </w:r>
      <w:r>
        <w:rPr>
          <w:rFonts w:ascii="宋体" w:hAnsi="宋体" w:cs="宋体" w:eastAsia="宋体" w:hint="default"/>
          <w:spacing w:val="-30"/>
          <w:sz w:val="18"/>
          <w:szCs w:val="18"/>
        </w:rPr>
        <w:t> </w:t>
      </w:r>
      <w:r>
        <w:rPr>
          <w:rFonts w:ascii="宋体" w:hAnsi="宋体" w:cs="宋体" w:eastAsia="宋体" w:hint="default"/>
          <w:spacing w:val="9"/>
          <w:sz w:val="18"/>
          <w:szCs w:val="18"/>
        </w:rPr>
        <w:t>15,220.12</w:t>
      </w:r>
      <w:r>
        <w:rPr>
          <w:rFonts w:ascii="宋体" w:hAnsi="宋体" w:cs="宋体" w:eastAsia="宋体" w:hint="default"/>
          <w:spacing w:val="-36"/>
          <w:sz w:val="18"/>
          <w:szCs w:val="18"/>
        </w:rPr>
        <w:t> </w:t>
      </w:r>
      <w:r>
        <w:rPr>
          <w:rFonts w:ascii="宋体" w:hAnsi="宋体" w:cs="宋体" w:eastAsia="宋体" w:hint="default"/>
          <w:spacing w:val="9"/>
          <w:sz w:val="18"/>
          <w:szCs w:val="18"/>
        </w:rPr>
        <w:t>万元</w:t>
      </w:r>
      <w:r>
        <w:rPr>
          <w:rFonts w:ascii="宋体" w:hAnsi="宋体" w:cs="宋体" w:eastAsia="宋体" w:hint="default"/>
          <w:spacing w:val="-69"/>
          <w:sz w:val="18"/>
          <w:szCs w:val="18"/>
        </w:rPr>
        <w:t> </w:t>
      </w:r>
      <w:r>
        <w:rPr>
          <w:rFonts w:ascii="宋体" w:hAnsi="宋体" w:cs="宋体" w:eastAsia="宋体" w:hint="default"/>
          <w:spacing w:val="-35"/>
          <w:sz w:val="18"/>
          <w:szCs w:val="18"/>
        </w:rPr>
        <w:t>，占</w:t>
      </w:r>
      <w:r>
        <w:rPr>
          <w:rFonts w:ascii="宋体" w:hAnsi="宋体" w:cs="宋体" w:eastAsia="宋体" w:hint="default"/>
          <w:spacing w:val="-71"/>
          <w:sz w:val="18"/>
          <w:szCs w:val="18"/>
        </w:rPr>
        <w:t> </w:t>
      </w:r>
      <w:r>
        <w:rPr>
          <w:rFonts w:ascii="宋体" w:hAnsi="宋体" w:cs="宋体" w:eastAsia="宋体" w:hint="default"/>
          <w:spacing w:val="10"/>
          <w:sz w:val="18"/>
          <w:szCs w:val="18"/>
        </w:rPr>
        <w:t>募集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净</w:t>
      </w:r>
      <w:r>
        <w:rPr>
          <w:rFonts w:ascii="宋体" w:hAnsi="宋体" w:cs="宋体" w:eastAsia="宋体" w:hint="default"/>
          <w:spacing w:val="-66"/>
          <w:sz w:val="18"/>
          <w:szCs w:val="18"/>
        </w:rPr>
        <w:t> </w:t>
      </w:r>
      <w:r>
        <w:rPr>
          <w:rFonts w:ascii="宋体" w:hAnsi="宋体" w:cs="宋体" w:eastAsia="宋体" w:hint="default"/>
          <w:sz w:val="18"/>
          <w:szCs w:val="18"/>
        </w:rPr>
        <w:t>额</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16"/>
          <w:sz w:val="18"/>
          <w:szCs w:val="18"/>
        </w:rPr>
        <w:t> </w:t>
      </w:r>
      <w:r>
        <w:rPr>
          <w:rFonts w:ascii="宋体" w:hAnsi="宋体" w:cs="宋体" w:eastAsia="宋体" w:hint="default"/>
          <w:spacing w:val="7"/>
          <w:sz w:val="18"/>
          <w:szCs w:val="18"/>
        </w:rPr>
        <w:t>13.40</w:t>
      </w:r>
    </w:p>
    <w:p>
      <w:pPr>
        <w:spacing w:before="76"/>
        <w:ind w:left="300" w:right="0" w:firstLine="0"/>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余</w:t>
      </w:r>
      <w:r>
        <w:rPr>
          <w:rFonts w:ascii="宋体" w:hAnsi="宋体" w:cs="宋体" w:eastAsia="宋体" w:hint="default"/>
          <w:spacing w:val="-66"/>
          <w:sz w:val="18"/>
          <w:szCs w:val="18"/>
        </w:rPr>
        <w:t> </w:t>
      </w:r>
      <w:r>
        <w:rPr>
          <w:rFonts w:ascii="宋体" w:hAnsi="宋体" w:cs="宋体" w:eastAsia="宋体" w:hint="default"/>
          <w:sz w:val="18"/>
          <w:szCs w:val="18"/>
        </w:rPr>
        <w:t>额</w:t>
      </w:r>
      <w:r>
        <w:rPr>
          <w:rFonts w:ascii="宋体" w:hAnsi="宋体" w:cs="宋体" w:eastAsia="宋体" w:hint="default"/>
          <w:spacing w:val="-11"/>
          <w:sz w:val="18"/>
          <w:szCs w:val="18"/>
        </w:rPr>
        <w:t> </w:t>
      </w:r>
      <w:r>
        <w:rPr>
          <w:rFonts w:ascii="宋体" w:hAnsi="宋体" w:cs="宋体" w:eastAsia="宋体" w:hint="default"/>
          <w:spacing w:val="9"/>
          <w:sz w:val="18"/>
          <w:szCs w:val="18"/>
        </w:rPr>
        <w:t>98,281.66</w:t>
      </w:r>
      <w:r>
        <w:rPr>
          <w:rFonts w:ascii="宋体" w:hAnsi="宋体" w:cs="宋体" w:eastAsia="宋体" w:hint="default"/>
          <w:spacing w:val="-20"/>
          <w:sz w:val="18"/>
          <w:szCs w:val="18"/>
        </w:rPr>
        <w:t> </w:t>
      </w:r>
      <w:r>
        <w:rPr>
          <w:rFonts w:ascii="宋体" w:hAnsi="宋体" w:cs="宋体" w:eastAsia="宋体" w:hint="default"/>
          <w:spacing w:val="9"/>
          <w:sz w:val="18"/>
          <w:szCs w:val="18"/>
        </w:rPr>
        <w:t>万元</w:t>
      </w:r>
      <w:r>
        <w:rPr>
          <w:rFonts w:ascii="宋体" w:hAnsi="宋体" w:cs="宋体" w:eastAsia="宋体" w:hint="default"/>
          <w:spacing w:val="-66"/>
          <w:sz w:val="18"/>
          <w:szCs w:val="18"/>
        </w:rPr>
        <w:t> </w:t>
      </w:r>
      <w:r>
        <w:rPr>
          <w:rFonts w:ascii="宋体" w:hAnsi="宋体" w:cs="宋体" w:eastAsia="宋体" w:hint="default"/>
          <w:sz w:val="18"/>
          <w:szCs w:val="18"/>
        </w:rPr>
        <w:t>将</w:t>
      </w:r>
      <w:r>
        <w:rPr>
          <w:rFonts w:ascii="宋体" w:hAnsi="宋体" w:cs="宋体" w:eastAsia="宋体" w:hint="default"/>
          <w:spacing w:val="-66"/>
          <w:sz w:val="18"/>
          <w:szCs w:val="18"/>
        </w:rPr>
        <w:t> </w:t>
      </w:r>
      <w:r>
        <w:rPr>
          <w:rFonts w:ascii="宋体" w:hAnsi="宋体" w:cs="宋体" w:eastAsia="宋体" w:hint="default"/>
          <w:sz w:val="18"/>
          <w:szCs w:val="18"/>
        </w:rPr>
        <w:t>随</w:t>
      </w:r>
      <w:r>
        <w:rPr>
          <w:rFonts w:ascii="宋体" w:hAnsi="宋体" w:cs="宋体" w:eastAsia="宋体" w:hint="default"/>
          <w:spacing w:val="-66"/>
          <w:sz w:val="18"/>
          <w:szCs w:val="18"/>
        </w:rPr>
        <w:t> </w:t>
      </w:r>
      <w:r>
        <w:rPr>
          <w:rFonts w:ascii="宋体" w:hAnsi="宋体" w:cs="宋体" w:eastAsia="宋体" w:hint="default"/>
          <w:sz w:val="18"/>
          <w:szCs w:val="18"/>
        </w:rPr>
        <w:t>着</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z w:val="18"/>
          <w:szCs w:val="18"/>
        </w:rPr>
        <w:t>目</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后</w:t>
      </w:r>
      <w:r>
        <w:rPr>
          <w:rFonts w:ascii="宋体" w:hAnsi="宋体" w:cs="宋体" w:eastAsia="宋体" w:hint="default"/>
          <w:spacing w:val="-66"/>
          <w:sz w:val="18"/>
          <w:szCs w:val="18"/>
        </w:rPr>
        <w:t> </w:t>
      </w:r>
      <w:r>
        <w:rPr>
          <w:rFonts w:ascii="宋体" w:hAnsi="宋体" w:cs="宋体" w:eastAsia="宋体" w:hint="default"/>
          <w:sz w:val="18"/>
          <w:szCs w:val="18"/>
        </w:rPr>
        <w:t>续</w:t>
      </w:r>
      <w:r>
        <w:rPr>
          <w:rFonts w:ascii="宋体" w:hAnsi="宋体" w:cs="宋体" w:eastAsia="宋体" w:hint="default"/>
          <w:spacing w:val="-66"/>
          <w:sz w:val="18"/>
          <w:szCs w:val="18"/>
        </w:rPr>
        <w:t> </w:t>
      </w:r>
      <w:r>
        <w:rPr>
          <w:rFonts w:ascii="宋体" w:hAnsi="宋体" w:cs="宋体" w:eastAsia="宋体" w:hint="default"/>
          <w:sz w:val="18"/>
          <w:szCs w:val="18"/>
        </w:rPr>
        <w:t>开</w:t>
      </w:r>
      <w:r>
        <w:rPr>
          <w:rFonts w:ascii="宋体" w:hAnsi="宋体" w:cs="宋体" w:eastAsia="宋体" w:hint="default"/>
          <w:spacing w:val="-66"/>
          <w:sz w:val="18"/>
          <w:szCs w:val="18"/>
        </w:rPr>
        <w:t> </w:t>
      </w:r>
      <w:r>
        <w:rPr>
          <w:rFonts w:ascii="宋体" w:hAnsi="宋体" w:cs="宋体" w:eastAsia="宋体" w:hint="default"/>
          <w:sz w:val="18"/>
          <w:szCs w:val="18"/>
        </w:rPr>
        <w:t>发</w:t>
      </w:r>
      <w:r>
        <w:rPr>
          <w:rFonts w:ascii="宋体" w:hAnsi="宋体" w:cs="宋体" w:eastAsia="宋体" w:hint="default"/>
          <w:spacing w:val="-66"/>
          <w:sz w:val="18"/>
          <w:szCs w:val="18"/>
        </w:rPr>
        <w:t> </w:t>
      </w:r>
      <w:r>
        <w:rPr>
          <w:rFonts w:ascii="宋体" w:hAnsi="宋体" w:cs="宋体" w:eastAsia="宋体" w:hint="default"/>
          <w:sz w:val="18"/>
          <w:szCs w:val="18"/>
        </w:rPr>
        <w:t>按</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周</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逐</w:t>
      </w:r>
      <w:r>
        <w:rPr>
          <w:rFonts w:ascii="宋体" w:hAnsi="宋体" w:cs="宋体" w:eastAsia="宋体" w:hint="default"/>
          <w:spacing w:val="-66"/>
          <w:sz w:val="18"/>
          <w:szCs w:val="18"/>
        </w:rPr>
        <w:t> </w:t>
      </w:r>
      <w:r>
        <w:rPr>
          <w:rFonts w:ascii="宋体" w:hAnsi="宋体" w:cs="宋体" w:eastAsia="宋体" w:hint="default"/>
          <w:sz w:val="18"/>
          <w:szCs w:val="18"/>
        </w:rPr>
        <w:t>步</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入</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tabs>
          <w:tab w:pos="7511" w:val="left" w:leader="none"/>
        </w:tabs>
        <w:spacing w:before="141"/>
        <w:ind w:left="707" w:right="0" w:firstLine="0"/>
        <w:jc w:val="left"/>
        <w:rPr>
          <w:rFonts w:ascii="宋体" w:hAnsi="宋体" w:cs="宋体" w:eastAsia="宋体" w:hint="default"/>
          <w:sz w:val="20"/>
          <w:szCs w:val="20"/>
        </w:rPr>
      </w:pPr>
      <w:r>
        <w:rPr>
          <w:rFonts w:ascii="宋体" w:hAnsi="宋体" w:cs="宋体" w:eastAsia="宋体" w:hint="default"/>
          <w:spacing w:val="9"/>
          <w:sz w:val="18"/>
          <w:szCs w:val="18"/>
        </w:rPr>
        <w:t>项目</w:t>
      </w:r>
      <w:r>
        <w:rPr>
          <w:rFonts w:ascii="宋体" w:hAnsi="宋体" w:cs="宋体" w:eastAsia="宋体" w:hint="default"/>
          <w:spacing w:val="-66"/>
          <w:sz w:val="18"/>
          <w:szCs w:val="18"/>
        </w:rPr>
        <w:t> </w:t>
      </w:r>
      <w:r>
        <w:rPr>
          <w:rFonts w:ascii="宋体" w:hAnsi="宋体" w:cs="宋体" w:eastAsia="宋体" w:hint="default"/>
          <w:sz w:val="18"/>
          <w:szCs w:val="18"/>
        </w:rPr>
        <w:t>具</w:t>
      </w:r>
      <w:r>
        <w:rPr>
          <w:rFonts w:ascii="宋体" w:hAnsi="宋体" w:cs="宋体" w:eastAsia="宋体" w:hint="default"/>
          <w:spacing w:val="-66"/>
          <w:sz w:val="18"/>
          <w:szCs w:val="18"/>
        </w:rPr>
        <w:t> </w:t>
      </w:r>
      <w:r>
        <w:rPr>
          <w:rFonts w:ascii="宋体" w:hAnsi="宋体" w:cs="宋体" w:eastAsia="宋体" w:hint="default"/>
          <w:sz w:val="18"/>
          <w:szCs w:val="18"/>
        </w:rPr>
        <w:t>体</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进</w:t>
      </w:r>
      <w:r>
        <w:rPr>
          <w:rFonts w:ascii="宋体" w:hAnsi="宋体" w:cs="宋体" w:eastAsia="宋体" w:hint="default"/>
          <w:spacing w:val="-66"/>
          <w:sz w:val="18"/>
          <w:szCs w:val="18"/>
        </w:rPr>
        <w:t> </w:t>
      </w:r>
      <w:r>
        <w:rPr>
          <w:rFonts w:ascii="宋体" w:hAnsi="宋体" w:cs="宋体" w:eastAsia="宋体" w:hint="default"/>
          <w:sz w:val="18"/>
          <w:szCs w:val="18"/>
        </w:rPr>
        <w:t>度</w:t>
      </w:r>
      <w:r>
        <w:rPr>
          <w:rFonts w:ascii="宋体" w:hAnsi="宋体" w:cs="宋体" w:eastAsia="宋体" w:hint="default"/>
          <w:spacing w:val="-66"/>
          <w:sz w:val="18"/>
          <w:szCs w:val="18"/>
        </w:rPr>
        <w:t> </w:t>
      </w:r>
      <w:r>
        <w:rPr>
          <w:rFonts w:ascii="宋体" w:hAnsi="宋体" w:cs="宋体" w:eastAsia="宋体" w:hint="default"/>
          <w:sz w:val="18"/>
          <w:szCs w:val="18"/>
        </w:rPr>
        <w:t>如</w:t>
      </w:r>
      <w:r>
        <w:rPr>
          <w:rFonts w:ascii="宋体" w:hAnsi="宋体" w:cs="宋体" w:eastAsia="宋体" w:hint="default"/>
          <w:spacing w:val="-66"/>
          <w:sz w:val="18"/>
          <w:szCs w:val="18"/>
        </w:rPr>
        <w:t> </w:t>
      </w:r>
      <w:r>
        <w:rPr>
          <w:rFonts w:ascii="宋体" w:hAnsi="宋体" w:cs="宋体" w:eastAsia="宋体" w:hint="default"/>
          <w:sz w:val="18"/>
          <w:szCs w:val="18"/>
        </w:rPr>
        <w:t>下</w:t>
      </w:r>
      <w:r>
        <w:rPr>
          <w:rFonts w:ascii="宋体" w:hAnsi="宋体" w:cs="宋体" w:eastAsia="宋体" w:hint="default"/>
          <w:spacing w:val="-66"/>
          <w:sz w:val="18"/>
          <w:szCs w:val="18"/>
        </w:rPr>
        <w:t> </w:t>
      </w:r>
      <w:r>
        <w:rPr>
          <w:rFonts w:ascii="宋体" w:hAnsi="宋体" w:cs="宋体" w:eastAsia="宋体" w:hint="default"/>
          <w:sz w:val="18"/>
          <w:szCs w:val="18"/>
        </w:rPr>
        <w:t>：</w:t>
        <w:tab/>
      </w:r>
      <w:r>
        <w:rPr>
          <w:rFonts w:ascii="宋体" w:hAnsi="宋体" w:cs="宋体" w:eastAsia="宋体" w:hint="default"/>
          <w:sz w:val="20"/>
          <w:szCs w:val="20"/>
        </w:rPr>
        <w:t>单位：人民币</w:t>
      </w:r>
    </w:p>
    <w:p>
      <w:pPr>
        <w:spacing w:before="136"/>
        <w:ind w:left="300" w:right="0" w:firstLine="0"/>
        <w:jc w:val="both"/>
        <w:rPr>
          <w:rFonts w:ascii="宋体" w:hAnsi="宋体" w:cs="宋体" w:eastAsia="宋体" w:hint="default"/>
          <w:sz w:val="20"/>
          <w:szCs w:val="20"/>
        </w:rPr>
      </w:pPr>
      <w:r>
        <w:rPr>
          <w:rFonts w:ascii="宋体" w:hAnsi="宋体" w:cs="宋体" w:eastAsia="宋体" w:hint="default"/>
          <w:sz w:val="20"/>
          <w:szCs w:val="20"/>
        </w:rPr>
        <w:t>万元</w:t>
      </w: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434"/>
        <w:gridCol w:w="970"/>
        <w:gridCol w:w="1332"/>
        <w:gridCol w:w="1334"/>
        <w:gridCol w:w="1332"/>
        <w:gridCol w:w="1332"/>
        <w:gridCol w:w="972"/>
        <w:gridCol w:w="970"/>
      </w:tblGrid>
      <w:tr>
        <w:trPr>
          <w:trHeight w:val="802" w:hRule="exact"/>
        </w:trPr>
        <w:tc>
          <w:tcPr>
            <w:tcW w:w="434" w:type="dxa"/>
            <w:vMerge w:val="restart"/>
            <w:tcBorders>
              <w:top w:val="single" w:sz="8" w:space="0" w:color="000008"/>
              <w:left w:val="single" w:sz="8" w:space="0" w:color="000008"/>
              <w:right w:val="single" w:sz="8"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17" w:right="115"/>
              <w:jc w:val="left"/>
              <w:rPr>
                <w:rFonts w:ascii="宋体" w:hAnsi="宋体" w:cs="宋体" w:eastAsia="宋体" w:hint="default"/>
                <w:sz w:val="18"/>
                <w:szCs w:val="18"/>
              </w:rPr>
            </w:pPr>
            <w:r>
              <w:rPr>
                <w:rFonts w:ascii="宋体" w:hAnsi="宋体" w:cs="宋体" w:eastAsia="宋体" w:hint="default"/>
                <w:sz w:val="18"/>
                <w:szCs w:val="18"/>
              </w:rPr>
              <w:t>项 目</w:t>
            </w:r>
          </w:p>
        </w:tc>
        <w:tc>
          <w:tcPr>
            <w:tcW w:w="970" w:type="dxa"/>
            <w:vMerge w:val="restart"/>
            <w:tcBorders>
              <w:top w:val="single" w:sz="8" w:space="0" w:color="000008"/>
              <w:left w:val="single" w:sz="8" w:space="0" w:color="000008"/>
              <w:right w:val="single" w:sz="8"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前期工作阶段</w:t>
            </w:r>
          </w:p>
        </w:tc>
        <w:tc>
          <w:tcPr>
            <w:tcW w:w="1334" w:type="dxa"/>
            <w:tcBorders>
              <w:top w:val="single" w:sz="8" w:space="0" w:color="000008"/>
              <w:left w:val="single" w:sz="8" w:space="0" w:color="000008"/>
              <w:bottom w:val="single" w:sz="8" w:space="0" w:color="000008"/>
              <w:right w:val="single" w:sz="8" w:space="0" w:color="000008"/>
            </w:tcBorders>
          </w:tcPr>
          <w:p>
            <w:pPr>
              <w:pStyle w:val="TableParagraph"/>
              <w:spacing w:line="316" w:lineRule="auto" w:before="89"/>
              <w:ind w:left="386" w:right="115" w:hanging="269"/>
              <w:jc w:val="left"/>
              <w:rPr>
                <w:rFonts w:ascii="宋体" w:hAnsi="宋体" w:cs="宋体" w:eastAsia="宋体" w:hint="default"/>
                <w:sz w:val="18"/>
                <w:szCs w:val="18"/>
              </w:rPr>
            </w:pPr>
            <w:r>
              <w:rPr>
                <w:rFonts w:ascii="宋体" w:hAnsi="宋体" w:cs="宋体" w:eastAsia="宋体" w:hint="default"/>
                <w:sz w:val="18"/>
                <w:szCs w:val="18"/>
              </w:rPr>
              <w:t>地质勘探及设 计阶段</w:t>
            </w:r>
          </w:p>
        </w:tc>
        <w:tc>
          <w:tcPr>
            <w:tcW w:w="4606" w:type="dxa"/>
            <w:gridSpan w:val="4"/>
            <w:tcBorders>
              <w:top w:val="single" w:sz="8" w:space="0" w:color="000008"/>
              <w:left w:val="single" w:sz="8" w:space="0" w:color="000008"/>
              <w:bottom w:val="single" w:sz="8" w:space="0" w:color="000008"/>
              <w:right w:val="single" w:sz="8" w:space="0" w:color="000008"/>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2" w:right="0"/>
              <w:jc w:val="left"/>
              <w:rPr>
                <w:rFonts w:ascii="宋体" w:hAnsi="宋体" w:cs="宋体" w:eastAsia="宋体" w:hint="default"/>
                <w:sz w:val="18"/>
                <w:szCs w:val="18"/>
              </w:rPr>
            </w:pPr>
            <w:r>
              <w:rPr>
                <w:rFonts w:ascii="宋体" w:hAnsi="宋体" w:cs="宋体" w:eastAsia="宋体" w:hint="default"/>
                <w:sz w:val="18"/>
                <w:szCs w:val="18"/>
              </w:rPr>
              <w:t>工程土建施工、安装及调试阶段</w:t>
            </w:r>
          </w:p>
        </w:tc>
      </w:tr>
      <w:tr>
        <w:trPr>
          <w:trHeight w:val="643" w:hRule="exact"/>
        </w:trPr>
        <w:tc>
          <w:tcPr>
            <w:tcW w:w="434" w:type="dxa"/>
            <w:vMerge/>
            <w:tcBorders>
              <w:left w:val="single" w:sz="8" w:space="0" w:color="000008"/>
              <w:bottom w:val="single" w:sz="8" w:space="0" w:color="000008"/>
              <w:right w:val="single" w:sz="8" w:space="0" w:color="000008"/>
            </w:tcBorders>
          </w:tcPr>
          <w:p>
            <w:pPr/>
          </w:p>
        </w:tc>
        <w:tc>
          <w:tcPr>
            <w:tcW w:w="970" w:type="dxa"/>
            <w:vMerge/>
            <w:tcBorders>
              <w:left w:val="single" w:sz="8" w:space="0" w:color="000008"/>
              <w:bottom w:val="single" w:sz="8" w:space="0" w:color="000008"/>
              <w:right w:val="single" w:sz="8" w:space="0" w:color="000008"/>
            </w:tcBorders>
          </w:tcPr>
          <w:p>
            <w:pPr/>
          </w:p>
        </w:tc>
        <w:tc>
          <w:tcPr>
            <w:tcW w:w="133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5"/>
              <w:ind w:left="398" w:right="0"/>
              <w:jc w:val="left"/>
              <w:rPr>
                <w:rFonts w:ascii="Garamond" w:hAnsi="Garamond" w:cs="Garamond" w:eastAsia="Garamond" w:hint="default"/>
                <w:sz w:val="18"/>
                <w:szCs w:val="18"/>
              </w:rPr>
            </w:pPr>
            <w:r>
              <w:rPr>
                <w:rFonts w:ascii="Garamond"/>
                <w:sz w:val="18"/>
              </w:rPr>
              <w:t>2007.7-</w:t>
            </w:r>
          </w:p>
          <w:p>
            <w:pPr>
              <w:pStyle w:val="TableParagraph"/>
              <w:spacing w:line="240" w:lineRule="auto" w:before="109"/>
              <w:ind w:left="384" w:right="0"/>
              <w:jc w:val="left"/>
              <w:rPr>
                <w:rFonts w:ascii="Garamond" w:hAnsi="Garamond" w:cs="Garamond" w:eastAsia="Garamond" w:hint="default"/>
                <w:sz w:val="18"/>
                <w:szCs w:val="18"/>
              </w:rPr>
            </w:pPr>
            <w:r>
              <w:rPr>
                <w:rFonts w:ascii="Garamond"/>
                <w:sz w:val="18"/>
              </w:rPr>
              <w:t>2007.12</w:t>
            </w:r>
          </w:p>
        </w:tc>
        <w:tc>
          <w:tcPr>
            <w:tcW w:w="133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5"/>
              <w:ind w:left="398" w:right="0"/>
              <w:jc w:val="left"/>
              <w:rPr>
                <w:rFonts w:ascii="Garamond" w:hAnsi="Garamond" w:cs="Garamond" w:eastAsia="Garamond" w:hint="default"/>
                <w:sz w:val="18"/>
                <w:szCs w:val="18"/>
              </w:rPr>
            </w:pPr>
            <w:r>
              <w:rPr>
                <w:rFonts w:ascii="Garamond"/>
                <w:sz w:val="18"/>
              </w:rPr>
              <w:t>2008.1-</w:t>
            </w:r>
          </w:p>
          <w:p>
            <w:pPr>
              <w:pStyle w:val="TableParagraph"/>
              <w:spacing w:line="240" w:lineRule="auto" w:before="109"/>
              <w:ind w:left="384" w:right="0"/>
              <w:jc w:val="left"/>
              <w:rPr>
                <w:rFonts w:ascii="Garamond" w:hAnsi="Garamond" w:cs="Garamond" w:eastAsia="Garamond" w:hint="default"/>
                <w:sz w:val="18"/>
                <w:szCs w:val="18"/>
              </w:rPr>
            </w:pPr>
            <w:r>
              <w:rPr>
                <w:rFonts w:ascii="Garamond"/>
                <w:sz w:val="18"/>
              </w:rPr>
              <w:t>2008.12</w:t>
            </w:r>
          </w:p>
        </w:tc>
        <w:tc>
          <w:tcPr>
            <w:tcW w:w="133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5"/>
              <w:ind w:left="398" w:right="0"/>
              <w:jc w:val="left"/>
              <w:rPr>
                <w:rFonts w:ascii="Garamond" w:hAnsi="Garamond" w:cs="Garamond" w:eastAsia="Garamond" w:hint="default"/>
                <w:sz w:val="18"/>
                <w:szCs w:val="18"/>
              </w:rPr>
            </w:pPr>
            <w:r>
              <w:rPr>
                <w:rFonts w:ascii="Garamond"/>
                <w:sz w:val="18"/>
              </w:rPr>
              <w:t>2009.1-</w:t>
            </w:r>
          </w:p>
          <w:p>
            <w:pPr>
              <w:pStyle w:val="TableParagraph"/>
              <w:spacing w:line="240" w:lineRule="auto" w:before="109"/>
              <w:ind w:left="384" w:right="0"/>
              <w:jc w:val="left"/>
              <w:rPr>
                <w:rFonts w:ascii="Garamond" w:hAnsi="Garamond" w:cs="Garamond" w:eastAsia="Garamond" w:hint="default"/>
                <w:sz w:val="18"/>
                <w:szCs w:val="18"/>
              </w:rPr>
            </w:pPr>
            <w:r>
              <w:rPr>
                <w:rFonts w:ascii="Garamond"/>
                <w:sz w:val="18"/>
              </w:rPr>
              <w:t>2009.12</w:t>
            </w:r>
          </w:p>
        </w:tc>
        <w:tc>
          <w:tcPr>
            <w:tcW w:w="133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5"/>
              <w:ind w:left="398" w:right="0"/>
              <w:jc w:val="left"/>
              <w:rPr>
                <w:rFonts w:ascii="Garamond" w:hAnsi="Garamond" w:cs="Garamond" w:eastAsia="Garamond" w:hint="default"/>
                <w:sz w:val="18"/>
                <w:szCs w:val="18"/>
              </w:rPr>
            </w:pPr>
            <w:r>
              <w:rPr>
                <w:rFonts w:ascii="Garamond"/>
                <w:sz w:val="18"/>
              </w:rPr>
              <w:t>2010.1-</w:t>
            </w:r>
          </w:p>
          <w:p>
            <w:pPr>
              <w:pStyle w:val="TableParagraph"/>
              <w:spacing w:line="240" w:lineRule="auto" w:before="109"/>
              <w:ind w:left="384" w:right="0"/>
              <w:jc w:val="left"/>
              <w:rPr>
                <w:rFonts w:ascii="Garamond" w:hAnsi="Garamond" w:cs="Garamond" w:eastAsia="Garamond" w:hint="default"/>
                <w:sz w:val="18"/>
                <w:szCs w:val="18"/>
              </w:rPr>
            </w:pPr>
            <w:r>
              <w:rPr>
                <w:rFonts w:ascii="Garamond"/>
                <w:sz w:val="18"/>
              </w:rPr>
              <w:t>2010.12</w:t>
            </w:r>
          </w:p>
        </w:tc>
        <w:tc>
          <w:tcPr>
            <w:tcW w:w="97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5"/>
              <w:ind w:left="218" w:right="0"/>
              <w:jc w:val="left"/>
              <w:rPr>
                <w:rFonts w:ascii="Garamond" w:hAnsi="Garamond" w:cs="Garamond" w:eastAsia="Garamond" w:hint="default"/>
                <w:sz w:val="18"/>
                <w:szCs w:val="18"/>
              </w:rPr>
            </w:pPr>
            <w:r>
              <w:rPr>
                <w:rFonts w:ascii="Garamond"/>
                <w:sz w:val="18"/>
              </w:rPr>
              <w:t>2011.1-</w:t>
            </w:r>
          </w:p>
          <w:p>
            <w:pPr>
              <w:pStyle w:val="TableParagraph"/>
              <w:spacing w:line="240" w:lineRule="auto" w:before="109"/>
              <w:ind w:left="204" w:right="0"/>
              <w:jc w:val="left"/>
              <w:rPr>
                <w:rFonts w:ascii="Garamond" w:hAnsi="Garamond" w:cs="Garamond" w:eastAsia="Garamond" w:hint="default"/>
                <w:sz w:val="18"/>
                <w:szCs w:val="18"/>
              </w:rPr>
            </w:pPr>
            <w:r>
              <w:rPr>
                <w:rFonts w:ascii="Garamond"/>
                <w:sz w:val="18"/>
              </w:rPr>
              <w:t>2011.12</w:t>
            </w:r>
          </w:p>
        </w:tc>
        <w:tc>
          <w:tcPr>
            <w:tcW w:w="97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5"/>
              <w:ind w:left="216" w:right="0"/>
              <w:jc w:val="left"/>
              <w:rPr>
                <w:rFonts w:ascii="Garamond" w:hAnsi="Garamond" w:cs="Garamond" w:eastAsia="Garamond" w:hint="default"/>
                <w:sz w:val="18"/>
                <w:szCs w:val="18"/>
              </w:rPr>
            </w:pPr>
            <w:r>
              <w:rPr>
                <w:rFonts w:ascii="Garamond"/>
                <w:sz w:val="18"/>
              </w:rPr>
              <w:t>2012.1-</w:t>
            </w:r>
          </w:p>
          <w:p>
            <w:pPr>
              <w:pStyle w:val="TableParagraph"/>
              <w:spacing w:line="240" w:lineRule="auto" w:before="109"/>
              <w:ind w:left="201" w:right="0"/>
              <w:jc w:val="left"/>
              <w:rPr>
                <w:rFonts w:ascii="Garamond" w:hAnsi="Garamond" w:cs="Garamond" w:eastAsia="Garamond" w:hint="default"/>
                <w:sz w:val="18"/>
                <w:szCs w:val="18"/>
              </w:rPr>
            </w:pPr>
            <w:r>
              <w:rPr>
                <w:rFonts w:ascii="Garamond"/>
                <w:sz w:val="18"/>
              </w:rPr>
              <w:t>2012.12</w:t>
            </w:r>
          </w:p>
        </w:tc>
      </w:tr>
      <w:tr>
        <w:trPr>
          <w:trHeight w:val="643" w:hRule="exact"/>
        </w:trPr>
        <w:tc>
          <w:tcPr>
            <w:tcW w:w="434" w:type="dxa"/>
            <w:tcBorders>
              <w:top w:val="single" w:sz="8" w:space="0" w:color="000008"/>
              <w:left w:val="single" w:sz="8" w:space="0" w:color="000008"/>
              <w:bottom w:val="single" w:sz="8" w:space="0" w:color="000008"/>
              <w:right w:val="single" w:sz="8" w:space="0" w:color="000008"/>
            </w:tcBorders>
          </w:tcPr>
          <w:p>
            <w:pPr>
              <w:pStyle w:val="TableParagraph"/>
              <w:spacing w:line="316" w:lineRule="auto" w:before="13"/>
              <w:ind w:left="98" w:right="134"/>
              <w:jc w:val="left"/>
              <w:rPr>
                <w:rFonts w:ascii="宋体" w:hAnsi="宋体" w:cs="宋体" w:eastAsia="宋体" w:hint="default"/>
                <w:sz w:val="18"/>
                <w:szCs w:val="18"/>
              </w:rPr>
            </w:pPr>
            <w:r>
              <w:rPr>
                <w:rFonts w:ascii="宋体" w:hAnsi="宋体" w:cs="宋体" w:eastAsia="宋体" w:hint="default"/>
                <w:sz w:val="18"/>
                <w:szCs w:val="18"/>
              </w:rPr>
              <w:t>进 度</w:t>
            </w:r>
          </w:p>
        </w:tc>
        <w:tc>
          <w:tcPr>
            <w:tcW w:w="97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1" w:right="0"/>
              <w:jc w:val="left"/>
              <w:rPr>
                <w:rFonts w:ascii="Garamond" w:hAnsi="Garamond" w:cs="Garamond" w:eastAsia="Garamond" w:hint="default"/>
                <w:sz w:val="18"/>
                <w:szCs w:val="18"/>
              </w:rPr>
            </w:pPr>
            <w:r>
              <w:rPr>
                <w:rFonts w:ascii="Garamond"/>
                <w:sz w:val="18"/>
              </w:rPr>
              <w:t>183,733</w:t>
            </w:r>
          </w:p>
        </w:tc>
        <w:tc>
          <w:tcPr>
            <w:tcW w:w="133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Garamond" w:hAnsi="Garamond" w:cs="Garamond" w:eastAsia="Garamond" w:hint="default"/>
                <w:sz w:val="18"/>
                <w:szCs w:val="18"/>
              </w:rPr>
            </w:pPr>
            <w:r>
              <w:rPr>
                <w:rFonts w:ascii="Garamond"/>
                <w:sz w:val="18"/>
              </w:rPr>
              <w:t>3,674</w:t>
            </w:r>
          </w:p>
        </w:tc>
        <w:tc>
          <w:tcPr>
            <w:tcW w:w="133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27" w:right="0"/>
              <w:jc w:val="left"/>
              <w:rPr>
                <w:rFonts w:ascii="Garamond" w:hAnsi="Garamond" w:cs="Garamond" w:eastAsia="Garamond" w:hint="default"/>
                <w:sz w:val="18"/>
                <w:szCs w:val="18"/>
              </w:rPr>
            </w:pPr>
            <w:r>
              <w:rPr>
                <w:rFonts w:ascii="Garamond"/>
                <w:sz w:val="18"/>
              </w:rPr>
              <w:t>16,467</w:t>
            </w:r>
          </w:p>
        </w:tc>
        <w:tc>
          <w:tcPr>
            <w:tcW w:w="133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Garamond" w:hAnsi="Garamond" w:cs="Garamond" w:eastAsia="Garamond" w:hint="default"/>
                <w:sz w:val="18"/>
                <w:szCs w:val="18"/>
              </w:rPr>
            </w:pPr>
            <w:r>
              <w:rPr>
                <w:rFonts w:ascii="Garamond"/>
                <w:sz w:val="18"/>
              </w:rPr>
              <w:t>8920</w:t>
            </w:r>
          </w:p>
        </w:tc>
        <w:tc>
          <w:tcPr>
            <w:tcW w:w="133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27" w:right="0"/>
              <w:jc w:val="left"/>
              <w:rPr>
                <w:rFonts w:ascii="Garamond" w:hAnsi="Garamond" w:cs="Garamond" w:eastAsia="Garamond" w:hint="default"/>
                <w:sz w:val="18"/>
                <w:szCs w:val="18"/>
              </w:rPr>
            </w:pPr>
            <w:r>
              <w:rPr>
                <w:rFonts w:ascii="Garamond"/>
                <w:sz w:val="18"/>
              </w:rPr>
              <w:t>58,099</w:t>
            </w:r>
          </w:p>
        </w:tc>
        <w:tc>
          <w:tcPr>
            <w:tcW w:w="97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7" w:right="0"/>
              <w:jc w:val="left"/>
              <w:rPr>
                <w:rFonts w:ascii="Garamond" w:hAnsi="Garamond" w:cs="Garamond" w:eastAsia="Garamond" w:hint="default"/>
                <w:sz w:val="18"/>
                <w:szCs w:val="18"/>
              </w:rPr>
            </w:pPr>
            <w:r>
              <w:rPr>
                <w:rFonts w:ascii="Garamond"/>
                <w:sz w:val="18"/>
              </w:rPr>
              <w:t>59,648</w:t>
            </w:r>
          </w:p>
        </w:tc>
        <w:tc>
          <w:tcPr>
            <w:tcW w:w="97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4" w:right="0"/>
              <w:jc w:val="left"/>
              <w:rPr>
                <w:rFonts w:ascii="Garamond" w:hAnsi="Garamond" w:cs="Garamond" w:eastAsia="Garamond" w:hint="default"/>
                <w:sz w:val="18"/>
                <w:szCs w:val="18"/>
              </w:rPr>
            </w:pPr>
            <w:r>
              <w:rPr>
                <w:rFonts w:ascii="Garamond"/>
                <w:sz w:val="18"/>
              </w:rPr>
              <w:t>36,925</w:t>
            </w:r>
          </w:p>
        </w:tc>
      </w:tr>
    </w:tbl>
    <w:p>
      <w:pPr>
        <w:spacing w:line="240" w:lineRule="auto" w:before="7"/>
        <w:rPr>
          <w:rFonts w:ascii="宋体" w:hAnsi="宋体" w:cs="宋体" w:eastAsia="宋体" w:hint="default"/>
          <w:sz w:val="19"/>
          <w:szCs w:val="19"/>
        </w:rPr>
      </w:pPr>
    </w:p>
    <w:p>
      <w:pPr>
        <w:spacing w:line="235" w:lineRule="exact" w:before="0"/>
        <w:ind w:left="647" w:right="0" w:firstLine="0"/>
        <w:jc w:val="left"/>
        <w:rPr>
          <w:rFonts w:ascii="宋体" w:hAnsi="宋体" w:cs="宋体" w:eastAsia="宋体" w:hint="default"/>
          <w:sz w:val="18"/>
          <w:szCs w:val="18"/>
        </w:rPr>
      </w:pPr>
      <w:r>
        <w:rPr>
          <w:rFonts w:ascii="宋体" w:hAnsi="宋体" w:cs="宋体" w:eastAsia="宋体" w:hint="default"/>
          <w:spacing w:val="9"/>
          <w:sz w:val="18"/>
          <w:szCs w:val="18"/>
        </w:rPr>
        <w:t>说明</w:t>
      </w:r>
      <w:r>
        <w:rPr>
          <w:rFonts w:ascii="宋体" w:hAnsi="宋体" w:cs="宋体" w:eastAsia="宋体" w:hint="default"/>
          <w:spacing w:val="-65"/>
          <w:sz w:val="18"/>
          <w:szCs w:val="18"/>
        </w:rPr>
        <w:t> </w:t>
      </w:r>
      <w:r>
        <w:rPr>
          <w:rFonts w:ascii="宋体" w:hAnsi="宋体" w:cs="宋体" w:eastAsia="宋体" w:hint="default"/>
          <w:sz w:val="18"/>
          <w:szCs w:val="18"/>
        </w:rPr>
        <w:t>：</w:t>
      </w:r>
    </w:p>
    <w:p>
      <w:pPr>
        <w:spacing w:before="0"/>
        <w:ind w:left="64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pacing w:val="6"/>
          <w:sz w:val="18"/>
          <w:szCs w:val="18"/>
        </w:rPr>
        <w:t>1）</w:t>
      </w:r>
      <w:r>
        <w:rPr>
          <w:rFonts w:ascii="宋体" w:hAnsi="宋体" w:cs="宋体" w:eastAsia="宋体" w:hint="default"/>
          <w:spacing w:val="-66"/>
          <w:sz w:val="18"/>
          <w:szCs w:val="18"/>
        </w:rPr>
        <w:t> </w:t>
      </w:r>
      <w:r>
        <w:rPr>
          <w:rFonts w:ascii="宋体" w:hAnsi="宋体" w:cs="宋体" w:eastAsia="宋体" w:hint="default"/>
          <w:spacing w:val="9"/>
          <w:sz w:val="18"/>
          <w:szCs w:val="18"/>
        </w:rPr>
        <w:t>项目</w:t>
      </w:r>
      <w:r>
        <w:rPr>
          <w:rFonts w:ascii="宋体" w:hAnsi="宋体" w:cs="宋体" w:eastAsia="宋体" w:hint="default"/>
          <w:spacing w:val="-66"/>
          <w:sz w:val="18"/>
          <w:szCs w:val="18"/>
        </w:rPr>
        <w:t> </w:t>
      </w:r>
      <w:r>
        <w:rPr>
          <w:rFonts w:ascii="宋体" w:hAnsi="宋体" w:cs="宋体" w:eastAsia="宋体" w:hint="default"/>
          <w:sz w:val="18"/>
          <w:szCs w:val="18"/>
        </w:rPr>
        <w:t>一</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工</w:t>
      </w:r>
      <w:r>
        <w:rPr>
          <w:rFonts w:ascii="宋体" w:hAnsi="宋体" w:cs="宋体" w:eastAsia="宋体" w:hint="default"/>
          <w:spacing w:val="-66"/>
          <w:sz w:val="18"/>
          <w:szCs w:val="18"/>
        </w:rPr>
        <w:t> </w:t>
      </w:r>
      <w:r>
        <w:rPr>
          <w:rFonts w:ascii="宋体" w:hAnsi="宋体" w:cs="宋体" w:eastAsia="宋体" w:hint="default"/>
          <w:sz w:val="18"/>
          <w:szCs w:val="18"/>
        </w:rPr>
        <w:t>程</w:t>
      </w:r>
      <w:r>
        <w:rPr>
          <w:rFonts w:ascii="宋体" w:hAnsi="宋体" w:cs="宋体" w:eastAsia="宋体" w:hint="default"/>
          <w:spacing w:val="-66"/>
          <w:sz w:val="18"/>
          <w:szCs w:val="18"/>
        </w:rPr>
        <w:t> </w:t>
      </w:r>
      <w:r>
        <w:rPr>
          <w:rFonts w:ascii="宋体" w:hAnsi="宋体" w:cs="宋体" w:eastAsia="宋体" w:hint="default"/>
          <w:sz w:val="18"/>
          <w:szCs w:val="18"/>
        </w:rPr>
        <w:t>预</w:t>
      </w:r>
      <w:r>
        <w:rPr>
          <w:rFonts w:ascii="宋体" w:hAnsi="宋体" w:cs="宋体" w:eastAsia="宋体" w:hint="default"/>
          <w:spacing w:val="-66"/>
          <w:sz w:val="18"/>
          <w:szCs w:val="18"/>
        </w:rPr>
        <w:t> </w:t>
      </w:r>
      <w:r>
        <w:rPr>
          <w:rFonts w:ascii="宋体" w:hAnsi="宋体" w:cs="宋体" w:eastAsia="宋体" w:hint="default"/>
          <w:sz w:val="18"/>
          <w:szCs w:val="18"/>
        </w:rPr>
        <w:t>计</w:t>
      </w:r>
      <w:r>
        <w:rPr>
          <w:rFonts w:ascii="宋体" w:hAnsi="宋体" w:cs="宋体" w:eastAsia="宋体" w:hint="default"/>
          <w:spacing w:val="-11"/>
          <w:sz w:val="18"/>
          <w:szCs w:val="18"/>
        </w:rPr>
        <w:t> </w:t>
      </w:r>
      <w:r>
        <w:rPr>
          <w:rFonts w:ascii="宋体" w:hAnsi="宋体" w:cs="宋体" w:eastAsia="宋体" w:hint="default"/>
          <w:spacing w:val="7"/>
          <w:sz w:val="18"/>
          <w:szCs w:val="18"/>
        </w:rPr>
        <w:t>2010</w:t>
      </w:r>
      <w:r>
        <w:rPr>
          <w:rFonts w:ascii="宋体" w:hAnsi="宋体" w:cs="宋体" w:eastAsia="宋体" w:hint="default"/>
          <w:spacing w:val="-22"/>
          <w:sz w:val="18"/>
          <w:szCs w:val="18"/>
        </w:rPr>
        <w:t> </w:t>
      </w:r>
      <w:r>
        <w:rPr>
          <w:rFonts w:ascii="宋体" w:hAnsi="宋体" w:cs="宋体" w:eastAsia="宋体" w:hint="default"/>
          <w:spacing w:val="9"/>
          <w:sz w:val="18"/>
          <w:szCs w:val="18"/>
        </w:rPr>
        <w:t>年底</w:t>
      </w:r>
      <w:r>
        <w:rPr>
          <w:rFonts w:ascii="宋体" w:hAnsi="宋体" w:cs="宋体" w:eastAsia="宋体" w:hint="default"/>
          <w:spacing w:val="-66"/>
          <w:sz w:val="18"/>
          <w:szCs w:val="18"/>
        </w:rPr>
        <w:t> </w:t>
      </w:r>
      <w:r>
        <w:rPr>
          <w:rFonts w:ascii="宋体" w:hAnsi="宋体" w:cs="宋体" w:eastAsia="宋体" w:hint="default"/>
          <w:sz w:val="18"/>
          <w:szCs w:val="18"/>
        </w:rPr>
        <w:t>完</w:t>
      </w:r>
      <w:r>
        <w:rPr>
          <w:rFonts w:ascii="宋体" w:hAnsi="宋体" w:cs="宋体" w:eastAsia="宋体" w:hint="default"/>
          <w:spacing w:val="-66"/>
          <w:sz w:val="18"/>
          <w:szCs w:val="18"/>
        </w:rPr>
        <w:t> </w:t>
      </w:r>
      <w:r>
        <w:rPr>
          <w:rFonts w:ascii="宋体" w:hAnsi="宋体" w:cs="宋体" w:eastAsia="宋体" w:hint="default"/>
          <w:sz w:val="18"/>
          <w:szCs w:val="18"/>
        </w:rPr>
        <w:t>工</w:t>
      </w:r>
      <w:r>
        <w:rPr>
          <w:rFonts w:ascii="宋体" w:hAnsi="宋体" w:cs="宋体" w:eastAsia="宋体" w:hint="default"/>
          <w:spacing w:val="-66"/>
          <w:sz w:val="18"/>
          <w:szCs w:val="18"/>
        </w:rPr>
        <w:t> </w:t>
      </w:r>
      <w:r>
        <w:rPr>
          <w:rFonts w:ascii="宋体" w:hAnsi="宋体" w:cs="宋体" w:eastAsia="宋体" w:hint="default"/>
          <w:sz w:val="18"/>
          <w:szCs w:val="18"/>
        </w:rPr>
        <w:t>并</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入</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7"/>
          <w:sz w:val="18"/>
          <w:szCs w:val="18"/>
        </w:rPr>
        <w:t>2011</w:t>
      </w:r>
      <w:r>
        <w:rPr>
          <w:rFonts w:ascii="宋体" w:hAnsi="宋体" w:cs="宋体" w:eastAsia="宋体" w:hint="default"/>
          <w:spacing w:val="-22"/>
          <w:sz w:val="18"/>
          <w:szCs w:val="18"/>
        </w:rPr>
        <w:t> </w:t>
      </w:r>
      <w:r>
        <w:rPr>
          <w:rFonts w:ascii="宋体" w:hAnsi="宋体" w:cs="宋体" w:eastAsia="宋体" w:hint="default"/>
          <w:spacing w:val="9"/>
          <w:sz w:val="18"/>
          <w:szCs w:val="18"/>
        </w:rPr>
        <w:t>年进</w:t>
      </w:r>
      <w:r>
        <w:rPr>
          <w:rFonts w:ascii="宋体" w:hAnsi="宋体" w:cs="宋体" w:eastAsia="宋体" w:hint="default"/>
          <w:spacing w:val="-66"/>
          <w:sz w:val="18"/>
          <w:szCs w:val="18"/>
        </w:rPr>
        <w:t> </w:t>
      </w:r>
      <w:r>
        <w:rPr>
          <w:rFonts w:ascii="宋体" w:hAnsi="宋体" w:cs="宋体" w:eastAsia="宋体" w:hint="default"/>
          <w:sz w:val="18"/>
          <w:szCs w:val="18"/>
        </w:rPr>
        <w:t>入</w:t>
      </w:r>
      <w:r>
        <w:rPr>
          <w:rFonts w:ascii="宋体" w:hAnsi="宋体" w:cs="宋体" w:eastAsia="宋体" w:hint="default"/>
          <w:spacing w:val="-66"/>
          <w:sz w:val="18"/>
          <w:szCs w:val="18"/>
        </w:rPr>
        <w:t> </w:t>
      </w:r>
      <w:r>
        <w:rPr>
          <w:rFonts w:ascii="宋体" w:hAnsi="宋体" w:cs="宋体" w:eastAsia="宋体" w:hint="default"/>
          <w:sz w:val="18"/>
          <w:szCs w:val="18"/>
        </w:rPr>
        <w:t>正</w:t>
      </w:r>
      <w:r>
        <w:rPr>
          <w:rFonts w:ascii="宋体" w:hAnsi="宋体" w:cs="宋体" w:eastAsia="宋体" w:hint="default"/>
          <w:spacing w:val="-66"/>
          <w:sz w:val="18"/>
          <w:szCs w:val="18"/>
        </w:rPr>
        <w:t> </w:t>
      </w:r>
      <w:r>
        <w:rPr>
          <w:rFonts w:ascii="宋体" w:hAnsi="宋体" w:cs="宋体" w:eastAsia="宋体" w:hint="default"/>
          <w:sz w:val="18"/>
          <w:szCs w:val="18"/>
        </w:rPr>
        <w:t>式</w:t>
      </w:r>
      <w:r>
        <w:rPr>
          <w:rFonts w:ascii="宋体" w:hAnsi="宋体" w:cs="宋体" w:eastAsia="宋体" w:hint="default"/>
          <w:spacing w:val="-66"/>
          <w:sz w:val="18"/>
          <w:szCs w:val="18"/>
        </w:rPr>
        <w:t> </w:t>
      </w:r>
      <w:r>
        <w:rPr>
          <w:rFonts w:ascii="宋体" w:hAnsi="宋体" w:cs="宋体" w:eastAsia="宋体" w:hint="default"/>
          <w:sz w:val="18"/>
          <w:szCs w:val="18"/>
        </w:rPr>
        <w:t>运</w:t>
      </w:r>
      <w:r>
        <w:rPr>
          <w:rFonts w:ascii="宋体" w:hAnsi="宋体" w:cs="宋体" w:eastAsia="宋体" w:hint="default"/>
          <w:spacing w:val="-66"/>
          <w:sz w:val="18"/>
          <w:szCs w:val="18"/>
        </w:rPr>
        <w:t> </w:t>
      </w:r>
      <w:r>
        <w:rPr>
          <w:rFonts w:ascii="宋体" w:hAnsi="宋体" w:cs="宋体" w:eastAsia="宋体" w:hint="default"/>
          <w:sz w:val="18"/>
          <w:szCs w:val="18"/>
        </w:rPr>
        <w:t>营</w:t>
      </w:r>
      <w:r>
        <w:rPr>
          <w:rFonts w:ascii="宋体" w:hAnsi="宋体" w:cs="宋体" w:eastAsia="宋体" w:hint="default"/>
          <w:spacing w:val="-66"/>
          <w:sz w:val="18"/>
          <w:szCs w:val="18"/>
        </w:rPr>
        <w:t> </w:t>
      </w:r>
      <w:r>
        <w:rPr>
          <w:rFonts w:ascii="宋体" w:hAnsi="宋体" w:cs="宋体" w:eastAsia="宋体" w:hint="default"/>
          <w:sz w:val="18"/>
          <w:szCs w:val="18"/>
        </w:rPr>
        <w:t>阶</w:t>
      </w:r>
      <w:r>
        <w:rPr>
          <w:rFonts w:ascii="宋体" w:hAnsi="宋体" w:cs="宋体" w:eastAsia="宋体" w:hint="default"/>
          <w:spacing w:val="-66"/>
          <w:sz w:val="18"/>
          <w:szCs w:val="18"/>
        </w:rPr>
        <w:t> </w:t>
      </w:r>
      <w:r>
        <w:rPr>
          <w:rFonts w:ascii="宋体" w:hAnsi="宋体" w:cs="宋体" w:eastAsia="宋体" w:hint="default"/>
          <w:sz w:val="18"/>
          <w:szCs w:val="18"/>
        </w:rPr>
        <w:t>段</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line="316" w:lineRule="auto" w:before="38"/>
        <w:ind w:left="300" w:right="0" w:firstLine="30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pacing w:val="6"/>
          <w:sz w:val="18"/>
          <w:szCs w:val="18"/>
        </w:rPr>
        <w:t>2）由于</w:t>
      </w:r>
      <w:r>
        <w:rPr>
          <w:rFonts w:ascii="宋体" w:hAnsi="宋体" w:cs="宋体" w:eastAsia="宋体" w:hint="default"/>
          <w:spacing w:val="-67"/>
          <w:sz w:val="18"/>
          <w:szCs w:val="18"/>
        </w:rPr>
        <w:t> </w:t>
      </w:r>
      <w:r>
        <w:rPr>
          <w:rFonts w:ascii="宋体" w:hAnsi="宋体" w:cs="宋体" w:eastAsia="宋体" w:hint="default"/>
          <w:sz w:val="18"/>
          <w:szCs w:val="18"/>
        </w:rPr>
        <w:t>工</w:t>
      </w:r>
      <w:r>
        <w:rPr>
          <w:rFonts w:ascii="宋体" w:hAnsi="宋体" w:cs="宋体" w:eastAsia="宋体" w:hint="default"/>
          <w:spacing w:val="-67"/>
          <w:sz w:val="18"/>
          <w:szCs w:val="18"/>
        </w:rPr>
        <w:t> </w:t>
      </w:r>
      <w:r>
        <w:rPr>
          <w:rFonts w:ascii="宋体" w:hAnsi="宋体" w:cs="宋体" w:eastAsia="宋体" w:hint="default"/>
          <w:sz w:val="18"/>
          <w:szCs w:val="18"/>
        </w:rPr>
        <w:t>作</w:t>
      </w:r>
      <w:r>
        <w:rPr>
          <w:rFonts w:ascii="宋体" w:hAnsi="宋体" w:cs="宋体" w:eastAsia="宋体" w:hint="default"/>
          <w:spacing w:val="-67"/>
          <w:sz w:val="18"/>
          <w:szCs w:val="18"/>
        </w:rPr>
        <w:t> </w:t>
      </w:r>
      <w:r>
        <w:rPr>
          <w:rFonts w:ascii="宋体" w:hAnsi="宋体" w:cs="宋体" w:eastAsia="宋体" w:hint="default"/>
          <w:sz w:val="18"/>
          <w:szCs w:val="18"/>
        </w:rPr>
        <w:t>人</w:t>
      </w:r>
      <w:r>
        <w:rPr>
          <w:rFonts w:ascii="宋体" w:hAnsi="宋体" w:cs="宋体" w:eastAsia="宋体" w:hint="default"/>
          <w:spacing w:val="-67"/>
          <w:sz w:val="18"/>
          <w:szCs w:val="18"/>
        </w:rPr>
        <w:t> </w:t>
      </w:r>
      <w:r>
        <w:rPr>
          <w:rFonts w:ascii="宋体" w:hAnsi="宋体" w:cs="宋体" w:eastAsia="宋体" w:hint="default"/>
          <w:sz w:val="18"/>
          <w:szCs w:val="18"/>
        </w:rPr>
        <w:t>员</w:t>
      </w:r>
      <w:r>
        <w:rPr>
          <w:rFonts w:ascii="宋体" w:hAnsi="宋体" w:cs="宋体" w:eastAsia="宋体" w:hint="default"/>
          <w:spacing w:val="-67"/>
          <w:sz w:val="18"/>
          <w:szCs w:val="18"/>
        </w:rPr>
        <w:t> </w:t>
      </w:r>
      <w:r>
        <w:rPr>
          <w:rFonts w:ascii="宋体" w:hAnsi="宋体" w:cs="宋体" w:eastAsia="宋体" w:hint="default"/>
          <w:sz w:val="18"/>
          <w:szCs w:val="18"/>
        </w:rPr>
        <w:t>疏</w:t>
      </w:r>
      <w:r>
        <w:rPr>
          <w:rFonts w:ascii="宋体" w:hAnsi="宋体" w:cs="宋体" w:eastAsia="宋体" w:hint="default"/>
          <w:spacing w:val="-67"/>
          <w:sz w:val="18"/>
          <w:szCs w:val="18"/>
        </w:rPr>
        <w:t> </w:t>
      </w:r>
      <w:r>
        <w:rPr>
          <w:rFonts w:ascii="宋体" w:hAnsi="宋体" w:cs="宋体" w:eastAsia="宋体" w:hint="default"/>
          <w:sz w:val="18"/>
          <w:szCs w:val="18"/>
        </w:rPr>
        <w:t>忽</w:t>
      </w:r>
      <w:r>
        <w:rPr>
          <w:rFonts w:ascii="宋体" w:hAnsi="宋体" w:cs="宋体" w:eastAsia="宋体" w:hint="default"/>
          <w:spacing w:val="-70"/>
          <w:sz w:val="18"/>
          <w:szCs w:val="18"/>
        </w:rPr>
        <w:t> </w:t>
      </w:r>
      <w:r>
        <w:rPr>
          <w:rFonts w:ascii="宋体" w:hAnsi="宋体" w:cs="宋体" w:eastAsia="宋体" w:hint="default"/>
          <w:sz w:val="18"/>
          <w:szCs w:val="18"/>
        </w:rPr>
        <w:t>，2008</w:t>
      </w:r>
      <w:r>
        <w:rPr>
          <w:rFonts w:ascii="宋体" w:hAnsi="宋体" w:cs="宋体" w:eastAsia="宋体" w:hint="default"/>
          <w:spacing w:val="-24"/>
          <w:sz w:val="18"/>
          <w:szCs w:val="18"/>
        </w:rPr>
        <w:t> </w:t>
      </w:r>
      <w:r>
        <w:rPr>
          <w:rFonts w:ascii="宋体" w:hAnsi="宋体" w:cs="宋体" w:eastAsia="宋体" w:hint="default"/>
          <w:spacing w:val="9"/>
          <w:sz w:val="18"/>
          <w:szCs w:val="18"/>
        </w:rPr>
        <w:t>年年</w:t>
      </w:r>
      <w:r>
        <w:rPr>
          <w:rFonts w:ascii="宋体" w:hAnsi="宋体" w:cs="宋体" w:eastAsia="宋体" w:hint="default"/>
          <w:spacing w:val="-67"/>
          <w:sz w:val="18"/>
          <w:szCs w:val="18"/>
        </w:rPr>
        <w:t> </w:t>
      </w:r>
      <w:r>
        <w:rPr>
          <w:rFonts w:ascii="宋体" w:hAnsi="宋体" w:cs="宋体" w:eastAsia="宋体" w:hint="default"/>
          <w:sz w:val="18"/>
          <w:szCs w:val="18"/>
        </w:rPr>
        <w:t>度</w:t>
      </w:r>
      <w:r>
        <w:rPr>
          <w:rFonts w:ascii="宋体" w:hAnsi="宋体" w:cs="宋体" w:eastAsia="宋体" w:hint="default"/>
          <w:spacing w:val="-67"/>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告</w:t>
      </w:r>
      <w:r>
        <w:rPr>
          <w:rFonts w:ascii="宋体" w:hAnsi="宋体" w:cs="宋体" w:eastAsia="宋体" w:hint="default"/>
          <w:spacing w:val="-67"/>
          <w:sz w:val="18"/>
          <w:szCs w:val="18"/>
        </w:rPr>
        <w:t> </w:t>
      </w: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披</w:t>
      </w:r>
      <w:r>
        <w:rPr>
          <w:rFonts w:ascii="宋体" w:hAnsi="宋体" w:cs="宋体" w:eastAsia="宋体" w:hint="default"/>
          <w:spacing w:val="-67"/>
          <w:sz w:val="18"/>
          <w:szCs w:val="18"/>
        </w:rPr>
        <w:t> </w:t>
      </w:r>
      <w:r>
        <w:rPr>
          <w:rFonts w:ascii="宋体" w:hAnsi="宋体" w:cs="宋体" w:eastAsia="宋体" w:hint="default"/>
          <w:sz w:val="18"/>
          <w:szCs w:val="18"/>
        </w:rPr>
        <w:t>露</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11"/>
          <w:sz w:val="18"/>
          <w:szCs w:val="18"/>
        </w:rPr>
        <w:t> </w:t>
      </w:r>
      <w:r>
        <w:rPr>
          <w:rFonts w:ascii="宋体" w:hAnsi="宋体" w:cs="宋体" w:eastAsia="宋体" w:hint="default"/>
          <w:spacing w:val="10"/>
          <w:sz w:val="18"/>
          <w:szCs w:val="18"/>
        </w:rPr>
        <w:t>2008.1-2008.12</w:t>
      </w:r>
      <w:r>
        <w:rPr>
          <w:rFonts w:ascii="宋体" w:hAnsi="宋体" w:cs="宋体" w:eastAsia="宋体" w:hint="default"/>
          <w:spacing w:val="-22"/>
          <w:sz w:val="18"/>
          <w:szCs w:val="18"/>
        </w:rPr>
        <w:t> </w:t>
      </w:r>
      <w:r>
        <w:rPr>
          <w:rFonts w:ascii="宋体" w:hAnsi="宋体" w:cs="宋体" w:eastAsia="宋体" w:hint="default"/>
          <w:spacing w:val="9"/>
          <w:sz w:val="18"/>
          <w:szCs w:val="18"/>
        </w:rPr>
        <w:t>使用</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额</w:t>
      </w:r>
      <w:r>
        <w:rPr>
          <w:rFonts w:ascii="宋体" w:hAnsi="宋体" w:cs="宋体" w:eastAsia="宋体" w:hint="default"/>
          <w:spacing w:val="-67"/>
          <w:sz w:val="18"/>
          <w:szCs w:val="18"/>
        </w:rPr>
        <w:t> </w:t>
      </w:r>
      <w:r>
        <w:rPr>
          <w:rFonts w:ascii="宋体" w:hAnsi="宋体" w:cs="宋体" w:eastAsia="宋体" w:hint="default"/>
          <w:sz w:val="18"/>
          <w:szCs w:val="18"/>
        </w:rPr>
        <w:t>误</w:t>
      </w:r>
      <w:r>
        <w:rPr>
          <w:rFonts w:ascii="宋体" w:hAnsi="宋体" w:cs="宋体" w:eastAsia="宋体" w:hint="default"/>
          <w:spacing w:val="-67"/>
          <w:sz w:val="18"/>
          <w:szCs w:val="18"/>
        </w:rPr>
        <w:t> </w:t>
      </w:r>
      <w:r>
        <w:rPr>
          <w:rFonts w:ascii="宋体" w:hAnsi="宋体" w:cs="宋体" w:eastAsia="宋体" w:hint="default"/>
          <w:sz w:val="18"/>
          <w:szCs w:val="18"/>
        </w:rPr>
        <w:t>填</w:t>
      </w:r>
      <w:r>
        <w:rPr>
          <w:rFonts w:ascii="宋体" w:hAnsi="宋体" w:cs="宋体" w:eastAsia="宋体" w:hint="default"/>
          <w:spacing w:val="-67"/>
          <w:sz w:val="18"/>
          <w:szCs w:val="18"/>
        </w:rPr>
        <w:t> </w:t>
      </w:r>
      <w:r>
        <w:rPr>
          <w:rFonts w:ascii="宋体" w:hAnsi="宋体" w:cs="宋体" w:eastAsia="宋体" w:hint="default"/>
          <w:sz w:val="18"/>
          <w:szCs w:val="18"/>
        </w:rPr>
        <w:t>为</w:t>
      </w:r>
      <w:r>
        <w:rPr>
          <w:rFonts w:ascii="宋体" w:hAnsi="宋体" w:cs="宋体" w:eastAsia="宋体" w:hint="default"/>
          <w:spacing w:val="-13"/>
          <w:sz w:val="18"/>
          <w:szCs w:val="18"/>
        </w:rPr>
        <w:t> </w:t>
      </w:r>
      <w:r>
        <w:rPr>
          <w:rFonts w:ascii="宋体" w:hAnsi="宋体" w:cs="宋体" w:eastAsia="宋体" w:hint="default"/>
          <w:spacing w:val="9"/>
          <w:sz w:val="18"/>
          <w:szCs w:val="18"/>
        </w:rPr>
        <w:t>10,167</w:t>
      </w:r>
      <w:r>
        <w:rPr>
          <w:rFonts w:ascii="宋体" w:hAnsi="宋体" w:cs="宋体" w:eastAsia="宋体" w:hint="default"/>
          <w:sz w:val="18"/>
          <w:szCs w:val="18"/>
        </w:rPr>
        <w:t> </w:t>
      </w:r>
      <w:r>
        <w:rPr>
          <w:rFonts w:ascii="宋体" w:hAnsi="宋体" w:cs="宋体" w:eastAsia="宋体" w:hint="default"/>
          <w:spacing w:val="9"/>
          <w:sz w:val="18"/>
          <w:szCs w:val="18"/>
        </w:rPr>
        <w:t>万元</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实</w:t>
      </w:r>
      <w:r>
        <w:rPr>
          <w:rFonts w:ascii="宋体" w:hAnsi="宋体" w:cs="宋体" w:eastAsia="宋体" w:hint="default"/>
          <w:spacing w:val="-66"/>
          <w:sz w:val="18"/>
          <w:szCs w:val="18"/>
        </w:rPr>
        <w:t> </w:t>
      </w:r>
      <w:r>
        <w:rPr>
          <w:rFonts w:ascii="宋体" w:hAnsi="宋体" w:cs="宋体" w:eastAsia="宋体" w:hint="default"/>
          <w:sz w:val="18"/>
          <w:szCs w:val="18"/>
        </w:rPr>
        <w:t>际</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额</w:t>
      </w:r>
      <w:r>
        <w:rPr>
          <w:rFonts w:ascii="宋体" w:hAnsi="宋体" w:cs="宋体" w:eastAsia="宋体" w:hint="default"/>
          <w:spacing w:val="-66"/>
          <w:sz w:val="18"/>
          <w:szCs w:val="18"/>
        </w:rPr>
        <w:t> </w:t>
      </w:r>
      <w:r>
        <w:rPr>
          <w:rFonts w:ascii="宋体" w:hAnsi="宋体" w:cs="宋体" w:eastAsia="宋体" w:hint="default"/>
          <w:sz w:val="18"/>
          <w:szCs w:val="18"/>
        </w:rPr>
        <w:t>为</w:t>
      </w:r>
      <w:r>
        <w:rPr>
          <w:rFonts w:ascii="宋体" w:hAnsi="宋体" w:cs="宋体" w:eastAsia="宋体" w:hint="default"/>
          <w:spacing w:val="-10"/>
          <w:sz w:val="18"/>
          <w:szCs w:val="18"/>
        </w:rPr>
        <w:t> </w:t>
      </w:r>
      <w:r>
        <w:rPr>
          <w:rFonts w:ascii="宋体" w:hAnsi="宋体" w:cs="宋体" w:eastAsia="宋体" w:hint="default"/>
          <w:spacing w:val="8"/>
          <w:sz w:val="18"/>
          <w:szCs w:val="18"/>
        </w:rPr>
        <w:t>16,467</w:t>
      </w:r>
      <w:r>
        <w:rPr>
          <w:rFonts w:ascii="宋体" w:hAnsi="宋体" w:cs="宋体" w:eastAsia="宋体" w:hint="default"/>
          <w:spacing w:val="-20"/>
          <w:sz w:val="18"/>
          <w:szCs w:val="18"/>
        </w:rPr>
        <w:t> </w:t>
      </w:r>
      <w:r>
        <w:rPr>
          <w:rFonts w:ascii="宋体" w:hAnsi="宋体" w:cs="宋体" w:eastAsia="宋体" w:hint="default"/>
          <w:spacing w:val="9"/>
          <w:sz w:val="18"/>
          <w:szCs w:val="18"/>
        </w:rPr>
        <w:t>万元</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line="240" w:lineRule="auto" w:before="4"/>
        <w:rPr>
          <w:rFonts w:ascii="宋体" w:hAnsi="宋体" w:cs="宋体" w:eastAsia="宋体" w:hint="default"/>
          <w:sz w:val="15"/>
          <w:szCs w:val="15"/>
        </w:rPr>
      </w:pPr>
    </w:p>
    <w:p>
      <w:pPr>
        <w:pStyle w:val="BodyText"/>
        <w:spacing w:line="477" w:lineRule="auto" w:before="0"/>
        <w:ind w:left="760" w:right="1506" w:firstLine="19"/>
        <w:jc w:val="left"/>
      </w:pPr>
      <w:r>
        <w:rPr/>
        <w:t>（二）前次募集资金投资项目实现效益情况说明 由于深圳国际农产品物流园尚处于项目投入期，尚未实现效益。</w:t>
      </w:r>
    </w:p>
    <w:p>
      <w:pPr>
        <w:pStyle w:val="BodyText"/>
        <w:spacing w:line="475" w:lineRule="auto" w:before="72"/>
        <w:ind w:left="780" w:right="2206" w:hanging="20"/>
        <w:jc w:val="left"/>
      </w:pPr>
      <w:r>
        <w:rPr/>
        <w:t>（三）前次募集资金中用于认购股份的资产运行情况说明 本公司不存在用前次募集资金认购股份的资产运行情况。</w:t>
      </w:r>
    </w:p>
    <w:p>
      <w:pPr>
        <w:pStyle w:val="BodyText"/>
        <w:spacing w:line="240" w:lineRule="auto" w:before="74"/>
        <w:ind w:left="780" w:right="0"/>
        <w:jc w:val="left"/>
      </w:pPr>
      <w:r>
        <w:rPr/>
        <w:t>（四）其他差异说明</w:t>
      </w:r>
    </w:p>
    <w:p>
      <w:pPr>
        <w:spacing w:after="0" w:line="240" w:lineRule="auto"/>
        <w:jc w:val="left"/>
        <w:sectPr>
          <w:headerReference w:type="default" r:id="rId93"/>
          <w:footerReference w:type="default" r:id="rId94"/>
          <w:pgSz w:w="11910" w:h="16840"/>
          <w:pgMar w:header="0" w:footer="1095" w:top="1060" w:bottom="1280" w:left="1680" w:right="1220"/>
          <w:pgNumType w:start="50"/>
        </w:sectPr>
      </w:pPr>
    </w:p>
    <w:p>
      <w:pPr>
        <w:pStyle w:val="BodyText"/>
        <w:spacing w:line="336" w:lineRule="auto" w:before="6"/>
        <w:ind w:right="132" w:firstLine="480"/>
        <w:jc w:val="both"/>
      </w:pPr>
      <w:r>
        <w:rPr/>
        <w:t>除上述说明外，本公司募集资金实际使用情况与公司定期报告和其他信息披 露文件中披露的有关内容无其他重大差异。</w:t>
      </w:r>
    </w:p>
    <w:p>
      <w:pPr>
        <w:pStyle w:val="BodyText"/>
        <w:spacing w:line="357" w:lineRule="auto" w:before="122"/>
        <w:ind w:right="125" w:firstLine="480"/>
        <w:jc w:val="both"/>
      </w:pPr>
      <w:r>
        <w:rPr/>
        <w:t>（五）深圳南方民和会计师事务所有限责任公司为公司前次募集资金使用情 况（截至</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2"/>
        </w:rPr>
        <w:t>日）出具了深专审报字（</w:t>
      </w:r>
      <w:r>
        <w:rPr>
          <w:rFonts w:ascii="Times New Roman" w:hAnsi="Times New Roman" w:cs="Times New Roman" w:eastAsia="Times New Roman" w:hint="default"/>
          <w:spacing w:val="2"/>
        </w:rPr>
        <w:t>2010</w:t>
      </w:r>
      <w:r>
        <w:rPr>
          <w:spacing w:val="2"/>
        </w:rPr>
        <w:t>）第</w:t>
      </w:r>
      <w:r>
        <w:rPr>
          <w:spacing w:val="-57"/>
        </w:rPr>
        <w:t> </w:t>
      </w:r>
      <w:r>
        <w:rPr>
          <w:rFonts w:ascii="Times New Roman" w:hAnsi="Times New Roman" w:cs="Times New Roman" w:eastAsia="Times New Roman" w:hint="default"/>
        </w:rPr>
        <w:t>ZA005</w:t>
      </w:r>
      <w:r>
        <w:rPr>
          <w:rFonts w:ascii="Times New Roman" w:hAnsi="Times New Roman" w:cs="Times New Roman" w:eastAsia="Times New Roman" w:hint="default"/>
          <w:spacing w:val="3"/>
        </w:rPr>
        <w:t> </w:t>
      </w:r>
      <w:r>
        <w:rPr/>
        <w:t>号专项报告</w:t>
      </w:r>
    </w:p>
    <w:p>
      <w:pPr>
        <w:pStyle w:val="BodyText"/>
        <w:spacing w:line="357" w:lineRule="auto" w:before="5"/>
        <w:ind w:right="98" w:hanging="29"/>
        <w:jc w:val="left"/>
      </w:pPr>
      <w:r>
        <w:rPr>
          <w:w w:val="99"/>
        </w:rPr>
        <w:t>《关于深圳市农产品股份有限公司前次募集资金使用情况的鉴证报告</w:t>
      </w:r>
      <w:r>
        <w:rPr>
          <w:spacing w:val="-85"/>
          <w:w w:val="99"/>
        </w:rPr>
        <w:t> </w:t>
      </w:r>
      <w:r>
        <w:rPr>
          <w:spacing w:val="-39"/>
          <w:w w:val="91"/>
        </w:rPr>
        <w:t>》，得</w:t>
      </w:r>
      <w:r>
        <w:rPr>
          <w:spacing w:val="-78"/>
          <w:w w:val="91"/>
        </w:rPr>
        <w:t> </w:t>
      </w:r>
      <w:r>
        <w:rPr>
          <w:spacing w:val="13"/>
          <w:w w:val="94"/>
        </w:rPr>
        <w:t>出的鉴</w:t>
      </w:r>
      <w:r>
        <w:rPr>
          <w:spacing w:val="-107"/>
          <w:w w:val="94"/>
        </w:rPr>
        <w:t> </w:t>
      </w:r>
      <w:r>
        <w:rPr>
          <w:spacing w:val="-107"/>
          <w:w w:val="94"/>
        </w:rPr>
      </w:r>
      <w:r>
        <w:rPr/>
        <w:t>证结论如下：</w:t>
      </w:r>
    </w:p>
    <w:p>
      <w:pPr>
        <w:spacing w:line="240" w:lineRule="auto" w:before="4"/>
        <w:rPr>
          <w:rFonts w:ascii="宋体" w:hAnsi="宋体" w:cs="宋体" w:eastAsia="宋体" w:hint="default"/>
          <w:sz w:val="21"/>
          <w:szCs w:val="21"/>
        </w:rPr>
      </w:pPr>
    </w:p>
    <w:p>
      <w:pPr>
        <w:spacing w:line="357" w:lineRule="auto" w:before="0"/>
        <w:ind w:left="300" w:right="129" w:firstLine="360"/>
        <w:jc w:val="both"/>
        <w:rPr>
          <w:rFonts w:ascii="宋体" w:hAnsi="宋体" w:cs="宋体" w:eastAsia="宋体" w:hint="default"/>
          <w:sz w:val="18"/>
          <w:szCs w:val="18"/>
        </w:rPr>
      </w:pPr>
      <w:r>
        <w:rPr>
          <w:rFonts w:ascii="宋体" w:hAnsi="宋体" w:cs="宋体" w:eastAsia="宋体" w:hint="default"/>
          <w:spacing w:val="6"/>
          <w:sz w:val="18"/>
          <w:szCs w:val="18"/>
        </w:rPr>
        <w:t>“我们</w:t>
      </w:r>
      <w:r>
        <w:rPr>
          <w:rFonts w:ascii="宋体" w:hAnsi="宋体" w:cs="宋体" w:eastAsia="宋体" w:hint="default"/>
          <w:spacing w:val="-66"/>
          <w:sz w:val="18"/>
          <w:szCs w:val="18"/>
        </w:rPr>
        <w:t> </w:t>
      </w:r>
      <w:r>
        <w:rPr>
          <w:rFonts w:ascii="宋体" w:hAnsi="宋体" w:cs="宋体" w:eastAsia="宋体" w:hint="default"/>
          <w:sz w:val="18"/>
          <w:szCs w:val="18"/>
        </w:rPr>
        <w:t>认</w:t>
      </w:r>
      <w:r>
        <w:rPr>
          <w:rFonts w:ascii="宋体" w:hAnsi="宋体" w:cs="宋体" w:eastAsia="宋体" w:hint="default"/>
          <w:spacing w:val="-62"/>
          <w:sz w:val="18"/>
          <w:szCs w:val="18"/>
        </w:rPr>
        <w:t> </w:t>
      </w:r>
      <w:r>
        <w:rPr>
          <w:rFonts w:ascii="宋体" w:hAnsi="宋体" w:cs="宋体" w:eastAsia="宋体" w:hint="default"/>
          <w:spacing w:val="10"/>
          <w:sz w:val="18"/>
          <w:szCs w:val="18"/>
        </w:rPr>
        <w:t>为，农</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品</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66"/>
          <w:sz w:val="18"/>
          <w:szCs w:val="18"/>
        </w:rPr>
        <w:t> </w:t>
      </w:r>
      <w:r>
        <w:rPr>
          <w:rFonts w:ascii="宋体" w:hAnsi="宋体" w:cs="宋体" w:eastAsia="宋体" w:hint="default"/>
          <w:sz w:val="18"/>
          <w:szCs w:val="18"/>
        </w:rPr>
        <w:t>管</w:t>
      </w:r>
      <w:r>
        <w:rPr>
          <w:rFonts w:ascii="宋体" w:hAnsi="宋体" w:cs="宋体" w:eastAsia="宋体" w:hint="default"/>
          <w:spacing w:val="-66"/>
          <w:sz w:val="18"/>
          <w:szCs w:val="18"/>
        </w:rPr>
        <w:t> </w:t>
      </w:r>
      <w:r>
        <w:rPr>
          <w:rFonts w:ascii="宋体" w:hAnsi="宋体" w:cs="宋体" w:eastAsia="宋体" w:hint="default"/>
          <w:sz w:val="18"/>
          <w:szCs w:val="18"/>
        </w:rPr>
        <w:t>理</w:t>
      </w:r>
      <w:r>
        <w:rPr>
          <w:rFonts w:ascii="宋体" w:hAnsi="宋体" w:cs="宋体" w:eastAsia="宋体" w:hint="default"/>
          <w:spacing w:val="-66"/>
          <w:sz w:val="18"/>
          <w:szCs w:val="18"/>
        </w:rPr>
        <w:t> </w:t>
      </w:r>
      <w:r>
        <w:rPr>
          <w:rFonts w:ascii="宋体" w:hAnsi="宋体" w:cs="宋体" w:eastAsia="宋体" w:hint="default"/>
          <w:sz w:val="18"/>
          <w:szCs w:val="18"/>
        </w:rPr>
        <w:t>层</w:t>
      </w:r>
      <w:r>
        <w:rPr>
          <w:rFonts w:ascii="宋体" w:hAnsi="宋体" w:cs="宋体" w:eastAsia="宋体" w:hint="default"/>
          <w:spacing w:val="-66"/>
          <w:sz w:val="18"/>
          <w:szCs w:val="18"/>
        </w:rPr>
        <w:t> </w:t>
      </w:r>
      <w:r>
        <w:rPr>
          <w:rFonts w:ascii="宋体" w:hAnsi="宋体" w:cs="宋体" w:eastAsia="宋体" w:hint="default"/>
          <w:sz w:val="18"/>
          <w:szCs w:val="18"/>
        </w:rPr>
        <w:t>编</w:t>
      </w:r>
      <w:r>
        <w:rPr>
          <w:rFonts w:ascii="宋体" w:hAnsi="宋体" w:cs="宋体" w:eastAsia="宋体" w:hint="default"/>
          <w:spacing w:val="-66"/>
          <w:sz w:val="18"/>
          <w:szCs w:val="18"/>
        </w:rPr>
        <w:t> </w:t>
      </w:r>
      <w:r>
        <w:rPr>
          <w:rFonts w:ascii="宋体" w:hAnsi="宋体" w:cs="宋体" w:eastAsia="宋体" w:hint="default"/>
          <w:sz w:val="18"/>
          <w:szCs w:val="18"/>
        </w:rPr>
        <w:t>制</w:t>
      </w:r>
      <w:r>
        <w:rPr>
          <w:rFonts w:ascii="宋体" w:hAnsi="宋体" w:cs="宋体" w:eastAsia="宋体" w:hint="default"/>
          <w:spacing w:val="-66"/>
          <w:sz w:val="18"/>
          <w:szCs w:val="18"/>
        </w:rPr>
        <w:t> </w:t>
      </w:r>
      <w:r>
        <w:rPr>
          <w:rFonts w:ascii="宋体" w:hAnsi="宋体" w:cs="宋体" w:eastAsia="宋体" w:hint="default"/>
          <w:spacing w:val="6"/>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关</w:t>
      </w:r>
      <w:r>
        <w:rPr>
          <w:rFonts w:ascii="宋体" w:hAnsi="宋体" w:cs="宋体" w:eastAsia="宋体" w:hint="default"/>
          <w:spacing w:val="-66"/>
          <w:sz w:val="18"/>
          <w:szCs w:val="18"/>
        </w:rPr>
        <w:t> </w:t>
      </w:r>
      <w:r>
        <w:rPr>
          <w:rFonts w:ascii="宋体" w:hAnsi="宋体" w:cs="宋体" w:eastAsia="宋体" w:hint="default"/>
          <w:sz w:val="18"/>
          <w:szCs w:val="18"/>
        </w:rPr>
        <w:t>于</w:t>
      </w:r>
      <w:r>
        <w:rPr>
          <w:rFonts w:ascii="宋体" w:hAnsi="宋体" w:cs="宋体" w:eastAsia="宋体" w:hint="default"/>
          <w:spacing w:val="-66"/>
          <w:sz w:val="18"/>
          <w:szCs w:val="18"/>
        </w:rPr>
        <w:t> </w:t>
      </w:r>
      <w:r>
        <w:rPr>
          <w:rFonts w:ascii="宋体" w:hAnsi="宋体" w:cs="宋体" w:eastAsia="宋体" w:hint="default"/>
          <w:sz w:val="18"/>
          <w:szCs w:val="18"/>
        </w:rPr>
        <w:t>前</w:t>
      </w:r>
      <w:r>
        <w:rPr>
          <w:rFonts w:ascii="宋体" w:hAnsi="宋体" w:cs="宋体" w:eastAsia="宋体" w:hint="default"/>
          <w:spacing w:val="-66"/>
          <w:sz w:val="18"/>
          <w:szCs w:val="18"/>
        </w:rPr>
        <w:t> </w:t>
      </w:r>
      <w:r>
        <w:rPr>
          <w:rFonts w:ascii="宋体" w:hAnsi="宋体" w:cs="宋体" w:eastAsia="宋体" w:hint="default"/>
          <w:sz w:val="18"/>
          <w:szCs w:val="18"/>
        </w:rPr>
        <w:t>次</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情</w:t>
      </w:r>
      <w:r>
        <w:rPr>
          <w:rFonts w:ascii="宋体" w:hAnsi="宋体" w:cs="宋体" w:eastAsia="宋体" w:hint="default"/>
          <w:spacing w:val="-66"/>
          <w:sz w:val="18"/>
          <w:szCs w:val="18"/>
        </w:rPr>
        <w:t> </w:t>
      </w:r>
      <w:r>
        <w:rPr>
          <w:rFonts w:ascii="宋体" w:hAnsi="宋体" w:cs="宋体" w:eastAsia="宋体" w:hint="default"/>
          <w:sz w:val="18"/>
          <w:szCs w:val="18"/>
        </w:rPr>
        <w:t>况</w:t>
      </w:r>
      <w:r>
        <w:rPr>
          <w:rFonts w:ascii="宋体" w:hAnsi="宋体" w:cs="宋体" w:eastAsia="宋体" w:hint="default"/>
          <w:spacing w:val="-66"/>
          <w:sz w:val="18"/>
          <w:szCs w:val="18"/>
        </w:rPr>
        <w:t> </w:t>
      </w:r>
      <w:r>
        <w:rPr>
          <w:rFonts w:ascii="宋体" w:hAnsi="宋体" w:cs="宋体" w:eastAsia="宋体" w:hint="default"/>
          <w:sz w:val="18"/>
          <w:szCs w:val="18"/>
        </w:rPr>
        <w:t>报</w:t>
      </w:r>
      <w:r>
        <w:rPr>
          <w:rFonts w:ascii="宋体" w:hAnsi="宋体" w:cs="宋体" w:eastAsia="宋体" w:hint="default"/>
          <w:spacing w:val="-66"/>
          <w:sz w:val="18"/>
          <w:szCs w:val="18"/>
        </w:rPr>
        <w:t> </w:t>
      </w:r>
      <w:r>
        <w:rPr>
          <w:rFonts w:ascii="宋体" w:hAnsi="宋体" w:cs="宋体" w:eastAsia="宋体" w:hint="default"/>
          <w:sz w:val="18"/>
          <w:szCs w:val="18"/>
        </w:rPr>
        <w:t>告</w:t>
      </w:r>
      <w:r>
        <w:rPr>
          <w:rFonts w:ascii="宋体" w:hAnsi="宋体" w:cs="宋体" w:eastAsia="宋体" w:hint="default"/>
          <w:spacing w:val="-66"/>
          <w:sz w:val="18"/>
          <w:szCs w:val="18"/>
        </w:rPr>
        <w:t> </w:t>
      </w:r>
      <w:r>
        <w:rPr>
          <w:rFonts w:ascii="宋体" w:hAnsi="宋体" w:cs="宋体" w:eastAsia="宋体" w:hint="default"/>
          <w:spacing w:val="6"/>
          <w:sz w:val="18"/>
          <w:szCs w:val="18"/>
        </w:rPr>
        <w:t>》符</w:t>
      </w:r>
      <w:r>
        <w:rPr>
          <w:rFonts w:ascii="宋体" w:hAnsi="宋体" w:cs="宋体" w:eastAsia="宋体" w:hint="default"/>
          <w:spacing w:val="-66"/>
          <w:sz w:val="18"/>
          <w:szCs w:val="18"/>
        </w:rPr>
        <w:t> </w:t>
      </w:r>
      <w:r>
        <w:rPr>
          <w:rFonts w:ascii="宋体" w:hAnsi="宋体" w:cs="宋体" w:eastAsia="宋体" w:hint="default"/>
          <w:sz w:val="18"/>
          <w:szCs w:val="18"/>
        </w:rPr>
        <w:t>合</w:t>
      </w:r>
      <w:r>
        <w:rPr>
          <w:rFonts w:ascii="宋体" w:hAnsi="宋体" w:cs="宋体" w:eastAsia="宋体" w:hint="default"/>
          <w:spacing w:val="-66"/>
          <w:sz w:val="18"/>
          <w:szCs w:val="18"/>
        </w:rPr>
        <w:t> </w:t>
      </w:r>
      <w:r>
        <w:rPr>
          <w:rFonts w:ascii="宋体" w:hAnsi="宋体" w:cs="宋体" w:eastAsia="宋体" w:hint="default"/>
          <w:sz w:val="18"/>
          <w:szCs w:val="18"/>
        </w:rPr>
        <w:t>中</w:t>
      </w:r>
      <w:r>
        <w:rPr>
          <w:rFonts w:ascii="宋体" w:hAnsi="宋体" w:cs="宋体" w:eastAsia="宋体" w:hint="default"/>
          <w:spacing w:val="-66"/>
          <w:sz w:val="18"/>
          <w:szCs w:val="18"/>
        </w:rPr>
        <w:t> </w:t>
      </w:r>
      <w:r>
        <w:rPr>
          <w:rFonts w:ascii="宋体" w:hAnsi="宋体" w:cs="宋体" w:eastAsia="宋体" w:hint="default"/>
          <w:sz w:val="18"/>
          <w:szCs w:val="18"/>
        </w:rPr>
        <w:t>国</w:t>
      </w:r>
      <w:r>
        <w:rPr>
          <w:rFonts w:ascii="宋体" w:hAnsi="宋体" w:cs="宋体" w:eastAsia="宋体" w:hint="default"/>
          <w:spacing w:val="-66"/>
          <w:sz w:val="18"/>
          <w:szCs w:val="18"/>
        </w:rPr>
        <w:t> </w:t>
      </w:r>
      <w:r>
        <w:rPr>
          <w:rFonts w:ascii="宋体" w:hAnsi="宋体" w:cs="宋体" w:eastAsia="宋体" w:hint="default"/>
          <w:sz w:val="18"/>
          <w:szCs w:val="18"/>
        </w:rPr>
        <w:t>证</w:t>
      </w:r>
      <w:r>
        <w:rPr>
          <w:rFonts w:ascii="宋体" w:hAnsi="宋体" w:cs="宋体" w:eastAsia="宋体" w:hint="default"/>
          <w:spacing w:val="-66"/>
          <w:sz w:val="18"/>
          <w:szCs w:val="18"/>
        </w:rPr>
        <w:t> </w:t>
      </w:r>
      <w:r>
        <w:rPr>
          <w:rFonts w:ascii="宋体" w:hAnsi="宋体" w:cs="宋体" w:eastAsia="宋体" w:hint="default"/>
          <w:sz w:val="18"/>
          <w:szCs w:val="18"/>
        </w:rPr>
        <w:t>监</w:t>
      </w:r>
      <w:r>
        <w:rPr>
          <w:rFonts w:ascii="宋体" w:hAnsi="宋体" w:cs="宋体" w:eastAsia="宋体" w:hint="default"/>
          <w:spacing w:val="-62"/>
          <w:sz w:val="18"/>
          <w:szCs w:val="18"/>
        </w:rPr>
        <w:t> </w:t>
      </w:r>
      <w:r>
        <w:rPr>
          <w:rFonts w:ascii="宋体" w:hAnsi="宋体" w:cs="宋体" w:eastAsia="宋体" w:hint="default"/>
          <w:sz w:val="18"/>
          <w:szCs w:val="18"/>
        </w:rPr>
        <w:t>会</w:t>
      </w:r>
      <w:r>
        <w:rPr>
          <w:rFonts w:ascii="宋体" w:hAnsi="宋体" w:cs="宋体" w:eastAsia="宋体" w:hint="default"/>
          <w:sz w:val="18"/>
          <w:szCs w:val="18"/>
        </w:rPr>
        <w:t> </w:t>
      </w:r>
      <w:r>
        <w:rPr>
          <w:rFonts w:ascii="宋体" w:hAnsi="宋体" w:cs="宋体" w:eastAsia="宋体" w:hint="default"/>
          <w:spacing w:val="9"/>
          <w:sz w:val="18"/>
          <w:szCs w:val="18"/>
        </w:rPr>
        <w:t>发布</w:t>
      </w:r>
      <w:r>
        <w:rPr>
          <w:rFonts w:ascii="宋体" w:hAnsi="宋体" w:cs="宋体" w:eastAsia="宋体" w:hint="default"/>
          <w:spacing w:val="-66"/>
          <w:sz w:val="18"/>
          <w:szCs w:val="18"/>
        </w:rPr>
        <w:t> </w:t>
      </w:r>
      <w:r>
        <w:rPr>
          <w:rFonts w:ascii="宋体" w:hAnsi="宋体" w:cs="宋体" w:eastAsia="宋体" w:hint="default"/>
          <w:spacing w:val="10"/>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关</w:t>
      </w:r>
      <w:r>
        <w:rPr>
          <w:rFonts w:ascii="宋体" w:hAnsi="宋体" w:cs="宋体" w:eastAsia="宋体" w:hint="default"/>
          <w:spacing w:val="-66"/>
          <w:sz w:val="18"/>
          <w:szCs w:val="18"/>
        </w:rPr>
        <w:t> </w:t>
      </w:r>
      <w:r>
        <w:rPr>
          <w:rFonts w:ascii="宋体" w:hAnsi="宋体" w:cs="宋体" w:eastAsia="宋体" w:hint="default"/>
          <w:sz w:val="18"/>
          <w:szCs w:val="18"/>
        </w:rPr>
        <w:t>于</w:t>
      </w:r>
      <w:r>
        <w:rPr>
          <w:rFonts w:ascii="宋体" w:hAnsi="宋体" w:cs="宋体" w:eastAsia="宋体" w:hint="default"/>
          <w:spacing w:val="-66"/>
          <w:sz w:val="18"/>
          <w:szCs w:val="18"/>
        </w:rPr>
        <w:t> </w:t>
      </w:r>
      <w:r>
        <w:rPr>
          <w:rFonts w:ascii="宋体" w:hAnsi="宋体" w:cs="宋体" w:eastAsia="宋体" w:hint="default"/>
          <w:sz w:val="18"/>
          <w:szCs w:val="18"/>
        </w:rPr>
        <w:t>前</w:t>
      </w:r>
      <w:r>
        <w:rPr>
          <w:rFonts w:ascii="宋体" w:hAnsi="宋体" w:cs="宋体" w:eastAsia="宋体" w:hint="default"/>
          <w:spacing w:val="-66"/>
          <w:sz w:val="18"/>
          <w:szCs w:val="18"/>
        </w:rPr>
        <w:t> </w:t>
      </w:r>
      <w:r>
        <w:rPr>
          <w:rFonts w:ascii="宋体" w:hAnsi="宋体" w:cs="宋体" w:eastAsia="宋体" w:hint="default"/>
          <w:sz w:val="18"/>
          <w:szCs w:val="18"/>
        </w:rPr>
        <w:t>次</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情</w:t>
      </w:r>
      <w:r>
        <w:rPr>
          <w:rFonts w:ascii="宋体" w:hAnsi="宋体" w:cs="宋体" w:eastAsia="宋体" w:hint="default"/>
          <w:spacing w:val="-66"/>
          <w:sz w:val="18"/>
          <w:szCs w:val="18"/>
        </w:rPr>
        <w:t> </w:t>
      </w:r>
      <w:r>
        <w:rPr>
          <w:rFonts w:ascii="宋体" w:hAnsi="宋体" w:cs="宋体" w:eastAsia="宋体" w:hint="default"/>
          <w:sz w:val="18"/>
          <w:szCs w:val="18"/>
        </w:rPr>
        <w:t>况</w:t>
      </w:r>
      <w:r>
        <w:rPr>
          <w:rFonts w:ascii="宋体" w:hAnsi="宋体" w:cs="宋体" w:eastAsia="宋体" w:hint="default"/>
          <w:spacing w:val="-66"/>
          <w:sz w:val="18"/>
          <w:szCs w:val="18"/>
        </w:rPr>
        <w:t> </w:t>
      </w:r>
      <w:r>
        <w:rPr>
          <w:rFonts w:ascii="宋体" w:hAnsi="宋体" w:cs="宋体" w:eastAsia="宋体" w:hint="default"/>
          <w:sz w:val="18"/>
          <w:szCs w:val="18"/>
        </w:rPr>
        <w:t>报</w:t>
      </w:r>
      <w:r>
        <w:rPr>
          <w:rFonts w:ascii="宋体" w:hAnsi="宋体" w:cs="宋体" w:eastAsia="宋体" w:hint="default"/>
          <w:spacing w:val="-66"/>
          <w:sz w:val="18"/>
          <w:szCs w:val="18"/>
        </w:rPr>
        <w:t> </w:t>
      </w:r>
      <w:r>
        <w:rPr>
          <w:rFonts w:ascii="宋体" w:hAnsi="宋体" w:cs="宋体" w:eastAsia="宋体" w:hint="default"/>
          <w:sz w:val="18"/>
          <w:szCs w:val="18"/>
        </w:rPr>
        <w:t>告</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规</w:t>
      </w:r>
      <w:r>
        <w:rPr>
          <w:rFonts w:ascii="宋体" w:hAnsi="宋体" w:cs="宋体" w:eastAsia="宋体" w:hint="default"/>
          <w:spacing w:val="-66"/>
          <w:sz w:val="18"/>
          <w:szCs w:val="18"/>
        </w:rPr>
        <w:t> </w:t>
      </w:r>
      <w:r>
        <w:rPr>
          <w:rFonts w:ascii="宋体" w:hAnsi="宋体" w:cs="宋体" w:eastAsia="宋体" w:hint="default"/>
          <w:sz w:val="18"/>
          <w:szCs w:val="18"/>
        </w:rPr>
        <w:t>定</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规</w:t>
      </w:r>
      <w:r>
        <w:rPr>
          <w:rFonts w:ascii="宋体" w:hAnsi="宋体" w:cs="宋体" w:eastAsia="宋体" w:hint="default"/>
          <w:spacing w:val="-66"/>
          <w:sz w:val="18"/>
          <w:szCs w:val="18"/>
        </w:rPr>
        <w:t> </w:t>
      </w:r>
      <w:r>
        <w:rPr>
          <w:rFonts w:ascii="宋体" w:hAnsi="宋体" w:cs="宋体" w:eastAsia="宋体" w:hint="default"/>
          <w:sz w:val="18"/>
          <w:szCs w:val="18"/>
        </w:rPr>
        <w:t>定</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如</w:t>
      </w:r>
      <w:r>
        <w:rPr>
          <w:rFonts w:ascii="宋体" w:hAnsi="宋体" w:cs="宋体" w:eastAsia="宋体" w:hint="default"/>
          <w:spacing w:val="-66"/>
          <w:sz w:val="18"/>
          <w:szCs w:val="18"/>
        </w:rPr>
        <w:t> </w:t>
      </w:r>
      <w:r>
        <w:rPr>
          <w:rFonts w:ascii="宋体" w:hAnsi="宋体" w:cs="宋体" w:eastAsia="宋体" w:hint="default"/>
          <w:sz w:val="18"/>
          <w:szCs w:val="18"/>
        </w:rPr>
        <w:t>实</w:t>
      </w:r>
      <w:r>
        <w:rPr>
          <w:rFonts w:ascii="宋体" w:hAnsi="宋体" w:cs="宋体" w:eastAsia="宋体" w:hint="default"/>
          <w:spacing w:val="-66"/>
          <w:sz w:val="18"/>
          <w:szCs w:val="18"/>
        </w:rPr>
        <w:t> </w:t>
      </w:r>
      <w:r>
        <w:rPr>
          <w:rFonts w:ascii="宋体" w:hAnsi="宋体" w:cs="宋体" w:eastAsia="宋体" w:hint="default"/>
          <w:sz w:val="18"/>
          <w:szCs w:val="18"/>
        </w:rPr>
        <w:t>反</w:t>
      </w:r>
      <w:r>
        <w:rPr>
          <w:rFonts w:ascii="宋体" w:hAnsi="宋体" w:cs="宋体" w:eastAsia="宋体" w:hint="default"/>
          <w:spacing w:val="-66"/>
          <w:sz w:val="18"/>
          <w:szCs w:val="18"/>
        </w:rPr>
        <w:t> </w:t>
      </w:r>
      <w:r>
        <w:rPr>
          <w:rFonts w:ascii="宋体" w:hAnsi="宋体" w:cs="宋体" w:eastAsia="宋体" w:hint="default"/>
          <w:sz w:val="18"/>
          <w:szCs w:val="18"/>
        </w:rPr>
        <w:t>映</w:t>
      </w:r>
      <w:r>
        <w:rPr>
          <w:rFonts w:ascii="宋体" w:hAnsi="宋体" w:cs="宋体" w:eastAsia="宋体" w:hint="default"/>
          <w:spacing w:val="-66"/>
          <w:sz w:val="18"/>
          <w:szCs w:val="18"/>
        </w:rPr>
        <w:t> </w:t>
      </w:r>
      <w:r>
        <w:rPr>
          <w:rFonts w:ascii="宋体" w:hAnsi="宋体" w:cs="宋体" w:eastAsia="宋体" w:hint="default"/>
          <w:sz w:val="18"/>
          <w:szCs w:val="18"/>
        </w:rPr>
        <w:t>了</w:t>
      </w:r>
      <w:r>
        <w:rPr>
          <w:rFonts w:ascii="宋体" w:hAnsi="宋体" w:cs="宋体" w:eastAsia="宋体" w:hint="default"/>
          <w:spacing w:val="-66"/>
          <w:sz w:val="18"/>
          <w:szCs w:val="18"/>
        </w:rPr>
        <w:t> </w:t>
      </w:r>
      <w:r>
        <w:rPr>
          <w:rFonts w:ascii="宋体" w:hAnsi="宋体" w:cs="宋体" w:eastAsia="宋体" w:hint="default"/>
          <w:sz w:val="18"/>
          <w:szCs w:val="18"/>
        </w:rPr>
        <w:t>农</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品</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66"/>
          <w:sz w:val="18"/>
          <w:szCs w:val="18"/>
        </w:rPr>
        <w:t> </w:t>
      </w:r>
      <w:r>
        <w:rPr>
          <w:rFonts w:ascii="宋体" w:hAnsi="宋体" w:cs="宋体" w:eastAsia="宋体" w:hint="default"/>
          <w:sz w:val="18"/>
          <w:szCs w:val="18"/>
        </w:rPr>
        <w:t>截</w:t>
      </w:r>
      <w:r>
        <w:rPr>
          <w:rFonts w:ascii="宋体" w:hAnsi="宋体" w:cs="宋体" w:eastAsia="宋体" w:hint="default"/>
          <w:spacing w:val="-66"/>
          <w:sz w:val="18"/>
          <w:szCs w:val="18"/>
        </w:rPr>
        <w:t> </w:t>
      </w:r>
      <w:r>
        <w:rPr>
          <w:rFonts w:ascii="宋体" w:hAnsi="宋体" w:cs="宋体" w:eastAsia="宋体" w:hint="default"/>
          <w:sz w:val="18"/>
          <w:szCs w:val="18"/>
        </w:rPr>
        <w:t>至</w:t>
      </w:r>
      <w:r>
        <w:rPr>
          <w:rFonts w:ascii="宋体" w:hAnsi="宋体" w:cs="宋体" w:eastAsia="宋体" w:hint="default"/>
          <w:spacing w:val="-9"/>
          <w:sz w:val="18"/>
          <w:szCs w:val="18"/>
        </w:rPr>
        <w:t> </w:t>
      </w:r>
      <w:r>
        <w:rPr>
          <w:rFonts w:ascii="宋体" w:hAnsi="宋体" w:cs="宋体" w:eastAsia="宋体" w:hint="default"/>
          <w:spacing w:val="8"/>
          <w:sz w:val="18"/>
          <w:szCs w:val="18"/>
        </w:rPr>
        <w:t>2009</w:t>
      </w:r>
      <w:r>
        <w:rPr>
          <w:rFonts w:ascii="宋体" w:hAnsi="宋体" w:cs="宋体" w:eastAsia="宋体" w:hint="default"/>
          <w:spacing w:val="-27"/>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r>
        <w:rPr>
          <w:rFonts w:ascii="宋体" w:hAnsi="宋体" w:cs="宋体" w:eastAsia="宋体" w:hint="default"/>
          <w:spacing w:val="4"/>
          <w:sz w:val="18"/>
          <w:szCs w:val="18"/>
        </w:rPr>
        <w:t>12</w:t>
      </w:r>
      <w:r>
        <w:rPr>
          <w:rFonts w:ascii="宋体" w:hAnsi="宋体" w:cs="宋体" w:eastAsia="宋体"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14"/>
          <w:sz w:val="18"/>
          <w:szCs w:val="18"/>
        </w:rPr>
        <w:t> </w:t>
      </w:r>
      <w:r>
        <w:rPr>
          <w:rFonts w:ascii="宋体" w:hAnsi="宋体" w:cs="宋体" w:eastAsia="宋体" w:hint="default"/>
          <w:spacing w:val="4"/>
          <w:sz w:val="18"/>
          <w:szCs w:val="18"/>
        </w:rPr>
        <w:t>31</w:t>
      </w:r>
      <w:r>
        <w:rPr>
          <w:rFonts w:ascii="宋体" w:hAnsi="宋体" w:cs="宋体" w:eastAsia="宋体" w:hint="default"/>
          <w:spacing w:val="-24"/>
          <w:sz w:val="18"/>
          <w:szCs w:val="18"/>
        </w:rPr>
        <w:t> </w:t>
      </w:r>
      <w:r>
        <w:rPr>
          <w:rFonts w:ascii="宋体" w:hAnsi="宋体" w:cs="宋体" w:eastAsia="宋体" w:hint="default"/>
          <w:spacing w:val="9"/>
          <w:sz w:val="18"/>
          <w:szCs w:val="18"/>
        </w:rPr>
        <w:t>日止</w:t>
      </w:r>
      <w:r>
        <w:rPr>
          <w:rFonts w:ascii="宋体" w:hAnsi="宋体" w:cs="宋体" w:eastAsia="宋体" w:hint="default"/>
          <w:spacing w:val="-66"/>
          <w:sz w:val="18"/>
          <w:szCs w:val="18"/>
        </w:rPr>
        <w:t> </w:t>
      </w:r>
      <w:r>
        <w:rPr>
          <w:rFonts w:ascii="宋体" w:hAnsi="宋体" w:cs="宋体" w:eastAsia="宋体" w:hint="default"/>
          <w:sz w:val="18"/>
          <w:szCs w:val="18"/>
        </w:rPr>
        <w:t>前</w:t>
      </w:r>
      <w:r>
        <w:rPr>
          <w:rFonts w:ascii="宋体" w:hAnsi="宋体" w:cs="宋体" w:eastAsia="宋体" w:hint="default"/>
          <w:spacing w:val="-66"/>
          <w:sz w:val="18"/>
          <w:szCs w:val="18"/>
        </w:rPr>
        <w:t> </w:t>
      </w:r>
      <w:r>
        <w:rPr>
          <w:rFonts w:ascii="宋体" w:hAnsi="宋体" w:cs="宋体" w:eastAsia="宋体" w:hint="default"/>
          <w:sz w:val="18"/>
          <w:szCs w:val="18"/>
        </w:rPr>
        <w:t>次</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情</w:t>
      </w:r>
      <w:r>
        <w:rPr>
          <w:rFonts w:ascii="宋体" w:hAnsi="宋体" w:cs="宋体" w:eastAsia="宋体" w:hint="default"/>
          <w:spacing w:val="-66"/>
          <w:sz w:val="18"/>
          <w:szCs w:val="18"/>
        </w:rPr>
        <w:t> </w:t>
      </w:r>
      <w:r>
        <w:rPr>
          <w:rFonts w:ascii="宋体" w:hAnsi="宋体" w:cs="宋体" w:eastAsia="宋体" w:hint="default"/>
          <w:sz w:val="18"/>
          <w:szCs w:val="18"/>
        </w:rPr>
        <w:t>况</w:t>
      </w:r>
      <w:r>
        <w:rPr>
          <w:rFonts w:ascii="宋体" w:hAnsi="宋体" w:cs="宋体" w:eastAsia="宋体" w:hint="default"/>
          <w:spacing w:val="-69"/>
          <w:sz w:val="18"/>
          <w:szCs w:val="18"/>
        </w:rPr>
        <w:t> </w:t>
      </w:r>
      <w:r>
        <w:rPr>
          <w:rFonts w:ascii="宋体" w:hAnsi="宋体" w:cs="宋体" w:eastAsia="宋体" w:hint="default"/>
          <w:spacing w:val="-36"/>
          <w:sz w:val="18"/>
          <w:szCs w:val="18"/>
        </w:rPr>
        <w:t>。”</w:t>
      </w:r>
    </w:p>
    <w:p>
      <w:pPr>
        <w:spacing w:line="240" w:lineRule="auto" w:before="2"/>
        <w:rPr>
          <w:rFonts w:ascii="宋体" w:hAnsi="宋体" w:cs="宋体" w:eastAsia="宋体" w:hint="default"/>
          <w:sz w:val="13"/>
          <w:szCs w:val="13"/>
        </w:rPr>
      </w:pPr>
    </w:p>
    <w:p>
      <w:pPr>
        <w:pStyle w:val="BodyText"/>
        <w:spacing w:line="348" w:lineRule="auto" w:before="0"/>
        <w:ind w:right="105" w:firstLine="480"/>
        <w:jc w:val="both"/>
      </w:pPr>
      <w:r>
        <w:rPr/>
        <w:t>（六）公司本次非公开发行保荐机构国信证券股份有限公司为公司前次募集 资金使用情况意见（截至</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日）出具了专项核查报告，核查结论如</w:t>
      </w:r>
      <w:r>
        <w:rPr/>
        <w:t> 下：</w:t>
      </w:r>
    </w:p>
    <w:p>
      <w:pPr>
        <w:spacing w:line="357" w:lineRule="auto" w:before="56"/>
        <w:ind w:left="300" w:right="163" w:firstLine="30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pacing w:val="7"/>
          <w:sz w:val="18"/>
          <w:szCs w:val="18"/>
        </w:rPr>
        <w:t>1、</w:t>
      </w:r>
      <w:r>
        <w:rPr>
          <w:rFonts w:ascii="宋体" w:hAnsi="宋体" w:cs="宋体" w:eastAsia="宋体" w:hint="default"/>
          <w:spacing w:val="-69"/>
          <w:sz w:val="18"/>
          <w:szCs w:val="18"/>
        </w:rPr>
        <w:t> </w:t>
      </w:r>
      <w:r>
        <w:rPr>
          <w:rFonts w:ascii="宋体" w:hAnsi="宋体" w:cs="宋体" w:eastAsia="宋体" w:hint="default"/>
          <w:sz w:val="18"/>
          <w:szCs w:val="18"/>
        </w:rPr>
        <w:t>农</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品</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存</w:t>
      </w:r>
      <w:r>
        <w:rPr>
          <w:rFonts w:ascii="宋体" w:hAnsi="宋体" w:cs="宋体" w:eastAsia="宋体" w:hint="default"/>
          <w:spacing w:val="-66"/>
          <w:sz w:val="18"/>
          <w:szCs w:val="18"/>
        </w:rPr>
        <w:t> </w:t>
      </w:r>
      <w:r>
        <w:rPr>
          <w:rFonts w:ascii="宋体" w:hAnsi="宋体" w:cs="宋体" w:eastAsia="宋体" w:hint="default"/>
          <w:sz w:val="18"/>
          <w:szCs w:val="18"/>
        </w:rPr>
        <w:t>放</w:t>
      </w:r>
      <w:r>
        <w:rPr>
          <w:rFonts w:ascii="宋体" w:hAnsi="宋体" w:cs="宋体" w:eastAsia="宋体" w:hint="default"/>
          <w:spacing w:val="-64"/>
          <w:sz w:val="18"/>
          <w:szCs w:val="18"/>
        </w:rPr>
        <w:t> </w:t>
      </w: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专</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pacing w:val="-66"/>
          <w:sz w:val="18"/>
          <w:szCs w:val="18"/>
        </w:rPr>
        <w:t> </w:t>
      </w:r>
      <w:r>
        <w:rPr>
          <w:rFonts w:ascii="宋体" w:hAnsi="宋体" w:cs="宋体" w:eastAsia="宋体" w:hint="default"/>
          <w:sz w:val="18"/>
          <w:szCs w:val="18"/>
        </w:rPr>
        <w:t>户</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该</w:t>
      </w:r>
      <w:r>
        <w:rPr>
          <w:rFonts w:ascii="宋体" w:hAnsi="宋体" w:cs="宋体" w:eastAsia="宋体" w:hint="default"/>
          <w:spacing w:val="-66"/>
          <w:sz w:val="18"/>
          <w:szCs w:val="18"/>
        </w:rPr>
        <w:t> </w:t>
      </w:r>
      <w:r>
        <w:rPr>
          <w:rFonts w:ascii="宋体" w:hAnsi="宋体" w:cs="宋体" w:eastAsia="宋体" w:hint="default"/>
          <w:sz w:val="18"/>
          <w:szCs w:val="18"/>
        </w:rPr>
        <w:t>账</w:t>
      </w:r>
      <w:r>
        <w:rPr>
          <w:rFonts w:ascii="宋体" w:hAnsi="宋体" w:cs="宋体" w:eastAsia="宋体" w:hint="default"/>
          <w:spacing w:val="-64"/>
          <w:sz w:val="18"/>
          <w:szCs w:val="18"/>
        </w:rPr>
        <w:t> </w:t>
      </w:r>
      <w:r>
        <w:rPr>
          <w:rFonts w:ascii="宋体" w:hAnsi="宋体" w:cs="宋体" w:eastAsia="宋体" w:hint="default"/>
          <w:sz w:val="18"/>
          <w:szCs w:val="18"/>
        </w:rPr>
        <w:t>户</w:t>
      </w:r>
      <w:r>
        <w:rPr>
          <w:rFonts w:ascii="宋体" w:hAnsi="宋体" w:cs="宋体" w:eastAsia="宋体" w:hint="default"/>
          <w:spacing w:val="-64"/>
          <w:sz w:val="18"/>
          <w:szCs w:val="18"/>
        </w:rPr>
        <w:t> </w:t>
      </w:r>
      <w:r>
        <w:rPr>
          <w:rFonts w:ascii="宋体" w:hAnsi="宋体" w:cs="宋体" w:eastAsia="宋体" w:hint="default"/>
          <w:sz w:val="18"/>
          <w:szCs w:val="18"/>
        </w:rPr>
        <w:t>未</w:t>
      </w:r>
      <w:r>
        <w:rPr>
          <w:rFonts w:ascii="宋体" w:hAnsi="宋体" w:cs="宋体" w:eastAsia="宋体" w:hint="default"/>
          <w:spacing w:val="-66"/>
          <w:sz w:val="18"/>
          <w:szCs w:val="18"/>
        </w:rPr>
        <w:t> </w:t>
      </w:r>
      <w:r>
        <w:rPr>
          <w:rFonts w:ascii="宋体" w:hAnsi="宋体" w:cs="宋体" w:eastAsia="宋体" w:hint="default"/>
          <w:sz w:val="18"/>
          <w:szCs w:val="18"/>
        </w:rPr>
        <w:t>存</w:t>
      </w:r>
      <w:r>
        <w:rPr>
          <w:rFonts w:ascii="宋体" w:hAnsi="宋体" w:cs="宋体" w:eastAsia="宋体" w:hint="default"/>
          <w:spacing w:val="-64"/>
          <w:sz w:val="18"/>
          <w:szCs w:val="18"/>
        </w:rPr>
        <w:t> </w:t>
      </w:r>
      <w:r>
        <w:rPr>
          <w:rFonts w:ascii="宋体" w:hAnsi="宋体" w:cs="宋体" w:eastAsia="宋体" w:hint="default"/>
          <w:sz w:val="18"/>
          <w:szCs w:val="18"/>
        </w:rPr>
        <w:t>放</w:t>
      </w:r>
      <w:r>
        <w:rPr>
          <w:rFonts w:ascii="宋体" w:hAnsi="宋体" w:cs="宋体" w:eastAsia="宋体" w:hint="default"/>
          <w:spacing w:val="-64"/>
          <w:sz w:val="18"/>
          <w:szCs w:val="18"/>
        </w:rPr>
        <w:t> </w:t>
      </w:r>
      <w:r>
        <w:rPr>
          <w:rFonts w:ascii="宋体" w:hAnsi="宋体" w:cs="宋体" w:eastAsia="宋体" w:hint="default"/>
          <w:sz w:val="18"/>
          <w:szCs w:val="18"/>
        </w:rPr>
        <w:t>非</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也</w:t>
      </w:r>
      <w:r>
        <w:rPr>
          <w:rFonts w:ascii="宋体" w:hAnsi="宋体" w:cs="宋体" w:eastAsia="宋体" w:hint="default"/>
          <w:spacing w:val="-66"/>
          <w:sz w:val="18"/>
          <w:szCs w:val="18"/>
        </w:rPr>
        <w:t> </w:t>
      </w:r>
      <w:r>
        <w:rPr>
          <w:rFonts w:ascii="宋体" w:hAnsi="宋体" w:cs="宋体" w:eastAsia="宋体" w:hint="default"/>
          <w:sz w:val="18"/>
          <w:szCs w:val="18"/>
        </w:rPr>
        <w:t>未</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4"/>
          <w:sz w:val="18"/>
          <w:szCs w:val="18"/>
        </w:rPr>
        <w:t> </w:t>
      </w:r>
      <w:r>
        <w:rPr>
          <w:rFonts w:ascii="宋体" w:hAnsi="宋体" w:cs="宋体" w:eastAsia="宋体" w:hint="default"/>
          <w:sz w:val="18"/>
          <w:szCs w:val="18"/>
        </w:rPr>
        <w:t>作</w:t>
      </w:r>
      <w:r>
        <w:rPr>
          <w:rFonts w:ascii="宋体" w:hAnsi="宋体" w:cs="宋体" w:eastAsia="宋体" w:hint="default"/>
          <w:spacing w:val="-66"/>
          <w:sz w:val="18"/>
          <w:szCs w:val="18"/>
        </w:rPr>
        <w:t> </w:t>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z w:val="18"/>
          <w:szCs w:val="18"/>
        </w:rPr>
        <w:t> </w:t>
      </w:r>
      <w:r>
        <w:rPr>
          <w:rFonts w:ascii="宋体" w:hAnsi="宋体" w:cs="宋体" w:eastAsia="宋体" w:hint="default"/>
          <w:spacing w:val="9"/>
          <w:sz w:val="18"/>
          <w:szCs w:val="18"/>
        </w:rPr>
        <w:t>用途</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符</w:t>
      </w:r>
      <w:r>
        <w:rPr>
          <w:rFonts w:ascii="宋体" w:hAnsi="宋体" w:cs="宋体" w:eastAsia="宋体" w:hint="default"/>
          <w:spacing w:val="-66"/>
          <w:sz w:val="18"/>
          <w:szCs w:val="18"/>
        </w:rPr>
        <w:t> </w:t>
      </w:r>
      <w:r>
        <w:rPr>
          <w:rFonts w:ascii="宋体" w:hAnsi="宋体" w:cs="宋体" w:eastAsia="宋体" w:hint="default"/>
          <w:sz w:val="18"/>
          <w:szCs w:val="18"/>
        </w:rPr>
        <w:t>合</w:t>
      </w:r>
      <w:r>
        <w:rPr>
          <w:rFonts w:ascii="宋体" w:hAnsi="宋体" w:cs="宋体" w:eastAsia="宋体" w:hint="default"/>
          <w:spacing w:val="-66"/>
          <w:sz w:val="18"/>
          <w:szCs w:val="18"/>
        </w:rPr>
        <w:t> </w:t>
      </w:r>
      <w:r>
        <w:rPr>
          <w:rFonts w:ascii="宋体" w:hAnsi="宋体" w:cs="宋体" w:eastAsia="宋体" w:hint="default"/>
          <w:sz w:val="18"/>
          <w:szCs w:val="18"/>
        </w:rPr>
        <w:t>相</w:t>
      </w:r>
      <w:r>
        <w:rPr>
          <w:rFonts w:ascii="宋体" w:hAnsi="宋体" w:cs="宋体" w:eastAsia="宋体" w:hint="default"/>
          <w:spacing w:val="-66"/>
          <w:sz w:val="18"/>
          <w:szCs w:val="18"/>
        </w:rPr>
        <w:t> </w:t>
      </w:r>
      <w:r>
        <w:rPr>
          <w:rFonts w:ascii="宋体" w:hAnsi="宋体" w:cs="宋体" w:eastAsia="宋体" w:hint="default"/>
          <w:sz w:val="18"/>
          <w:szCs w:val="18"/>
        </w:rPr>
        <w:t>关</w:t>
      </w:r>
      <w:r>
        <w:rPr>
          <w:rFonts w:ascii="宋体" w:hAnsi="宋体" w:cs="宋体" w:eastAsia="宋体" w:hint="default"/>
          <w:spacing w:val="-66"/>
          <w:sz w:val="18"/>
          <w:szCs w:val="18"/>
        </w:rPr>
        <w:t> </w:t>
      </w:r>
      <w:r>
        <w:rPr>
          <w:rFonts w:ascii="宋体" w:hAnsi="宋体" w:cs="宋体" w:eastAsia="宋体" w:hint="default"/>
          <w:sz w:val="18"/>
          <w:szCs w:val="18"/>
        </w:rPr>
        <w:t>法</w:t>
      </w:r>
      <w:r>
        <w:rPr>
          <w:rFonts w:ascii="宋体" w:hAnsi="宋体" w:cs="宋体" w:eastAsia="宋体" w:hint="default"/>
          <w:spacing w:val="-66"/>
          <w:sz w:val="18"/>
          <w:szCs w:val="18"/>
        </w:rPr>
        <w:t> </w:t>
      </w:r>
      <w:r>
        <w:rPr>
          <w:rFonts w:ascii="宋体" w:hAnsi="宋体" w:cs="宋体" w:eastAsia="宋体" w:hint="default"/>
          <w:sz w:val="18"/>
          <w:szCs w:val="18"/>
        </w:rPr>
        <w:t>规</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规</w:t>
      </w:r>
      <w:r>
        <w:rPr>
          <w:rFonts w:ascii="宋体" w:hAnsi="宋体" w:cs="宋体" w:eastAsia="宋体" w:hint="default"/>
          <w:spacing w:val="-66"/>
          <w:sz w:val="18"/>
          <w:szCs w:val="18"/>
        </w:rPr>
        <w:t> </w:t>
      </w:r>
      <w:r>
        <w:rPr>
          <w:rFonts w:ascii="宋体" w:hAnsi="宋体" w:cs="宋体" w:eastAsia="宋体" w:hint="default"/>
          <w:sz w:val="18"/>
          <w:szCs w:val="18"/>
        </w:rPr>
        <w:t>定</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before="29"/>
        <w:ind w:left="811" w:right="1110" w:firstLine="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66"/>
          <w:sz w:val="18"/>
          <w:szCs w:val="18"/>
        </w:rPr>
        <w:t> </w:t>
      </w:r>
      <w:r>
        <w:rPr>
          <w:rFonts w:ascii="宋体" w:hAnsi="宋体" w:cs="宋体" w:eastAsia="宋体" w:hint="default"/>
          <w:spacing w:val="9"/>
          <w:sz w:val="18"/>
          <w:szCs w:val="18"/>
        </w:rPr>
        <w:t>2009</w:t>
      </w:r>
      <w:r>
        <w:rPr>
          <w:rFonts w:ascii="宋体" w:hAnsi="宋体" w:cs="宋体" w:eastAsia="宋体" w:hint="default"/>
          <w:spacing w:val="36"/>
          <w:sz w:val="18"/>
          <w:szCs w:val="18"/>
        </w:rPr>
        <w:t> </w:t>
      </w:r>
      <w:r>
        <w:rPr>
          <w:rFonts w:ascii="宋体" w:hAnsi="宋体" w:cs="宋体" w:eastAsia="宋体" w:hint="default"/>
          <w:spacing w:val="9"/>
          <w:sz w:val="18"/>
          <w:szCs w:val="18"/>
        </w:rPr>
        <w:t>年度</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66"/>
          <w:sz w:val="18"/>
          <w:szCs w:val="18"/>
        </w:rPr>
        <w:t> </w:t>
      </w:r>
      <w:r>
        <w:rPr>
          <w:rFonts w:ascii="宋体" w:hAnsi="宋体" w:cs="宋体" w:eastAsia="宋体" w:hint="default"/>
          <w:sz w:val="18"/>
          <w:szCs w:val="18"/>
        </w:rPr>
        <w:t>不</w:t>
      </w:r>
      <w:r>
        <w:rPr>
          <w:rFonts w:ascii="宋体" w:hAnsi="宋体" w:cs="宋体" w:eastAsia="宋体" w:hint="default"/>
          <w:spacing w:val="-66"/>
          <w:sz w:val="18"/>
          <w:szCs w:val="18"/>
        </w:rPr>
        <w:t> </w:t>
      </w:r>
      <w:r>
        <w:rPr>
          <w:rFonts w:ascii="宋体" w:hAnsi="宋体" w:cs="宋体" w:eastAsia="宋体" w:hint="default"/>
          <w:sz w:val="18"/>
          <w:szCs w:val="18"/>
        </w:rPr>
        <w:t>存</w:t>
      </w:r>
      <w:r>
        <w:rPr>
          <w:rFonts w:ascii="宋体" w:hAnsi="宋体" w:cs="宋体" w:eastAsia="宋体" w:hint="default"/>
          <w:spacing w:val="-66"/>
          <w:sz w:val="18"/>
          <w:szCs w:val="18"/>
        </w:rPr>
        <w:t> </w:t>
      </w:r>
      <w:r>
        <w:rPr>
          <w:rFonts w:ascii="宋体" w:hAnsi="宋体" w:cs="宋体" w:eastAsia="宋体" w:hint="default"/>
          <w:sz w:val="18"/>
          <w:szCs w:val="18"/>
        </w:rPr>
        <w:t>在</w:t>
      </w:r>
      <w:r>
        <w:rPr>
          <w:rFonts w:ascii="宋体" w:hAnsi="宋体" w:cs="宋体" w:eastAsia="宋体" w:hint="default"/>
          <w:spacing w:val="-66"/>
          <w:sz w:val="18"/>
          <w:szCs w:val="18"/>
        </w:rPr>
        <w:t> </w:t>
      </w:r>
      <w:r>
        <w:rPr>
          <w:rFonts w:ascii="宋体" w:hAnsi="宋体" w:cs="宋体" w:eastAsia="宋体" w:hint="default"/>
          <w:sz w:val="18"/>
          <w:szCs w:val="18"/>
        </w:rPr>
        <w:t>变</w:t>
      </w:r>
      <w:r>
        <w:rPr>
          <w:rFonts w:ascii="宋体" w:hAnsi="宋体" w:cs="宋体" w:eastAsia="宋体" w:hint="default"/>
          <w:spacing w:val="-66"/>
          <w:sz w:val="18"/>
          <w:szCs w:val="18"/>
        </w:rPr>
        <w:t> </w:t>
      </w:r>
      <w:r>
        <w:rPr>
          <w:rFonts w:ascii="宋体" w:hAnsi="宋体" w:cs="宋体" w:eastAsia="宋体" w:hint="default"/>
          <w:sz w:val="18"/>
          <w:szCs w:val="18"/>
        </w:rPr>
        <w:t>更</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项</w:t>
      </w:r>
      <w:r>
        <w:rPr>
          <w:rFonts w:ascii="宋体" w:hAnsi="宋体" w:cs="宋体" w:eastAsia="宋体" w:hint="default"/>
          <w:spacing w:val="-66"/>
          <w:sz w:val="18"/>
          <w:szCs w:val="18"/>
        </w:rPr>
        <w:t> </w:t>
      </w:r>
      <w:r>
        <w:rPr>
          <w:rFonts w:ascii="宋体" w:hAnsi="宋体" w:cs="宋体" w:eastAsia="宋体" w:hint="default"/>
          <w:sz w:val="18"/>
          <w:szCs w:val="18"/>
        </w:rPr>
        <w:t>目</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情</w:t>
      </w:r>
      <w:r>
        <w:rPr>
          <w:rFonts w:ascii="宋体" w:hAnsi="宋体" w:cs="宋体" w:eastAsia="宋体" w:hint="default"/>
          <w:spacing w:val="-66"/>
          <w:sz w:val="18"/>
          <w:szCs w:val="18"/>
        </w:rPr>
        <w:t> </w:t>
      </w:r>
      <w:r>
        <w:rPr>
          <w:rFonts w:ascii="宋体" w:hAnsi="宋体" w:cs="宋体" w:eastAsia="宋体" w:hint="default"/>
          <w:sz w:val="18"/>
          <w:szCs w:val="18"/>
        </w:rPr>
        <w:t>况</w:t>
      </w:r>
      <w:r>
        <w:rPr>
          <w:rFonts w:ascii="宋体" w:hAnsi="宋体" w:cs="宋体" w:eastAsia="宋体" w:hint="default"/>
          <w:spacing w:val="-66"/>
          <w:sz w:val="18"/>
          <w:szCs w:val="18"/>
        </w:rPr>
        <w:t> </w:t>
      </w:r>
      <w:r>
        <w:rPr>
          <w:rFonts w:ascii="宋体" w:hAnsi="宋体" w:cs="宋体" w:eastAsia="宋体" w:hint="default"/>
          <w:sz w:val="18"/>
          <w:szCs w:val="18"/>
        </w:rPr>
        <w:t>；</w:t>
      </w:r>
    </w:p>
    <w:p>
      <w:pPr>
        <w:spacing w:line="357" w:lineRule="auto" w:before="115"/>
        <w:ind w:left="300" w:right="147" w:firstLine="511"/>
        <w:jc w:val="both"/>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64"/>
          <w:sz w:val="18"/>
          <w:szCs w:val="18"/>
        </w:rPr>
        <w:t> </w:t>
      </w:r>
      <w:r>
        <w:rPr>
          <w:rFonts w:ascii="宋体" w:hAnsi="宋体" w:cs="宋体" w:eastAsia="宋体" w:hint="default"/>
          <w:spacing w:val="8"/>
          <w:sz w:val="18"/>
          <w:szCs w:val="18"/>
        </w:rPr>
        <w:t>2009</w:t>
      </w:r>
      <w:r>
        <w:rPr>
          <w:rFonts w:ascii="宋体" w:hAnsi="宋体" w:cs="宋体" w:eastAsia="宋体" w:hint="default"/>
          <w:spacing w:val="-24"/>
          <w:sz w:val="18"/>
          <w:szCs w:val="18"/>
        </w:rPr>
        <w:t> </w:t>
      </w:r>
      <w:r>
        <w:rPr>
          <w:rFonts w:ascii="宋体" w:hAnsi="宋体" w:cs="宋体" w:eastAsia="宋体" w:hint="default"/>
          <w:spacing w:val="9"/>
          <w:sz w:val="18"/>
          <w:szCs w:val="18"/>
        </w:rPr>
        <w:t>年度</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6"/>
          <w:sz w:val="18"/>
          <w:szCs w:val="18"/>
        </w:rPr>
        <w:t> </w:t>
      </w:r>
      <w:r>
        <w:rPr>
          <w:rFonts w:ascii="宋体" w:hAnsi="宋体" w:cs="宋体" w:eastAsia="宋体" w:hint="default"/>
          <w:sz w:val="18"/>
          <w:szCs w:val="18"/>
        </w:rPr>
        <w:t>闲</w:t>
      </w:r>
      <w:r>
        <w:rPr>
          <w:rFonts w:ascii="宋体" w:hAnsi="宋体" w:cs="宋体" w:eastAsia="宋体" w:hint="default"/>
          <w:spacing w:val="-66"/>
          <w:sz w:val="18"/>
          <w:szCs w:val="18"/>
        </w:rPr>
        <w:t> </w:t>
      </w:r>
      <w:r>
        <w:rPr>
          <w:rFonts w:ascii="宋体" w:hAnsi="宋体" w:cs="宋体" w:eastAsia="宋体" w:hint="default"/>
          <w:sz w:val="18"/>
          <w:szCs w:val="18"/>
        </w:rPr>
        <w:t>置</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暂</w:t>
      </w:r>
      <w:r>
        <w:rPr>
          <w:rFonts w:ascii="宋体" w:hAnsi="宋体" w:cs="宋体" w:eastAsia="宋体" w:hint="default"/>
          <w:spacing w:val="-66"/>
          <w:sz w:val="18"/>
          <w:szCs w:val="18"/>
        </w:rPr>
        <w:t> </w:t>
      </w:r>
      <w:r>
        <w:rPr>
          <w:rFonts w:ascii="宋体" w:hAnsi="宋体" w:cs="宋体" w:eastAsia="宋体" w:hint="default"/>
          <w:sz w:val="18"/>
          <w:szCs w:val="18"/>
        </w:rPr>
        <w:t>时</w:t>
      </w:r>
      <w:r>
        <w:rPr>
          <w:rFonts w:ascii="宋体" w:hAnsi="宋体" w:cs="宋体" w:eastAsia="宋体" w:hint="default"/>
          <w:spacing w:val="-64"/>
          <w:sz w:val="18"/>
          <w:szCs w:val="18"/>
        </w:rPr>
        <w:t> </w:t>
      </w:r>
      <w:r>
        <w:rPr>
          <w:rFonts w:ascii="宋体" w:hAnsi="宋体" w:cs="宋体" w:eastAsia="宋体" w:hint="default"/>
          <w:sz w:val="18"/>
          <w:szCs w:val="18"/>
        </w:rPr>
        <w:t>补</w:t>
      </w:r>
      <w:r>
        <w:rPr>
          <w:rFonts w:ascii="宋体" w:hAnsi="宋体" w:cs="宋体" w:eastAsia="宋体" w:hint="default"/>
          <w:spacing w:val="-66"/>
          <w:sz w:val="18"/>
          <w:szCs w:val="18"/>
        </w:rPr>
        <w:t> </w:t>
      </w:r>
      <w:r>
        <w:rPr>
          <w:rFonts w:ascii="宋体" w:hAnsi="宋体" w:cs="宋体" w:eastAsia="宋体" w:hint="default"/>
          <w:sz w:val="18"/>
          <w:szCs w:val="18"/>
        </w:rPr>
        <w:t>充</w:t>
      </w:r>
      <w:r>
        <w:rPr>
          <w:rFonts w:ascii="宋体" w:hAnsi="宋体" w:cs="宋体" w:eastAsia="宋体" w:hint="default"/>
          <w:spacing w:val="-66"/>
          <w:sz w:val="18"/>
          <w:szCs w:val="18"/>
        </w:rPr>
        <w:t> </w:t>
      </w:r>
      <w:r>
        <w:rPr>
          <w:rFonts w:ascii="宋体" w:hAnsi="宋体" w:cs="宋体" w:eastAsia="宋体" w:hint="default"/>
          <w:sz w:val="18"/>
          <w:szCs w:val="18"/>
        </w:rPr>
        <w:t>流</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情</w:t>
      </w:r>
      <w:r>
        <w:rPr>
          <w:rFonts w:ascii="宋体" w:hAnsi="宋体" w:cs="宋体" w:eastAsia="宋体" w:hint="default"/>
          <w:spacing w:val="-66"/>
          <w:sz w:val="18"/>
          <w:szCs w:val="18"/>
        </w:rPr>
        <w:t> </w:t>
      </w:r>
      <w:r>
        <w:rPr>
          <w:rFonts w:ascii="宋体" w:hAnsi="宋体" w:cs="宋体" w:eastAsia="宋体" w:hint="default"/>
          <w:sz w:val="18"/>
          <w:szCs w:val="18"/>
        </w:rPr>
        <w:t>况</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未</w:t>
      </w:r>
      <w:r>
        <w:rPr>
          <w:rFonts w:ascii="宋体" w:hAnsi="宋体" w:cs="宋体" w:eastAsia="宋体" w:hint="default"/>
          <w:spacing w:val="-66"/>
          <w:sz w:val="18"/>
          <w:szCs w:val="18"/>
        </w:rPr>
        <w:t> </w:t>
      </w:r>
      <w:r>
        <w:rPr>
          <w:rFonts w:ascii="宋体" w:hAnsi="宋体" w:cs="宋体" w:eastAsia="宋体" w:hint="default"/>
          <w:sz w:val="18"/>
          <w:szCs w:val="18"/>
        </w:rPr>
        <w:t>改</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6"/>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4"/>
          <w:sz w:val="18"/>
          <w:szCs w:val="18"/>
        </w:rPr>
        <w:t> </w:t>
      </w:r>
      <w:r>
        <w:rPr>
          <w:rFonts w:ascii="宋体" w:hAnsi="宋体" w:cs="宋体" w:eastAsia="宋体" w:hint="default"/>
          <w:sz w:val="18"/>
          <w:szCs w:val="18"/>
        </w:rPr>
        <w:t>途</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未</w:t>
      </w:r>
      <w:r>
        <w:rPr>
          <w:rFonts w:ascii="宋体" w:hAnsi="宋体" w:cs="宋体" w:eastAsia="宋体" w:hint="default"/>
          <w:sz w:val="18"/>
          <w:szCs w:val="18"/>
        </w:rPr>
        <w:t> </w:t>
      </w:r>
      <w:r>
        <w:rPr>
          <w:rFonts w:ascii="宋体" w:hAnsi="宋体" w:cs="宋体" w:eastAsia="宋体" w:hint="default"/>
          <w:spacing w:val="10"/>
          <w:sz w:val="18"/>
          <w:szCs w:val="18"/>
        </w:rPr>
        <w:t>影响</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6"/>
          <w:sz w:val="18"/>
          <w:szCs w:val="18"/>
        </w:rPr>
        <w:t> </w:t>
      </w:r>
      <w:r>
        <w:rPr>
          <w:rFonts w:ascii="宋体" w:hAnsi="宋体" w:cs="宋体" w:eastAsia="宋体" w:hint="default"/>
          <w:sz w:val="18"/>
          <w:szCs w:val="18"/>
        </w:rPr>
        <w:t>划</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正</w:t>
      </w:r>
      <w:r>
        <w:rPr>
          <w:rFonts w:ascii="宋体" w:hAnsi="宋体" w:cs="宋体" w:eastAsia="宋体" w:hint="default"/>
          <w:spacing w:val="-66"/>
          <w:sz w:val="18"/>
          <w:szCs w:val="18"/>
        </w:rPr>
        <w:t> </w:t>
      </w:r>
      <w:r>
        <w:rPr>
          <w:rFonts w:ascii="宋体" w:hAnsi="宋体" w:cs="宋体" w:eastAsia="宋体" w:hint="default"/>
          <w:sz w:val="18"/>
          <w:szCs w:val="18"/>
        </w:rPr>
        <w:t>常</w:t>
      </w:r>
      <w:r>
        <w:rPr>
          <w:rFonts w:ascii="宋体" w:hAnsi="宋体" w:cs="宋体" w:eastAsia="宋体" w:hint="default"/>
          <w:spacing w:val="-64"/>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因</w:t>
      </w:r>
      <w:r>
        <w:rPr>
          <w:rFonts w:ascii="宋体" w:hAnsi="宋体" w:cs="宋体" w:eastAsia="宋体" w:hint="default"/>
          <w:spacing w:val="-64"/>
          <w:sz w:val="18"/>
          <w:szCs w:val="18"/>
        </w:rPr>
        <w:t> </w:t>
      </w:r>
      <w:r>
        <w:rPr>
          <w:rFonts w:ascii="宋体" w:hAnsi="宋体" w:cs="宋体" w:eastAsia="宋体" w:hint="default"/>
          <w:sz w:val="18"/>
          <w:szCs w:val="18"/>
        </w:rPr>
        <w:t>此</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农</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品</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存</w:t>
      </w:r>
      <w:r>
        <w:rPr>
          <w:rFonts w:ascii="宋体" w:hAnsi="宋体" w:cs="宋体" w:eastAsia="宋体" w:hint="default"/>
          <w:spacing w:val="-64"/>
          <w:sz w:val="18"/>
          <w:szCs w:val="18"/>
        </w:rPr>
        <w:t> </w:t>
      </w:r>
      <w:r>
        <w:rPr>
          <w:rFonts w:ascii="宋体" w:hAnsi="宋体" w:cs="宋体" w:eastAsia="宋体" w:hint="default"/>
          <w:sz w:val="18"/>
          <w:szCs w:val="18"/>
        </w:rPr>
        <w:t>放</w:t>
      </w:r>
      <w:r>
        <w:rPr>
          <w:rFonts w:ascii="宋体" w:hAnsi="宋体" w:cs="宋体" w:eastAsia="宋体" w:hint="default"/>
          <w:spacing w:val="-64"/>
          <w:sz w:val="18"/>
          <w:szCs w:val="18"/>
        </w:rPr>
        <w:t> </w:t>
      </w:r>
      <w:r>
        <w:rPr>
          <w:rFonts w:ascii="宋体" w:hAnsi="宋体" w:cs="宋体" w:eastAsia="宋体" w:hint="default"/>
          <w:sz w:val="18"/>
          <w:szCs w:val="18"/>
        </w:rPr>
        <w:t>与</w:t>
      </w:r>
      <w:r>
        <w:rPr>
          <w:rFonts w:ascii="宋体" w:hAnsi="宋体" w:cs="宋体" w:eastAsia="宋体" w:hint="default"/>
          <w:spacing w:val="-66"/>
          <w:sz w:val="18"/>
          <w:szCs w:val="18"/>
        </w:rPr>
        <w:t> </w:t>
      </w:r>
      <w:r>
        <w:rPr>
          <w:rFonts w:ascii="宋体" w:hAnsi="宋体" w:cs="宋体" w:eastAsia="宋体" w:hint="default"/>
          <w:sz w:val="18"/>
          <w:szCs w:val="18"/>
        </w:rPr>
        <w:t>使</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4"/>
          <w:sz w:val="18"/>
          <w:szCs w:val="18"/>
        </w:rPr>
        <w:t> </w:t>
      </w:r>
      <w:r>
        <w:rPr>
          <w:rFonts w:ascii="宋体" w:hAnsi="宋体" w:cs="宋体" w:eastAsia="宋体" w:hint="default"/>
          <w:sz w:val="18"/>
          <w:szCs w:val="18"/>
        </w:rPr>
        <w:t>符</w:t>
      </w:r>
      <w:r>
        <w:rPr>
          <w:rFonts w:ascii="宋体" w:hAnsi="宋体" w:cs="宋体" w:eastAsia="宋体" w:hint="default"/>
          <w:spacing w:val="-66"/>
          <w:sz w:val="18"/>
          <w:szCs w:val="18"/>
        </w:rPr>
        <w:t> </w:t>
      </w:r>
      <w:r>
        <w:rPr>
          <w:rFonts w:ascii="宋体" w:hAnsi="宋体" w:cs="宋体" w:eastAsia="宋体" w:hint="default"/>
          <w:sz w:val="18"/>
          <w:szCs w:val="18"/>
        </w:rPr>
        <w:t>合</w:t>
      </w:r>
      <w:r>
        <w:rPr>
          <w:rFonts w:ascii="宋体" w:hAnsi="宋体" w:cs="宋体" w:eastAsia="宋体" w:hint="default"/>
          <w:spacing w:val="-64"/>
          <w:sz w:val="18"/>
          <w:szCs w:val="18"/>
        </w:rPr>
        <w:t> </w:t>
      </w:r>
      <w:r>
        <w:rPr>
          <w:rFonts w:ascii="宋体" w:hAnsi="宋体" w:cs="宋体" w:eastAsia="宋体" w:hint="default"/>
          <w:sz w:val="18"/>
          <w:szCs w:val="18"/>
        </w:rPr>
        <w:t>相</w:t>
      </w:r>
      <w:r>
        <w:rPr>
          <w:rFonts w:ascii="宋体" w:hAnsi="宋体" w:cs="宋体" w:eastAsia="宋体" w:hint="default"/>
          <w:spacing w:val="-64"/>
          <w:sz w:val="18"/>
          <w:szCs w:val="18"/>
        </w:rPr>
        <w:t> </w:t>
      </w:r>
      <w:r>
        <w:rPr>
          <w:rFonts w:ascii="宋体" w:hAnsi="宋体" w:cs="宋体" w:eastAsia="宋体" w:hint="default"/>
          <w:sz w:val="18"/>
          <w:szCs w:val="18"/>
        </w:rPr>
        <w:t>关</w:t>
      </w:r>
      <w:r>
        <w:rPr>
          <w:rFonts w:ascii="宋体" w:hAnsi="宋体" w:cs="宋体" w:eastAsia="宋体" w:hint="default"/>
          <w:spacing w:val="-66"/>
          <w:sz w:val="18"/>
          <w:szCs w:val="18"/>
        </w:rPr>
        <w:t> </w:t>
      </w:r>
      <w:r>
        <w:rPr>
          <w:rFonts w:ascii="宋体" w:hAnsi="宋体" w:cs="宋体" w:eastAsia="宋体" w:hint="default"/>
          <w:sz w:val="18"/>
          <w:szCs w:val="18"/>
        </w:rPr>
        <w:t>规</w:t>
      </w:r>
      <w:r>
        <w:rPr>
          <w:rFonts w:ascii="宋体" w:hAnsi="宋体" w:cs="宋体" w:eastAsia="宋体" w:hint="default"/>
          <w:spacing w:val="-64"/>
          <w:sz w:val="18"/>
          <w:szCs w:val="18"/>
        </w:rPr>
        <w:t> </w:t>
      </w:r>
      <w:r>
        <w:rPr>
          <w:rFonts w:ascii="宋体" w:hAnsi="宋体" w:cs="宋体" w:eastAsia="宋体" w:hint="default"/>
          <w:sz w:val="18"/>
          <w:szCs w:val="18"/>
        </w:rPr>
        <w:t>定</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不</w:t>
      </w:r>
      <w:r>
        <w:rPr>
          <w:rFonts w:ascii="宋体" w:hAnsi="宋体" w:cs="宋体" w:eastAsia="宋体" w:hint="default"/>
          <w:spacing w:val="-64"/>
          <w:sz w:val="18"/>
          <w:szCs w:val="18"/>
        </w:rPr>
        <w:t> </w:t>
      </w:r>
      <w:r>
        <w:rPr>
          <w:rFonts w:ascii="宋体" w:hAnsi="宋体" w:cs="宋体" w:eastAsia="宋体" w:hint="default"/>
          <w:sz w:val="18"/>
          <w:szCs w:val="18"/>
        </w:rPr>
        <w:t>存</w:t>
      </w:r>
      <w:r>
        <w:rPr>
          <w:rFonts w:ascii="宋体" w:hAnsi="宋体" w:cs="宋体" w:eastAsia="宋体" w:hint="default"/>
          <w:sz w:val="18"/>
          <w:szCs w:val="18"/>
        </w:rPr>
        <w:t> </w:t>
      </w:r>
      <w:r>
        <w:rPr>
          <w:rFonts w:ascii="宋体" w:hAnsi="宋体" w:cs="宋体" w:eastAsia="宋体" w:hint="default"/>
          <w:spacing w:val="9"/>
          <w:sz w:val="18"/>
          <w:szCs w:val="18"/>
        </w:rPr>
        <w:t>在募</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管</w:t>
      </w:r>
      <w:r>
        <w:rPr>
          <w:rFonts w:ascii="宋体" w:hAnsi="宋体" w:cs="宋体" w:eastAsia="宋体" w:hint="default"/>
          <w:spacing w:val="-66"/>
          <w:sz w:val="18"/>
          <w:szCs w:val="18"/>
        </w:rPr>
        <w:t> </w:t>
      </w:r>
      <w:r>
        <w:rPr>
          <w:rFonts w:ascii="宋体" w:hAnsi="宋体" w:cs="宋体" w:eastAsia="宋体" w:hint="default"/>
          <w:sz w:val="18"/>
          <w:szCs w:val="18"/>
        </w:rPr>
        <w:t>理</w:t>
      </w:r>
      <w:r>
        <w:rPr>
          <w:rFonts w:ascii="宋体" w:hAnsi="宋体" w:cs="宋体" w:eastAsia="宋体" w:hint="default"/>
          <w:spacing w:val="-66"/>
          <w:sz w:val="18"/>
          <w:szCs w:val="18"/>
        </w:rPr>
        <w:t> </w:t>
      </w:r>
      <w:r>
        <w:rPr>
          <w:rFonts w:ascii="宋体" w:hAnsi="宋体" w:cs="宋体" w:eastAsia="宋体" w:hint="default"/>
          <w:sz w:val="18"/>
          <w:szCs w:val="18"/>
        </w:rPr>
        <w:t>违</w:t>
      </w:r>
      <w:r>
        <w:rPr>
          <w:rFonts w:ascii="宋体" w:hAnsi="宋体" w:cs="宋体" w:eastAsia="宋体" w:hint="default"/>
          <w:spacing w:val="-66"/>
          <w:sz w:val="18"/>
          <w:szCs w:val="18"/>
        </w:rPr>
        <w:t> </w:t>
      </w:r>
      <w:r>
        <w:rPr>
          <w:rFonts w:ascii="宋体" w:hAnsi="宋体" w:cs="宋体" w:eastAsia="宋体" w:hint="default"/>
          <w:sz w:val="18"/>
          <w:szCs w:val="18"/>
        </w:rPr>
        <w:t>规</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z w:val="18"/>
          <w:szCs w:val="18"/>
        </w:rPr>
        <w:t>为</w:t>
      </w:r>
      <w:r>
        <w:rPr>
          <w:rFonts w:ascii="宋体" w:hAnsi="宋体" w:cs="宋体" w:eastAsia="宋体" w:hint="default"/>
          <w:spacing w:val="-69"/>
          <w:sz w:val="18"/>
          <w:szCs w:val="18"/>
        </w:rPr>
        <w:t> </w:t>
      </w:r>
      <w:r>
        <w:rPr>
          <w:rFonts w:ascii="宋体" w:hAnsi="宋体" w:cs="宋体" w:eastAsia="宋体" w:hint="default"/>
          <w:spacing w:val="-35"/>
          <w:sz w:val="18"/>
          <w:szCs w:val="18"/>
        </w:rPr>
        <w:t>。”</w:t>
      </w:r>
    </w:p>
    <w:p>
      <w:pPr>
        <w:spacing w:line="240" w:lineRule="auto" w:before="0"/>
        <w:rPr>
          <w:rFonts w:ascii="宋体" w:hAnsi="宋体" w:cs="宋体" w:eastAsia="宋体" w:hint="default"/>
          <w:sz w:val="18"/>
          <w:szCs w:val="18"/>
        </w:rPr>
      </w:pPr>
    </w:p>
    <w:p>
      <w:pPr>
        <w:spacing w:line="268" w:lineRule="auto" w:before="134"/>
        <w:ind w:left="780" w:right="266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二、非募集资金投资项目情况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1、增资南昌深圳农产品中心批发市场有限公司项目</w:t>
      </w:r>
    </w:p>
    <w:p>
      <w:pPr>
        <w:pStyle w:val="BodyText"/>
        <w:spacing w:line="357" w:lineRule="auto" w:before="125"/>
        <w:ind w:right="105" w:firstLine="480"/>
        <w:jc w:val="both"/>
      </w:pPr>
      <w:r>
        <w:rPr>
          <w:spacing w:val="-2"/>
        </w:rPr>
        <w:t>2009年2月18日，公司第五届董事会第十九次会议审议通过了《关于增资南昌</w:t>
      </w:r>
      <w:r>
        <w:rPr/>
        <w:t> 深圳农产品中心批发市场有限公司的议案》。为解决南昌市场公司二期建设所需 </w:t>
      </w:r>
      <w:r>
        <w:rPr>
          <w:spacing w:val="-2"/>
        </w:rPr>
        <w:t>要的资金，同意公司按现有股权比例增资1,938万元。增资完成后，南昌市场公司</w:t>
      </w:r>
      <w:r>
        <w:rPr>
          <w:spacing w:val="-107"/>
        </w:rPr>
        <w:t> </w:t>
      </w:r>
      <w:r>
        <w:rPr>
          <w:spacing w:val="-107"/>
        </w:rPr>
      </w:r>
      <w:r>
        <w:rPr>
          <w:spacing w:val="-2"/>
        </w:rPr>
        <w:t>注册资金变更为8,000万元。（详见2008年年度报告）截至审计报告日，增资已完</w:t>
      </w:r>
      <w:r>
        <w:rPr>
          <w:spacing w:val="-103"/>
        </w:rPr>
        <w:t> </w:t>
      </w:r>
      <w:r>
        <w:rPr>
          <w:spacing w:val="-103"/>
        </w:rPr>
      </w:r>
      <w:r>
        <w:rPr/>
        <w:t>成。</w:t>
      </w:r>
    </w:p>
    <w:p>
      <w:pPr>
        <w:pStyle w:val="BodyText"/>
        <w:spacing w:line="240" w:lineRule="auto" w:before="113"/>
        <w:ind w:left="780" w:right="1110"/>
        <w:jc w:val="left"/>
      </w:pPr>
      <w:r>
        <w:rPr/>
        <w:t>2、成立新柳邕农产品批发市场有限公司项目</w:t>
      </w:r>
    </w:p>
    <w:p>
      <w:pPr>
        <w:pStyle w:val="BodyText"/>
        <w:spacing w:line="357" w:lineRule="auto" w:before="154"/>
        <w:ind w:right="105" w:firstLine="480"/>
        <w:jc w:val="both"/>
      </w:pPr>
      <w:r>
        <w:rPr/>
        <w:t>2009</w:t>
      </w:r>
      <w:r>
        <w:rPr>
          <w:spacing w:val="-58"/>
        </w:rPr>
        <w:t> </w:t>
      </w:r>
      <w:r>
        <w:rPr/>
        <w:t>年</w:t>
      </w:r>
      <w:r>
        <w:rPr>
          <w:spacing w:val="-58"/>
        </w:rPr>
        <w:t> </w:t>
      </w:r>
      <w:r>
        <w:rPr/>
        <w:t>7</w:t>
      </w:r>
      <w:r>
        <w:rPr>
          <w:spacing w:val="-58"/>
        </w:rPr>
        <w:t> </w:t>
      </w:r>
      <w:r>
        <w:rPr/>
        <w:t>月</w:t>
      </w:r>
      <w:r>
        <w:rPr>
          <w:spacing w:val="-58"/>
        </w:rPr>
        <w:t> </w:t>
      </w:r>
      <w:r>
        <w:rPr/>
        <w:t>13</w:t>
      </w:r>
      <w:r>
        <w:rPr>
          <w:spacing w:val="-58"/>
        </w:rPr>
        <w:t> </w:t>
      </w:r>
      <w:r>
        <w:rPr>
          <w:spacing w:val="-5"/>
        </w:rPr>
        <w:t>日，公司第五届董事会第二十三次会议审议通过了《关于成立</w:t>
      </w:r>
      <w:r>
        <w:rPr/>
        <w:t> 新柳邕农产品批发市场有限公司（暂定名）的议案》，公司与柳州市商贸控股有</w:t>
      </w:r>
      <w:r>
        <w:rPr>
          <w:spacing w:val="-91"/>
        </w:rPr>
        <w:t> </w:t>
      </w:r>
      <w:r>
        <w:rPr>
          <w:spacing w:val="-91"/>
        </w:rPr>
      </w:r>
      <w:r>
        <w:rPr/>
        <w:t>限公司共同组建新柳邕农产品批发市场有限公司（暂定名），注册资本为 1.5</w:t>
      </w:r>
      <w:r>
        <w:rPr>
          <w:spacing w:val="-94"/>
        </w:rPr>
        <w:t> </w:t>
      </w:r>
      <w:r>
        <w:rPr/>
        <w:t>亿</w:t>
      </w:r>
    </w:p>
    <w:p>
      <w:pPr>
        <w:pStyle w:val="BodyText"/>
        <w:spacing w:line="240" w:lineRule="auto"/>
        <w:ind w:right="0"/>
        <w:jc w:val="left"/>
      </w:pPr>
      <w:r>
        <w:rPr>
          <w:spacing w:val="-10"/>
        </w:rPr>
        <w:t>元，其中公司出资</w:t>
      </w:r>
      <w:r>
        <w:rPr>
          <w:spacing w:val="-56"/>
        </w:rPr>
        <w:t> </w:t>
      </w:r>
      <w:r>
        <w:rPr/>
        <w:t>9750</w:t>
      </w:r>
      <w:r>
        <w:rPr>
          <w:spacing w:val="-56"/>
        </w:rPr>
        <w:t> </w:t>
      </w:r>
      <w:r>
        <w:rPr>
          <w:spacing w:val="-11"/>
        </w:rPr>
        <w:t>万元（股权比例</w:t>
      </w:r>
      <w:r>
        <w:rPr>
          <w:spacing w:val="-56"/>
        </w:rPr>
        <w:t> </w:t>
      </w:r>
      <w:r>
        <w:rPr>
          <w:spacing w:val="-9"/>
        </w:rPr>
        <w:t>65%），柳州市商贸控股有限公司出资</w:t>
      </w:r>
      <w:r>
        <w:rPr>
          <w:spacing w:val="-59"/>
        </w:rPr>
        <w:t> </w:t>
      </w:r>
      <w:r>
        <w:rPr/>
        <w:t>5250</w:t>
      </w:r>
    </w:p>
    <w:p>
      <w:pPr>
        <w:pStyle w:val="BodyText"/>
        <w:spacing w:line="240" w:lineRule="auto" w:before="154"/>
        <w:ind w:right="0"/>
        <w:jc w:val="left"/>
      </w:pPr>
      <w:r>
        <w:rPr>
          <w:spacing w:val="-3"/>
        </w:rPr>
        <w:t>万元（股权比例</w:t>
      </w:r>
      <w:r>
        <w:rPr>
          <w:spacing w:val="-57"/>
        </w:rPr>
        <w:t> </w:t>
      </w:r>
      <w:r>
        <w:rPr>
          <w:spacing w:val="-6"/>
        </w:rPr>
        <w:t>35%）。（详见</w:t>
      </w:r>
      <w:r>
        <w:rPr>
          <w:spacing w:val="-60"/>
        </w:rPr>
        <w:t> </w:t>
      </w:r>
      <w:r>
        <w:rPr/>
        <w:t>2009</w:t>
      </w:r>
      <w:r>
        <w:rPr>
          <w:spacing w:val="-57"/>
        </w:rPr>
        <w:t> </w:t>
      </w:r>
      <w:r>
        <w:rPr/>
        <w:t>年</w:t>
      </w:r>
      <w:r>
        <w:rPr>
          <w:spacing w:val="-57"/>
        </w:rPr>
        <w:t> </w:t>
      </w:r>
      <w:r>
        <w:rPr/>
        <w:t>7</w:t>
      </w:r>
      <w:r>
        <w:rPr>
          <w:spacing w:val="-57"/>
        </w:rPr>
        <w:t> </w:t>
      </w:r>
      <w:r>
        <w:rPr/>
        <w:t>月</w:t>
      </w:r>
      <w:r>
        <w:rPr>
          <w:spacing w:val="-57"/>
        </w:rPr>
        <w:t> </w:t>
      </w:r>
      <w:r>
        <w:rPr/>
        <w:t>15</w:t>
      </w:r>
      <w:r>
        <w:rPr>
          <w:spacing w:val="-57"/>
        </w:rPr>
        <w:t> </w:t>
      </w:r>
      <w:r>
        <w:rPr>
          <w:spacing w:val="-5"/>
        </w:rPr>
        <w:t>日刊登在《证券时报》、《中国证</w:t>
      </w:r>
    </w:p>
    <w:p>
      <w:pPr>
        <w:spacing w:after="0" w:line="240" w:lineRule="auto"/>
        <w:jc w:val="left"/>
        <w:sectPr>
          <w:headerReference w:type="default" r:id="rId95"/>
          <w:footerReference w:type="default" r:id="rId96"/>
          <w:pgSz w:w="11910" w:h="16840"/>
          <w:pgMar w:header="0" w:footer="1095" w:top="1140" w:bottom="1280" w:left="1680" w:right="1360"/>
          <w:pgNumType w:start="51"/>
        </w:sectPr>
      </w:pPr>
    </w:p>
    <w:p>
      <w:pPr>
        <w:pStyle w:val="BodyText"/>
        <w:spacing w:line="357" w:lineRule="auto" w:before="13"/>
        <w:ind w:right="368"/>
        <w:jc w:val="left"/>
      </w:pPr>
      <w:r>
        <w:rPr/>
        <w:t>券报》、《上海证券报》、《证券日报》及巨潮资讯网上的公司公告）截至审计</w:t>
      </w:r>
      <w:r>
        <w:rPr>
          <w:spacing w:val="-91"/>
        </w:rPr>
        <w:t> </w:t>
      </w:r>
      <w:r>
        <w:rPr>
          <w:spacing w:val="-91"/>
        </w:rPr>
      </w:r>
      <w:r>
        <w:rPr/>
        <w:t>报告日，公司已成立。</w:t>
      </w:r>
    </w:p>
    <w:p>
      <w:pPr>
        <w:pStyle w:val="BodyText"/>
        <w:spacing w:line="274" w:lineRule="exact" w:before="0"/>
        <w:ind w:left="780" w:right="368"/>
        <w:jc w:val="left"/>
      </w:pPr>
      <w:r>
        <w:rPr/>
        <w:t>3、成立宁夏海吉星国际农产品物流有限公司项目</w:t>
      </w:r>
    </w:p>
    <w:p>
      <w:pPr>
        <w:pStyle w:val="BodyText"/>
        <w:spacing w:line="357" w:lineRule="auto" w:before="154"/>
        <w:ind w:right="465" w:firstLine="480"/>
        <w:jc w:val="both"/>
      </w:pPr>
      <w:r>
        <w:rPr/>
        <w:t>2009</w:t>
      </w:r>
      <w:r>
        <w:rPr>
          <w:spacing w:val="-60"/>
        </w:rPr>
        <w:t> </w:t>
      </w:r>
      <w:r>
        <w:rPr/>
        <w:t>年</w:t>
      </w:r>
      <w:r>
        <w:rPr>
          <w:spacing w:val="-60"/>
        </w:rPr>
        <w:t> </w:t>
      </w:r>
      <w:r>
        <w:rPr/>
        <w:t>10</w:t>
      </w:r>
      <w:r>
        <w:rPr>
          <w:spacing w:val="-60"/>
        </w:rPr>
        <w:t> </w:t>
      </w:r>
      <w:r>
        <w:rPr/>
        <w:t>月</w:t>
      </w:r>
      <w:r>
        <w:rPr>
          <w:spacing w:val="-60"/>
        </w:rPr>
        <w:t> </w:t>
      </w:r>
      <w:r>
        <w:rPr/>
        <w:t>10</w:t>
      </w:r>
      <w:r>
        <w:rPr>
          <w:spacing w:val="-60"/>
        </w:rPr>
        <w:t> </w:t>
      </w:r>
      <w:r>
        <w:rPr/>
        <w:t>日，公司第五届董事会第二十五次会议审议通过了《关于成</w:t>
      </w:r>
      <w:r>
        <w:rPr/>
        <w:t> 立宁夏海吉星国际农产品物流有限公司（暂定名）的议案》，公司和宁夏土木基</w:t>
      </w:r>
      <w:r>
        <w:rPr>
          <w:spacing w:val="-91"/>
        </w:rPr>
        <w:t> </w:t>
      </w:r>
      <w:r>
        <w:rPr>
          <w:spacing w:val="-91"/>
        </w:rPr>
      </w:r>
      <w:r>
        <w:rPr>
          <w:spacing w:val="7"/>
        </w:rPr>
        <w:t>业房地产开发有限公司共同出资成立宁夏海吉星国际农产品物流中心有限公司</w:t>
      </w:r>
    </w:p>
    <w:p>
      <w:pPr>
        <w:pStyle w:val="BodyText"/>
        <w:spacing w:line="357" w:lineRule="auto"/>
        <w:ind w:right="465" w:hanging="120"/>
        <w:jc w:val="both"/>
      </w:pPr>
      <w:r>
        <w:rPr>
          <w:spacing w:val="-8"/>
          <w:w w:val="93"/>
        </w:rPr>
        <w:t>（暂定名），注册资本为</w:t>
      </w:r>
      <w:r>
        <w:rPr>
          <w:spacing w:val="-40"/>
          <w:w w:val="93"/>
        </w:rPr>
        <w:t> </w:t>
      </w:r>
      <w:r>
        <w:rPr/>
        <w:t>12,000</w:t>
      </w:r>
      <w:r>
        <w:rPr>
          <w:spacing w:val="-58"/>
        </w:rPr>
        <w:t> </w:t>
      </w:r>
      <w:r>
        <w:rPr/>
        <w:t>万元(人民币),</w:t>
      </w:r>
      <w:r>
        <w:rPr>
          <w:spacing w:val="5"/>
        </w:rPr>
        <w:t> </w:t>
      </w:r>
      <w:r>
        <w:rPr/>
        <w:t>双方均以现金出资,公司出资</w:t>
      </w:r>
      <w:r>
        <w:rPr>
          <w:spacing w:val="-58"/>
        </w:rPr>
        <w:t> </w:t>
      </w:r>
      <w:r>
        <w:rPr/>
        <w:t>8,400</w:t>
      </w:r>
      <w:r>
        <w:rPr/>
        <w:t> </w:t>
      </w:r>
      <w:r>
        <w:rPr>
          <w:spacing w:val="-6"/>
        </w:rPr>
        <w:t>万元，占</w:t>
      </w:r>
      <w:r>
        <w:rPr>
          <w:spacing w:val="-65"/>
        </w:rPr>
        <w:t> </w:t>
      </w:r>
      <w:r>
        <w:rPr/>
        <w:t>70%股权, 宁夏土木基业房地产开发有限公司出资</w:t>
      </w:r>
      <w:r>
        <w:rPr>
          <w:spacing w:val="-60"/>
        </w:rPr>
        <w:t> </w:t>
      </w:r>
      <w:r>
        <w:rPr/>
        <w:t>3,600</w:t>
      </w:r>
      <w:r>
        <w:rPr>
          <w:spacing w:val="-60"/>
        </w:rPr>
        <w:t> </w:t>
      </w:r>
      <w:r>
        <w:rPr>
          <w:spacing w:val="-6"/>
        </w:rPr>
        <w:t>万元，占</w:t>
      </w:r>
      <w:r>
        <w:rPr>
          <w:spacing w:val="-68"/>
        </w:rPr>
        <w:t> </w:t>
      </w:r>
      <w:r>
        <w:rPr/>
        <w:t>30%股</w:t>
      </w:r>
      <w:r>
        <w:rPr/>
        <w:t> </w:t>
      </w:r>
      <w:r>
        <w:rPr>
          <w:spacing w:val="-3"/>
        </w:rPr>
        <w:t>权。（详见</w:t>
      </w:r>
      <w:r>
        <w:rPr>
          <w:spacing w:val="-57"/>
        </w:rPr>
        <w:t> </w:t>
      </w:r>
      <w:r>
        <w:rPr/>
        <w:t>2009</w:t>
      </w:r>
      <w:r>
        <w:rPr>
          <w:spacing w:val="-57"/>
        </w:rPr>
        <w:t> </w:t>
      </w:r>
      <w:r>
        <w:rPr/>
        <w:t>年</w:t>
      </w:r>
      <w:r>
        <w:rPr>
          <w:spacing w:val="-57"/>
        </w:rPr>
        <w:t> </w:t>
      </w:r>
      <w:r>
        <w:rPr/>
        <w:t>10</w:t>
      </w:r>
      <w:r>
        <w:rPr>
          <w:spacing w:val="-57"/>
        </w:rPr>
        <w:t> </w:t>
      </w:r>
      <w:r>
        <w:rPr/>
        <w:t>月</w:t>
      </w:r>
      <w:r>
        <w:rPr>
          <w:spacing w:val="-57"/>
        </w:rPr>
        <w:t> </w:t>
      </w:r>
      <w:r>
        <w:rPr/>
        <w:t>13</w:t>
      </w:r>
      <w:r>
        <w:rPr>
          <w:spacing w:val="-57"/>
        </w:rPr>
        <w:t> </w:t>
      </w:r>
      <w:r>
        <w:rPr>
          <w:spacing w:val="-3"/>
        </w:rPr>
        <w:t>日刊登在《证券时报》、《中国证券报》、《上海证</w:t>
      </w:r>
      <w:r>
        <w:rPr/>
        <w:t> 券报》、《证券日报》及巨潮资讯网上的公司公告）截至审计报告日，公司已成 立。</w:t>
      </w:r>
    </w:p>
    <w:p>
      <w:pPr>
        <w:pStyle w:val="BodyText"/>
        <w:spacing w:line="240" w:lineRule="auto" w:before="113"/>
        <w:ind w:left="780" w:right="3701"/>
        <w:jc w:val="left"/>
      </w:pPr>
      <w:r>
        <w:rPr/>
        <w:t>4、成立长春海吉星农产品物流有限公司项目</w:t>
      </w:r>
    </w:p>
    <w:p>
      <w:pPr>
        <w:pStyle w:val="BodyText"/>
        <w:spacing w:line="357" w:lineRule="auto" w:before="154"/>
        <w:ind w:right="465" w:firstLine="480"/>
        <w:jc w:val="both"/>
      </w:pPr>
      <w:r>
        <w:rPr/>
        <w:t>2009</w:t>
      </w:r>
      <w:r>
        <w:rPr>
          <w:spacing w:val="-58"/>
        </w:rPr>
        <w:t> </w:t>
      </w:r>
      <w:r>
        <w:rPr/>
        <w:t>年</w:t>
      </w:r>
      <w:r>
        <w:rPr>
          <w:spacing w:val="-58"/>
        </w:rPr>
        <w:t> </w:t>
      </w:r>
      <w:r>
        <w:rPr/>
        <w:t>12</w:t>
      </w:r>
      <w:r>
        <w:rPr>
          <w:spacing w:val="-58"/>
        </w:rPr>
        <w:t> </w:t>
      </w:r>
      <w:r>
        <w:rPr/>
        <w:t>月</w:t>
      </w:r>
      <w:r>
        <w:rPr>
          <w:spacing w:val="-58"/>
        </w:rPr>
        <w:t> </w:t>
      </w:r>
      <w:r>
        <w:rPr/>
        <w:t>1</w:t>
      </w:r>
      <w:r>
        <w:rPr>
          <w:spacing w:val="-58"/>
        </w:rPr>
        <w:t> </w:t>
      </w:r>
      <w:r>
        <w:rPr>
          <w:spacing w:val="-5"/>
        </w:rPr>
        <w:t>日，公司第五届董事会第二十七次会议审议通过了《关于成立</w:t>
      </w:r>
      <w:r>
        <w:rPr/>
        <w:t> 长春海吉星农产品物流有限公司（暂定名）的议案》，公司与长春东方纺织集团</w:t>
      </w:r>
      <w:r>
        <w:rPr>
          <w:spacing w:val="-91"/>
        </w:rPr>
        <w:t> </w:t>
      </w:r>
      <w:r>
        <w:rPr>
          <w:spacing w:val="-91"/>
        </w:rPr>
      </w:r>
      <w:r>
        <w:rPr/>
        <w:t>有限公司（简称“东纺集团”）、长春市国有资本投资经营有限公司（简称“国</w:t>
      </w:r>
      <w:r>
        <w:rPr>
          <w:spacing w:val="-93"/>
        </w:rPr>
        <w:t> </w:t>
      </w:r>
      <w:r>
        <w:rPr>
          <w:spacing w:val="-93"/>
        </w:rPr>
      </w:r>
      <w:r>
        <w:rPr/>
        <w:t>投公司”）、吉林省鑫合国际贸易有限公司（简称“鑫合贸易”）共同出资成立</w:t>
      </w:r>
      <w:r>
        <w:rPr>
          <w:spacing w:val="-95"/>
        </w:rPr>
        <w:t> </w:t>
      </w:r>
      <w:r>
        <w:rPr>
          <w:spacing w:val="-95"/>
        </w:rPr>
      </w:r>
      <w:r>
        <w:rPr/>
        <w:t>长春海吉星农产品物流有限公司（暂定名，简称“长春海吉星”），出资分两步</w:t>
      </w:r>
      <w:r>
        <w:rPr>
          <w:spacing w:val="-95"/>
        </w:rPr>
        <w:t> </w:t>
      </w:r>
      <w:r>
        <w:rPr>
          <w:spacing w:val="-95"/>
        </w:rPr>
      </w:r>
      <w:r>
        <w:rPr/>
        <w:t>进行：</w:t>
      </w:r>
    </w:p>
    <w:p>
      <w:pPr>
        <w:pStyle w:val="BodyText"/>
        <w:spacing w:line="357" w:lineRule="auto"/>
        <w:ind w:right="490" w:firstLine="480"/>
        <w:jc w:val="right"/>
      </w:pPr>
      <w:r>
        <w:rPr/>
        <w:t>第一步，先由本公司、国投公司、鑫合贸易三方以现金出资，成立注册资本 为 4,000</w:t>
      </w:r>
      <w:r>
        <w:rPr>
          <w:spacing w:val="-93"/>
        </w:rPr>
        <w:t> </w:t>
      </w:r>
      <w:r>
        <w:rPr/>
        <w:t>万元（人民币，下同）的新公司即长春海吉星，东纺集团将《出资协议</w:t>
      </w:r>
      <w:r>
        <w:rPr/>
        <w:t> 书》和《合作协议书》约定的相关合作资产确权并将其过户到长春海吉星名下； 第二步：待上述第一步所约定的相关合作资产确权并过户至长春海吉星名下 </w:t>
      </w:r>
      <w:r>
        <w:rPr>
          <w:spacing w:val="5"/>
        </w:rPr>
        <w:t>后，各方再以现金或固定资产按约定比例增资，最终长春海吉星注册资本增至</w:t>
      </w:r>
    </w:p>
    <w:p>
      <w:pPr>
        <w:pStyle w:val="BodyText"/>
        <w:spacing w:line="240" w:lineRule="auto"/>
        <w:ind w:right="3701"/>
        <w:jc w:val="left"/>
      </w:pPr>
      <w:r>
        <w:rPr/>
        <w:t>12000</w:t>
      </w:r>
      <w:r>
        <w:rPr>
          <w:spacing w:val="-60"/>
        </w:rPr>
        <w:t> </w:t>
      </w:r>
      <w:r>
        <w:rPr/>
        <w:t>万元。</w:t>
      </w:r>
    </w:p>
    <w:p>
      <w:pPr>
        <w:pStyle w:val="BodyText"/>
        <w:spacing w:line="240" w:lineRule="auto" w:before="154"/>
        <w:ind w:left="780" w:right="3701"/>
        <w:jc w:val="left"/>
      </w:pPr>
      <w:r>
        <w:rPr/>
        <w:t>各方股东及股份构成情况为：</w:t>
      </w:r>
    </w:p>
    <w:p>
      <w:pPr>
        <w:spacing w:line="240" w:lineRule="auto" w:before="8"/>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188"/>
        <w:gridCol w:w="2215"/>
        <w:gridCol w:w="1440"/>
        <w:gridCol w:w="1620"/>
        <w:gridCol w:w="1354"/>
        <w:gridCol w:w="1094"/>
      </w:tblGrid>
      <w:tr>
        <w:trPr>
          <w:trHeight w:val="958" w:hRule="exact"/>
        </w:trPr>
        <w:tc>
          <w:tcPr>
            <w:tcW w:w="118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出资方</w:t>
            </w:r>
          </w:p>
        </w:tc>
        <w:tc>
          <w:tcPr>
            <w:tcW w:w="221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3"/>
              <w:jc w:val="center"/>
              <w:rPr>
                <w:rFonts w:ascii="宋体" w:hAnsi="宋体" w:cs="宋体" w:eastAsia="宋体" w:hint="default"/>
                <w:sz w:val="21"/>
                <w:szCs w:val="21"/>
              </w:rPr>
            </w:pPr>
            <w:r>
              <w:rPr>
                <w:rFonts w:ascii="宋体" w:hAnsi="宋体" w:cs="宋体" w:eastAsia="宋体" w:hint="default"/>
                <w:spacing w:val="10"/>
                <w:w w:val="95"/>
                <w:sz w:val="21"/>
                <w:szCs w:val="21"/>
              </w:rPr>
              <w:t>第一步出资额（万元）</w:t>
            </w:r>
            <w:r>
              <w:rPr>
                <w:rFonts w:ascii="宋体" w:hAnsi="宋体" w:cs="宋体" w:eastAsia="宋体" w:hint="default"/>
                <w:spacing w:val="10"/>
                <w:sz w:val="21"/>
                <w:szCs w:val="21"/>
              </w:rPr>
            </w:r>
          </w:p>
        </w:tc>
        <w:tc>
          <w:tcPr>
            <w:tcW w:w="14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出资比例</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20" w:type="dxa"/>
            <w:tcBorders>
              <w:top w:val="single" w:sz="8" w:space="0" w:color="000008"/>
              <w:left w:val="single" w:sz="8" w:space="0" w:color="000008"/>
              <w:bottom w:val="single" w:sz="8" w:space="0" w:color="000008"/>
              <w:right w:val="single" w:sz="8" w:space="0" w:color="000008"/>
            </w:tcBorders>
          </w:tcPr>
          <w:p>
            <w:pPr>
              <w:pStyle w:val="TableParagraph"/>
              <w:spacing w:line="408" w:lineRule="auto" w:before="66"/>
              <w:ind w:left="170" w:right="166"/>
              <w:jc w:val="left"/>
              <w:rPr>
                <w:rFonts w:ascii="宋体" w:hAnsi="宋体" w:cs="宋体" w:eastAsia="宋体" w:hint="default"/>
                <w:sz w:val="21"/>
                <w:szCs w:val="21"/>
              </w:rPr>
            </w:pPr>
            <w:r>
              <w:rPr>
                <w:rFonts w:ascii="宋体" w:hAnsi="宋体" w:cs="宋体" w:eastAsia="宋体" w:hint="default"/>
                <w:sz w:val="21"/>
                <w:szCs w:val="21"/>
              </w:rPr>
              <w:t>第二步各方增</w:t>
            </w:r>
            <w:r>
              <w:rPr>
                <w:rFonts w:ascii="宋体" w:hAnsi="宋体" w:cs="宋体" w:eastAsia="宋体" w:hint="default"/>
                <w:w w:val="100"/>
                <w:sz w:val="21"/>
                <w:szCs w:val="21"/>
              </w:rPr>
              <w:t> </w:t>
            </w:r>
            <w:r>
              <w:rPr>
                <w:rFonts w:ascii="宋体" w:hAnsi="宋体" w:cs="宋体" w:eastAsia="宋体" w:hint="default"/>
                <w:sz w:val="21"/>
                <w:szCs w:val="21"/>
              </w:rPr>
              <w:t>资额（万元）</w:t>
            </w:r>
          </w:p>
        </w:tc>
        <w:tc>
          <w:tcPr>
            <w:tcW w:w="135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6"/>
              <w:ind w:left="247" w:right="0"/>
              <w:jc w:val="left"/>
              <w:rPr>
                <w:rFonts w:ascii="宋体" w:hAnsi="宋体" w:cs="宋体" w:eastAsia="宋体" w:hint="default"/>
                <w:sz w:val="21"/>
                <w:szCs w:val="21"/>
              </w:rPr>
            </w:pPr>
            <w:r>
              <w:rPr>
                <w:rFonts w:ascii="宋体" w:hAnsi="宋体" w:cs="宋体" w:eastAsia="宋体" w:hint="default"/>
                <w:sz w:val="21"/>
                <w:szCs w:val="21"/>
              </w:rPr>
              <w:t>总出资额</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09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6"/>
              <w:ind w:left="134" w:right="0" w:hanging="17"/>
              <w:jc w:val="left"/>
              <w:rPr>
                <w:rFonts w:ascii="宋体" w:hAnsi="宋体" w:cs="宋体" w:eastAsia="宋体" w:hint="default"/>
                <w:sz w:val="21"/>
                <w:szCs w:val="21"/>
              </w:rPr>
            </w:pPr>
            <w:r>
              <w:rPr>
                <w:rFonts w:ascii="宋体" w:hAnsi="宋体" w:cs="宋体" w:eastAsia="宋体" w:hint="default"/>
                <w:sz w:val="21"/>
                <w:szCs w:val="21"/>
              </w:rPr>
              <w:t>增资后比</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87" w:hRule="exact"/>
        </w:trPr>
        <w:tc>
          <w:tcPr>
            <w:tcW w:w="118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农产品</w:t>
            </w:r>
          </w:p>
        </w:tc>
        <w:tc>
          <w:tcPr>
            <w:tcW w:w="221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2840</w:t>
            </w:r>
          </w:p>
        </w:tc>
        <w:tc>
          <w:tcPr>
            <w:tcW w:w="14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71</w:t>
            </w:r>
          </w:p>
        </w:tc>
        <w:tc>
          <w:tcPr>
            <w:tcW w:w="162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right="587"/>
              <w:jc w:val="right"/>
              <w:rPr>
                <w:rFonts w:ascii="Times New Roman" w:hAnsi="Times New Roman" w:cs="Times New Roman" w:eastAsia="Times New Roman" w:hint="default"/>
                <w:sz w:val="21"/>
                <w:szCs w:val="21"/>
              </w:rPr>
            </w:pPr>
            <w:r>
              <w:rPr>
                <w:rFonts w:ascii="Times New Roman"/>
                <w:sz w:val="21"/>
              </w:rPr>
              <w:t>3280</w:t>
            </w:r>
          </w:p>
        </w:tc>
        <w:tc>
          <w:tcPr>
            <w:tcW w:w="135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6120</w:t>
            </w:r>
          </w:p>
        </w:tc>
        <w:tc>
          <w:tcPr>
            <w:tcW w:w="109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51</w:t>
            </w:r>
          </w:p>
        </w:tc>
      </w:tr>
      <w:tr>
        <w:trPr>
          <w:trHeight w:val="487" w:hRule="exact"/>
        </w:trPr>
        <w:tc>
          <w:tcPr>
            <w:tcW w:w="118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长春国投</w:t>
            </w:r>
          </w:p>
        </w:tc>
        <w:tc>
          <w:tcPr>
            <w:tcW w:w="221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sz w:val="21"/>
              </w:rPr>
              <w:t>800</w:t>
            </w:r>
          </w:p>
        </w:tc>
        <w:tc>
          <w:tcPr>
            <w:tcW w:w="14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20</w:t>
            </w:r>
          </w:p>
        </w:tc>
        <w:tc>
          <w:tcPr>
            <w:tcW w:w="162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587"/>
              <w:jc w:val="right"/>
              <w:rPr>
                <w:rFonts w:ascii="Times New Roman" w:hAnsi="Times New Roman" w:cs="Times New Roman" w:eastAsia="Times New Roman" w:hint="default"/>
                <w:sz w:val="21"/>
                <w:szCs w:val="21"/>
              </w:rPr>
            </w:pPr>
            <w:r>
              <w:rPr>
                <w:rFonts w:ascii="Times New Roman"/>
                <w:sz w:val="21"/>
              </w:rPr>
              <w:t>1600</w:t>
            </w:r>
          </w:p>
        </w:tc>
        <w:tc>
          <w:tcPr>
            <w:tcW w:w="135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2400</w:t>
            </w:r>
          </w:p>
        </w:tc>
        <w:tc>
          <w:tcPr>
            <w:tcW w:w="109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20</w:t>
            </w:r>
          </w:p>
        </w:tc>
      </w:tr>
      <w:tr>
        <w:trPr>
          <w:trHeight w:val="490" w:hRule="exact"/>
        </w:trPr>
        <w:tc>
          <w:tcPr>
            <w:tcW w:w="118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鑫合贸易</w:t>
            </w:r>
          </w:p>
        </w:tc>
        <w:tc>
          <w:tcPr>
            <w:tcW w:w="221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sz w:val="21"/>
              </w:rPr>
              <w:t>360</w:t>
            </w:r>
          </w:p>
        </w:tc>
        <w:tc>
          <w:tcPr>
            <w:tcW w:w="14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9</w:t>
            </w:r>
          </w:p>
        </w:tc>
        <w:tc>
          <w:tcPr>
            <w:tcW w:w="162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638"/>
              <w:jc w:val="right"/>
              <w:rPr>
                <w:rFonts w:ascii="Times New Roman" w:hAnsi="Times New Roman" w:cs="Times New Roman" w:eastAsia="Times New Roman" w:hint="default"/>
                <w:sz w:val="21"/>
                <w:szCs w:val="21"/>
              </w:rPr>
            </w:pPr>
            <w:r>
              <w:rPr>
                <w:rFonts w:ascii="Times New Roman"/>
                <w:sz w:val="21"/>
              </w:rPr>
              <w:t>720</w:t>
            </w:r>
          </w:p>
        </w:tc>
        <w:tc>
          <w:tcPr>
            <w:tcW w:w="135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1080</w:t>
            </w:r>
          </w:p>
        </w:tc>
        <w:tc>
          <w:tcPr>
            <w:tcW w:w="109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9</w:t>
            </w:r>
          </w:p>
        </w:tc>
      </w:tr>
    </w:tbl>
    <w:p>
      <w:pPr>
        <w:spacing w:after="0" w:line="240" w:lineRule="auto"/>
        <w:jc w:val="center"/>
        <w:rPr>
          <w:rFonts w:ascii="Times New Roman" w:hAnsi="Times New Roman" w:cs="Times New Roman" w:eastAsia="Times New Roman" w:hint="default"/>
          <w:sz w:val="21"/>
          <w:szCs w:val="21"/>
        </w:rPr>
        <w:sectPr>
          <w:headerReference w:type="default" r:id="rId97"/>
          <w:footerReference w:type="default" r:id="rId98"/>
          <w:pgSz w:w="11910" w:h="16840"/>
          <w:pgMar w:header="0" w:footer="1095" w:top="1100" w:bottom="1280" w:left="1680" w:right="1000"/>
          <w:pgNumType w:start="52"/>
        </w:sectPr>
      </w:pPr>
    </w:p>
    <w:p>
      <w:pPr>
        <w:spacing w:line="240" w:lineRule="auto" w:before="6"/>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1188"/>
        <w:gridCol w:w="2215"/>
        <w:gridCol w:w="1440"/>
        <w:gridCol w:w="1620"/>
        <w:gridCol w:w="1354"/>
        <w:gridCol w:w="1094"/>
      </w:tblGrid>
      <w:tr>
        <w:trPr>
          <w:trHeight w:val="490" w:hRule="exact"/>
        </w:trPr>
        <w:tc>
          <w:tcPr>
            <w:tcW w:w="118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东方纺织</w:t>
            </w:r>
          </w:p>
        </w:tc>
        <w:tc>
          <w:tcPr>
            <w:tcW w:w="221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sz w:val="21"/>
              </w:rPr>
              <w:t>2400</w:t>
            </w:r>
          </w:p>
        </w:tc>
        <w:tc>
          <w:tcPr>
            <w:tcW w:w="135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455"/>
              <w:jc w:val="right"/>
              <w:rPr>
                <w:rFonts w:ascii="Times New Roman" w:hAnsi="Times New Roman" w:cs="Times New Roman" w:eastAsia="Times New Roman" w:hint="default"/>
                <w:sz w:val="21"/>
                <w:szCs w:val="21"/>
              </w:rPr>
            </w:pPr>
            <w:r>
              <w:rPr>
                <w:rFonts w:ascii="Times New Roman"/>
                <w:sz w:val="21"/>
              </w:rPr>
              <w:t>2400</w:t>
            </w:r>
          </w:p>
        </w:tc>
        <w:tc>
          <w:tcPr>
            <w:tcW w:w="109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6"/>
              <w:ind w:right="431"/>
              <w:jc w:val="right"/>
              <w:rPr>
                <w:rFonts w:ascii="Times New Roman" w:hAnsi="Times New Roman" w:cs="Times New Roman" w:eastAsia="Times New Roman" w:hint="default"/>
                <w:sz w:val="21"/>
                <w:szCs w:val="21"/>
              </w:rPr>
            </w:pPr>
            <w:r>
              <w:rPr>
                <w:rFonts w:ascii="Times New Roman"/>
                <w:sz w:val="21"/>
              </w:rPr>
              <w:t>20</w:t>
            </w:r>
          </w:p>
        </w:tc>
      </w:tr>
      <w:tr>
        <w:trPr>
          <w:trHeight w:val="487" w:hRule="exact"/>
        </w:trPr>
        <w:tc>
          <w:tcPr>
            <w:tcW w:w="118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1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4000</w:t>
            </w:r>
          </w:p>
        </w:tc>
        <w:tc>
          <w:tcPr>
            <w:tcW w:w="14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100</w:t>
            </w:r>
          </w:p>
        </w:tc>
        <w:tc>
          <w:tcPr>
            <w:tcW w:w="162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8000</w:t>
            </w:r>
          </w:p>
        </w:tc>
        <w:tc>
          <w:tcPr>
            <w:tcW w:w="135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right="401"/>
              <w:jc w:val="right"/>
              <w:rPr>
                <w:rFonts w:ascii="Times New Roman" w:hAnsi="Times New Roman" w:cs="Times New Roman" w:eastAsia="Times New Roman" w:hint="default"/>
                <w:sz w:val="21"/>
                <w:szCs w:val="21"/>
              </w:rPr>
            </w:pPr>
            <w:r>
              <w:rPr>
                <w:rFonts w:ascii="Times New Roman"/>
                <w:sz w:val="21"/>
              </w:rPr>
              <w:t>12000</w:t>
            </w:r>
          </w:p>
        </w:tc>
        <w:tc>
          <w:tcPr>
            <w:tcW w:w="109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right="377"/>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79" w:lineRule="exact" w:before="0"/>
        <w:ind w:left="275" w:right="368"/>
        <w:jc w:val="left"/>
      </w:pPr>
      <w:r>
        <w:rPr/>
        <w:t>（详见</w:t>
      </w:r>
      <w:r>
        <w:rPr>
          <w:spacing w:val="-100"/>
        </w:rPr>
        <w:t> </w:t>
      </w:r>
      <w:r>
        <w:rPr/>
        <w:t>2009</w:t>
      </w:r>
      <w:r>
        <w:rPr>
          <w:spacing w:val="-100"/>
        </w:rPr>
        <w:t> </w:t>
      </w:r>
      <w:r>
        <w:rPr/>
        <w:t>年</w:t>
      </w:r>
      <w:r>
        <w:rPr>
          <w:spacing w:val="-100"/>
        </w:rPr>
        <w:t> </w:t>
      </w:r>
      <w:r>
        <w:rPr/>
        <w:t>12</w:t>
      </w:r>
      <w:r>
        <w:rPr>
          <w:spacing w:val="-100"/>
        </w:rPr>
        <w:t> </w:t>
      </w:r>
      <w:r>
        <w:rPr/>
        <w:t>月</w:t>
      </w:r>
      <w:r>
        <w:rPr>
          <w:spacing w:val="-100"/>
        </w:rPr>
        <w:t> </w:t>
      </w:r>
      <w:r>
        <w:rPr/>
        <w:t>3</w:t>
      </w:r>
      <w:r>
        <w:rPr>
          <w:spacing w:val="-100"/>
        </w:rPr>
        <w:t> </w:t>
      </w:r>
      <w:r>
        <w:rPr>
          <w:spacing w:val="-6"/>
        </w:rPr>
        <w:t>日刊登在《证券时报》、《中国证券报》、《上海证券报》、</w:t>
      </w:r>
    </w:p>
    <w:p>
      <w:pPr>
        <w:pStyle w:val="BodyText"/>
        <w:spacing w:line="357" w:lineRule="auto" w:before="154"/>
        <w:ind w:right="368"/>
        <w:jc w:val="left"/>
      </w:pPr>
      <w:r>
        <w:rPr>
          <w:spacing w:val="3"/>
        </w:rPr>
        <w:t>《证券日报》及巨潮资讯网上的公司公告）截至审计报告日，已完成一期投资，</w:t>
      </w:r>
      <w:r>
        <w:rPr>
          <w:spacing w:val="-96"/>
        </w:rPr>
        <w:t> </w:t>
      </w:r>
      <w:r>
        <w:rPr>
          <w:spacing w:val="-96"/>
        </w:rPr>
      </w:r>
      <w:r>
        <w:rPr/>
        <w:t>公司已成立。</w:t>
      </w:r>
    </w:p>
    <w:p>
      <w:pPr>
        <w:pStyle w:val="BodyText"/>
        <w:spacing w:line="240" w:lineRule="auto"/>
        <w:ind w:left="900" w:right="368"/>
        <w:jc w:val="left"/>
      </w:pPr>
      <w:r>
        <w:rPr/>
        <w:t>5、成立安徽蚌埠海吉星农产品物流中心有限公司项目</w:t>
      </w:r>
    </w:p>
    <w:p>
      <w:pPr>
        <w:pStyle w:val="BodyText"/>
        <w:spacing w:line="357" w:lineRule="auto" w:before="154"/>
        <w:ind w:right="465" w:firstLine="600"/>
        <w:jc w:val="both"/>
      </w:pPr>
      <w:r>
        <w:rPr/>
        <w:t>2009</w:t>
      </w:r>
      <w:r>
        <w:rPr>
          <w:spacing w:val="-60"/>
        </w:rPr>
        <w:t> </w:t>
      </w:r>
      <w:r>
        <w:rPr/>
        <w:t>年</w:t>
      </w:r>
      <w:r>
        <w:rPr>
          <w:spacing w:val="-60"/>
        </w:rPr>
        <w:t> </w:t>
      </w:r>
      <w:r>
        <w:rPr/>
        <w:t>12</w:t>
      </w:r>
      <w:r>
        <w:rPr>
          <w:spacing w:val="-60"/>
        </w:rPr>
        <w:t> </w:t>
      </w:r>
      <w:r>
        <w:rPr/>
        <w:t>月</w:t>
      </w:r>
      <w:r>
        <w:rPr>
          <w:spacing w:val="-60"/>
        </w:rPr>
        <w:t> </w:t>
      </w:r>
      <w:r>
        <w:rPr/>
        <w:t>1</w:t>
      </w:r>
      <w:r>
        <w:rPr>
          <w:spacing w:val="-60"/>
        </w:rPr>
        <w:t> </w:t>
      </w:r>
      <w:r>
        <w:rPr/>
        <w:t>日，公司第五届董事会第二十七次会议审议通过了《关于成</w:t>
      </w:r>
      <w:r>
        <w:rPr/>
        <w:t> 立安徽蚌埠海吉星农产品物流中心有限公司（暂定名）的议案》，公司与中国农</w:t>
      </w:r>
      <w:r>
        <w:rPr>
          <w:spacing w:val="-91"/>
        </w:rPr>
        <w:t> </w:t>
      </w:r>
      <w:r>
        <w:rPr>
          <w:spacing w:val="-91"/>
        </w:rPr>
      </w:r>
      <w:r>
        <w:rPr>
          <w:spacing w:val="-4"/>
        </w:rPr>
        <w:t>产品交易市场有限公司、誉恒投资有限公司共同组建新公司，新公司注册资本为</w:t>
      </w:r>
      <w:r>
        <w:rPr>
          <w:spacing w:val="-44"/>
        </w:rPr>
        <w:t> </w:t>
      </w:r>
      <w:r>
        <w:rPr/>
        <w:t>1</w:t>
      </w:r>
      <w:r>
        <w:rPr/>
        <w:t> </w:t>
      </w:r>
      <w:r>
        <w:rPr>
          <w:spacing w:val="-3"/>
        </w:rPr>
        <w:t>亿元，其中公司占</w:t>
      </w:r>
      <w:r>
        <w:rPr>
          <w:spacing w:val="-78"/>
        </w:rPr>
        <w:t> </w:t>
      </w:r>
      <w:r>
        <w:rPr/>
        <w:t>45%，中国农产品交易市场有限公司占</w:t>
      </w:r>
      <w:r>
        <w:rPr>
          <w:spacing w:val="-80"/>
        </w:rPr>
        <w:t> </w:t>
      </w:r>
      <w:r>
        <w:rPr/>
        <w:t>40%，誉恒投资有限公司</w:t>
      </w:r>
      <w:r>
        <w:rPr/>
        <w:t> 占</w:t>
      </w:r>
      <w:r>
        <w:rPr>
          <w:spacing w:val="-58"/>
        </w:rPr>
        <w:t> </w:t>
      </w:r>
      <w:r>
        <w:rPr>
          <w:spacing w:val="-4"/>
        </w:rPr>
        <w:t>15%。（详见</w:t>
      </w:r>
      <w:r>
        <w:rPr>
          <w:spacing w:val="-61"/>
        </w:rPr>
        <w:t> </w:t>
      </w:r>
      <w:r>
        <w:rPr/>
        <w:t>2009</w:t>
      </w:r>
      <w:r>
        <w:rPr>
          <w:spacing w:val="-58"/>
        </w:rPr>
        <w:t> </w:t>
      </w:r>
      <w:r>
        <w:rPr/>
        <w:t>年</w:t>
      </w:r>
      <w:r>
        <w:rPr>
          <w:spacing w:val="-58"/>
        </w:rPr>
        <w:t> </w:t>
      </w:r>
      <w:r>
        <w:rPr/>
        <w:t>12</w:t>
      </w:r>
      <w:r>
        <w:rPr>
          <w:spacing w:val="-58"/>
        </w:rPr>
        <w:t> </w:t>
      </w:r>
      <w:r>
        <w:rPr/>
        <w:t>月</w:t>
      </w:r>
      <w:r>
        <w:rPr>
          <w:spacing w:val="-58"/>
        </w:rPr>
        <w:t> </w:t>
      </w:r>
      <w:r>
        <w:rPr/>
        <w:t>3</w:t>
      </w:r>
      <w:r>
        <w:rPr>
          <w:spacing w:val="-58"/>
        </w:rPr>
        <w:t> </w:t>
      </w:r>
      <w:r>
        <w:rPr>
          <w:spacing w:val="-5"/>
        </w:rPr>
        <w:t>日刊登在《证券时报》、《中国证券报》、《上海</w:t>
      </w:r>
      <w:r>
        <w:rPr/>
        <w:t> 证券报》、《证券日报》及巨潮资讯网上的公司公告）截至审计报告日，公司已</w:t>
      </w:r>
      <w:r>
        <w:rPr>
          <w:spacing w:val="-91"/>
        </w:rPr>
        <w:t> </w:t>
      </w:r>
      <w:r>
        <w:rPr>
          <w:spacing w:val="-91"/>
        </w:rPr>
      </w:r>
      <w:r>
        <w:rPr/>
        <w:t>成立。</w:t>
      </w:r>
    </w:p>
    <w:p>
      <w:pPr>
        <w:pStyle w:val="BodyText"/>
        <w:spacing w:line="240" w:lineRule="auto"/>
        <w:ind w:left="900" w:right="368"/>
        <w:jc w:val="left"/>
      </w:pPr>
      <w:r>
        <w:rPr/>
        <w:t>6、增资合肥周谷堆农产品批发市场股份有限公司项目</w:t>
      </w:r>
    </w:p>
    <w:p>
      <w:pPr>
        <w:pStyle w:val="BodyText"/>
        <w:spacing w:line="357" w:lineRule="auto" w:before="154"/>
        <w:ind w:right="465" w:firstLine="600"/>
        <w:jc w:val="both"/>
      </w:pPr>
      <w:r>
        <w:rPr/>
        <w:t>2009</w:t>
      </w:r>
      <w:r>
        <w:rPr>
          <w:spacing w:val="-60"/>
        </w:rPr>
        <w:t> </w:t>
      </w:r>
      <w:r>
        <w:rPr/>
        <w:t>年</w:t>
      </w:r>
      <w:r>
        <w:rPr>
          <w:spacing w:val="-60"/>
        </w:rPr>
        <w:t> </w:t>
      </w:r>
      <w:r>
        <w:rPr/>
        <w:t>12</w:t>
      </w:r>
      <w:r>
        <w:rPr>
          <w:spacing w:val="-60"/>
        </w:rPr>
        <w:t> </w:t>
      </w:r>
      <w:r>
        <w:rPr/>
        <w:t>月</w:t>
      </w:r>
      <w:r>
        <w:rPr>
          <w:spacing w:val="-60"/>
        </w:rPr>
        <w:t> </w:t>
      </w:r>
      <w:r>
        <w:rPr/>
        <w:t>1</w:t>
      </w:r>
      <w:r>
        <w:rPr>
          <w:spacing w:val="-60"/>
        </w:rPr>
        <w:t> </w:t>
      </w:r>
      <w:r>
        <w:rPr/>
        <w:t>日，公司第五届董事会第二十七次会议审议通过了《关于增</w:t>
      </w:r>
      <w:r>
        <w:rPr/>
        <w:t> 资合肥周谷堆农产品批发市场股份有限公司的议案》，同意公司增资合肥周谷堆</w:t>
      </w:r>
      <w:r>
        <w:rPr>
          <w:spacing w:val="-91"/>
        </w:rPr>
        <w:t> </w:t>
      </w:r>
      <w:r>
        <w:rPr>
          <w:spacing w:val="-91"/>
        </w:rPr>
      </w:r>
      <w:r>
        <w:rPr/>
        <w:t>农产品批发市场股份有限公司并授权管理层签署《合肥周谷堆农产品批发市场股</w:t>
      </w:r>
      <w:r>
        <w:rPr>
          <w:spacing w:val="-91"/>
        </w:rPr>
        <w:t> </w:t>
      </w:r>
      <w:r>
        <w:rPr>
          <w:spacing w:val="-91"/>
        </w:rPr>
      </w:r>
      <w:r>
        <w:rPr>
          <w:spacing w:val="-7"/>
        </w:rPr>
        <w:t>份有限公司增资扩股协议书》，公司以货币方式出资</w:t>
      </w:r>
      <w:r>
        <w:rPr>
          <w:spacing w:val="-62"/>
        </w:rPr>
        <w:t> </w:t>
      </w:r>
      <w:r>
        <w:rPr/>
        <w:t>18,817.11</w:t>
      </w:r>
      <w:r>
        <w:rPr>
          <w:spacing w:val="-58"/>
        </w:rPr>
        <w:t> </w:t>
      </w:r>
      <w:r>
        <w:rPr>
          <w:spacing w:val="-14"/>
        </w:rPr>
        <w:t>万元，按每股</w:t>
      </w:r>
      <w:r>
        <w:rPr>
          <w:spacing w:val="-58"/>
        </w:rPr>
        <w:t> </w:t>
      </w:r>
      <w:r>
        <w:rPr/>
        <w:t>1.62</w:t>
      </w:r>
    </w:p>
    <w:p>
      <w:pPr>
        <w:pStyle w:val="BodyText"/>
        <w:spacing w:line="240" w:lineRule="auto"/>
        <w:ind w:right="368"/>
        <w:jc w:val="left"/>
      </w:pPr>
      <w:r>
        <w:rPr/>
        <w:t>元认购合肥周谷堆公司</w:t>
      </w:r>
      <w:r>
        <w:rPr>
          <w:spacing w:val="-60"/>
        </w:rPr>
        <w:t> </w:t>
      </w:r>
      <w:r>
        <w:rPr/>
        <w:t>11,615.5</w:t>
      </w:r>
      <w:r>
        <w:rPr>
          <w:spacing w:val="-60"/>
        </w:rPr>
        <w:t> </w:t>
      </w:r>
      <w:r>
        <w:rPr/>
        <w:t>万股新增股本</w:t>
      </w:r>
      <w:r>
        <w:rPr>
          <w:spacing w:val="-118"/>
        </w:rPr>
        <w:t>。</w:t>
      </w:r>
      <w:r>
        <w:rPr>
          <w:spacing w:val="-3"/>
        </w:rPr>
        <w:t>（</w:t>
      </w:r>
      <w:r>
        <w:rPr/>
        <w:t>详见</w:t>
      </w:r>
      <w:r>
        <w:rPr>
          <w:spacing w:val="-60"/>
        </w:rPr>
        <w:t> </w:t>
      </w:r>
      <w:r>
        <w:rPr/>
        <w:t>2009</w:t>
      </w:r>
      <w:r>
        <w:rPr>
          <w:spacing w:val="-60"/>
        </w:rPr>
        <w:t> </w:t>
      </w:r>
      <w:r>
        <w:rPr/>
        <w:t>年</w:t>
      </w:r>
      <w:r>
        <w:rPr>
          <w:spacing w:val="-60"/>
        </w:rPr>
        <w:t> </w:t>
      </w:r>
      <w:r>
        <w:rPr/>
        <w:t>10</w:t>
      </w:r>
      <w:r>
        <w:rPr>
          <w:spacing w:val="-60"/>
        </w:rPr>
        <w:t> </w:t>
      </w:r>
      <w:r>
        <w:rPr/>
        <w:t>月</w:t>
      </w:r>
      <w:r>
        <w:rPr>
          <w:spacing w:val="-60"/>
        </w:rPr>
        <w:t> </w:t>
      </w:r>
      <w:r>
        <w:rPr/>
        <w:t>27</w:t>
      </w:r>
      <w:r>
        <w:rPr>
          <w:spacing w:val="-60"/>
        </w:rPr>
        <w:t> </w:t>
      </w:r>
      <w:r>
        <w:rPr>
          <w:w w:val="88"/>
        </w:rPr>
        <w:t>日</w:t>
      </w:r>
      <w:r>
        <w:rPr>
          <w:spacing w:val="-91"/>
        </w:rPr>
        <w:t> </w:t>
      </w:r>
      <w:r>
        <w:rPr>
          <w:spacing w:val="-32"/>
          <w:w w:val="88"/>
        </w:rPr>
        <w:t>、</w:t>
      </w:r>
      <w:r>
        <w:rPr/>
        <w:t>2009</w:t>
      </w:r>
    </w:p>
    <w:p>
      <w:pPr>
        <w:pStyle w:val="BodyText"/>
        <w:spacing w:line="357" w:lineRule="auto" w:before="154"/>
        <w:ind w:right="451"/>
        <w:jc w:val="left"/>
      </w:pPr>
      <w:r>
        <w:rPr/>
        <w:t>年</w:t>
      </w:r>
      <w:r>
        <w:rPr>
          <w:spacing w:val="-53"/>
        </w:rPr>
        <w:t> </w:t>
      </w:r>
      <w:r>
        <w:rPr/>
        <w:t>12</w:t>
      </w:r>
      <w:r>
        <w:rPr>
          <w:spacing w:val="-53"/>
        </w:rPr>
        <w:t> </w:t>
      </w:r>
      <w:r>
        <w:rPr/>
        <w:t>月</w:t>
      </w:r>
      <w:r>
        <w:rPr>
          <w:spacing w:val="-53"/>
        </w:rPr>
        <w:t> </w:t>
      </w:r>
      <w:r>
        <w:rPr/>
        <w:t>3</w:t>
      </w:r>
      <w:r>
        <w:rPr>
          <w:spacing w:val="-53"/>
        </w:rPr>
        <w:t> </w:t>
      </w:r>
      <w:r>
        <w:rPr>
          <w:spacing w:val="-3"/>
        </w:rPr>
        <w:t>日刊登在《证券时报》、《中国证券报》、《上海证券报》、《证券日</w:t>
      </w:r>
      <w:r>
        <w:rPr/>
        <w:t> 报》及巨潮资讯网上的公司公告）截至审计报告日，增资正在进行中。</w:t>
      </w:r>
    </w:p>
    <w:p>
      <w:pPr>
        <w:pStyle w:val="BodyText"/>
        <w:spacing w:line="240" w:lineRule="auto"/>
        <w:ind w:left="900" w:right="368"/>
        <w:jc w:val="left"/>
      </w:pPr>
      <w:r>
        <w:rPr/>
        <w:t>7、投资建设昆明东盟国际农产品物流中心项目</w:t>
      </w:r>
    </w:p>
    <w:p>
      <w:pPr>
        <w:pStyle w:val="BodyText"/>
        <w:spacing w:line="357" w:lineRule="auto" w:before="154"/>
        <w:ind w:right="465" w:firstLine="600"/>
        <w:jc w:val="both"/>
      </w:pPr>
      <w:r>
        <w:rPr/>
        <w:t>2009</w:t>
      </w:r>
      <w:r>
        <w:rPr>
          <w:spacing w:val="-59"/>
        </w:rPr>
        <w:t> </w:t>
      </w:r>
      <w:r>
        <w:rPr/>
        <w:t>年</w:t>
      </w:r>
      <w:r>
        <w:rPr>
          <w:spacing w:val="-59"/>
        </w:rPr>
        <w:t> </w:t>
      </w:r>
      <w:r>
        <w:rPr/>
        <w:t>12</w:t>
      </w:r>
      <w:r>
        <w:rPr>
          <w:spacing w:val="-59"/>
        </w:rPr>
        <w:t> </w:t>
      </w:r>
      <w:r>
        <w:rPr/>
        <w:t>月</w:t>
      </w:r>
      <w:r>
        <w:rPr>
          <w:spacing w:val="-59"/>
        </w:rPr>
        <w:t> </w:t>
      </w:r>
      <w:r>
        <w:rPr/>
        <w:t>18</w:t>
      </w:r>
      <w:r>
        <w:rPr>
          <w:spacing w:val="-59"/>
        </w:rPr>
        <w:t> </w:t>
      </w:r>
      <w:r>
        <w:rPr>
          <w:spacing w:val="-5"/>
        </w:rPr>
        <w:t>日，公司第六届董事会第一次会议审议通过了《关于投资建</w:t>
      </w:r>
      <w:r>
        <w:rPr/>
        <w:t> 设昆明东盟国际农产品物流中心项目的议案》，同意公司投资建设昆明东盟国际</w:t>
      </w:r>
      <w:r>
        <w:rPr>
          <w:spacing w:val="-91"/>
        </w:rPr>
        <w:t> </w:t>
      </w:r>
      <w:r>
        <w:rPr>
          <w:spacing w:val="-91"/>
        </w:rPr>
      </w:r>
      <w:r>
        <w:rPr/>
        <w:t>农产品物流中心，并同意公司在昆明经济技术开发区经开区注册项目公司运营该</w:t>
      </w:r>
      <w:r>
        <w:rPr>
          <w:spacing w:val="-91"/>
        </w:rPr>
        <w:t> </w:t>
      </w:r>
      <w:r>
        <w:rPr>
          <w:spacing w:val="-91"/>
        </w:rPr>
      </w:r>
      <w:r>
        <w:rPr/>
        <w:t>项目，注册资本金为人民币</w:t>
      </w:r>
      <w:r>
        <w:rPr>
          <w:spacing w:val="-64"/>
        </w:rPr>
        <w:t> </w:t>
      </w:r>
      <w:r>
        <w:rPr/>
        <w:t>1.5</w:t>
      </w:r>
      <w:r>
        <w:rPr>
          <w:spacing w:val="-64"/>
        </w:rPr>
        <w:t> </w:t>
      </w:r>
      <w:r>
        <w:rPr>
          <w:spacing w:val="-5"/>
        </w:rPr>
        <w:t>亿元。（详见</w:t>
      </w:r>
      <w:r>
        <w:rPr>
          <w:spacing w:val="-67"/>
        </w:rPr>
        <w:t> </w:t>
      </w:r>
      <w:r>
        <w:rPr/>
        <w:t>2009</w:t>
      </w:r>
      <w:r>
        <w:rPr>
          <w:spacing w:val="-64"/>
        </w:rPr>
        <w:t> </w:t>
      </w:r>
      <w:r>
        <w:rPr/>
        <w:t>年</w:t>
      </w:r>
      <w:r>
        <w:rPr>
          <w:spacing w:val="-64"/>
        </w:rPr>
        <w:t> </w:t>
      </w:r>
      <w:r>
        <w:rPr/>
        <w:t>12</w:t>
      </w:r>
      <w:r>
        <w:rPr>
          <w:spacing w:val="-64"/>
        </w:rPr>
        <w:t> </w:t>
      </w:r>
      <w:r>
        <w:rPr/>
        <w:t>月</w:t>
      </w:r>
      <w:r>
        <w:rPr>
          <w:spacing w:val="-64"/>
        </w:rPr>
        <w:t> </w:t>
      </w:r>
      <w:r>
        <w:rPr/>
        <w:t>19</w:t>
      </w:r>
      <w:r>
        <w:rPr>
          <w:spacing w:val="-64"/>
        </w:rPr>
        <w:t> </w:t>
      </w:r>
      <w:r>
        <w:rPr/>
        <w:t>日刊登在《证券时</w:t>
      </w:r>
      <w:r>
        <w:rPr/>
        <w:t> 报》、《中国证券报》、《上海证券报》、《证券日报》及巨潮资讯网上的公司</w:t>
      </w:r>
      <w:r>
        <w:rPr>
          <w:spacing w:val="-91"/>
        </w:rPr>
        <w:t> </w:t>
      </w:r>
      <w:r>
        <w:rPr>
          <w:spacing w:val="-91"/>
        </w:rPr>
      </w:r>
      <w:r>
        <w:rPr/>
        <w:t>公告）截至审计报告日，公司已成立。</w:t>
      </w:r>
    </w:p>
    <w:p>
      <w:pPr>
        <w:pStyle w:val="BodyText"/>
        <w:spacing w:line="240" w:lineRule="auto" w:before="113"/>
        <w:ind w:left="770" w:right="368"/>
        <w:jc w:val="left"/>
      </w:pPr>
      <w:r>
        <w:rPr/>
        <w:t>8、投资参与建设津京国际农产品物流加工区项目</w:t>
      </w:r>
    </w:p>
    <w:p>
      <w:pPr>
        <w:pStyle w:val="BodyText"/>
        <w:spacing w:line="240" w:lineRule="auto" w:before="77"/>
        <w:ind w:right="368" w:firstLine="480"/>
        <w:jc w:val="left"/>
      </w:pPr>
      <w:r>
        <w:rPr/>
        <w:t>2010</w:t>
      </w:r>
      <w:r>
        <w:rPr>
          <w:spacing w:val="-58"/>
        </w:rPr>
        <w:t> </w:t>
      </w:r>
      <w:r>
        <w:rPr/>
        <w:t>年</w:t>
      </w:r>
      <w:r>
        <w:rPr>
          <w:spacing w:val="-58"/>
        </w:rPr>
        <w:t> </w:t>
      </w:r>
      <w:r>
        <w:rPr/>
        <w:t>3</w:t>
      </w:r>
      <w:r>
        <w:rPr>
          <w:spacing w:val="-58"/>
        </w:rPr>
        <w:t> </w:t>
      </w:r>
      <w:r>
        <w:rPr/>
        <w:t>月</w:t>
      </w:r>
      <w:r>
        <w:rPr>
          <w:spacing w:val="-58"/>
        </w:rPr>
        <w:t> </w:t>
      </w:r>
      <w:r>
        <w:rPr/>
        <w:t>29</w:t>
      </w:r>
      <w:r>
        <w:rPr>
          <w:spacing w:val="-58"/>
        </w:rPr>
        <w:t> </w:t>
      </w:r>
      <w:r>
        <w:rPr>
          <w:spacing w:val="-5"/>
        </w:rPr>
        <w:t>日，公司第六届董事会第三次会议审议通过了《关于投资参与</w:t>
      </w:r>
    </w:p>
    <w:p>
      <w:pPr>
        <w:pStyle w:val="BodyText"/>
        <w:spacing w:line="240" w:lineRule="auto" w:before="154"/>
        <w:ind w:right="368"/>
        <w:jc w:val="left"/>
      </w:pPr>
      <w:r>
        <w:rPr/>
        <w:t>建设津京国际农产品物流加工区项目的议案》，同意与深圳莱蒙泰盛信息咨询有</w:t>
      </w:r>
    </w:p>
    <w:p>
      <w:pPr>
        <w:spacing w:after="0" w:line="240" w:lineRule="auto"/>
        <w:jc w:val="left"/>
        <w:sectPr>
          <w:headerReference w:type="default" r:id="rId99"/>
          <w:footerReference w:type="default" r:id="rId100"/>
          <w:pgSz w:w="11910" w:h="16840"/>
          <w:pgMar w:header="0" w:footer="1095" w:top="1000" w:bottom="1280" w:left="1680" w:right="1000"/>
          <w:pgNumType w:start="53"/>
        </w:sectPr>
      </w:pPr>
    </w:p>
    <w:p>
      <w:pPr>
        <w:pStyle w:val="BodyText"/>
        <w:spacing w:line="357" w:lineRule="auto" w:before="0"/>
        <w:ind w:right="105"/>
        <w:jc w:val="both"/>
      </w:pPr>
      <w:r>
        <w:rPr/>
        <w:t>限公司（以下简称“莱蒙泰盛”）及战略投资者共同投资成立注册资本为人民币 30000</w:t>
      </w:r>
      <w:r>
        <w:rPr>
          <w:spacing w:val="-50"/>
        </w:rPr>
        <w:t> </w:t>
      </w:r>
      <w:r>
        <w:rPr>
          <w:spacing w:val="-4"/>
        </w:rPr>
        <w:t>万元的有限责任公司，共同在天津市静海县北环工业园建设京津国际农产品</w:t>
      </w:r>
      <w:r>
        <w:rPr/>
        <w:t> </w:t>
      </w:r>
      <w:r>
        <w:rPr>
          <w:spacing w:val="-3"/>
        </w:rPr>
        <w:t>物流加工区。公司占</w:t>
      </w:r>
      <w:r>
        <w:rPr>
          <w:spacing w:val="-76"/>
        </w:rPr>
        <w:t> </w:t>
      </w:r>
      <w:r>
        <w:rPr/>
        <w:t>42%股权，莱蒙泰盛占</w:t>
      </w:r>
      <w:r>
        <w:rPr>
          <w:spacing w:val="-78"/>
        </w:rPr>
        <w:t> </w:t>
      </w:r>
      <w:r>
        <w:rPr/>
        <w:t>40%股权，深圳市祥恒昶贸易有限公司</w:t>
      </w:r>
      <w:r>
        <w:rPr/>
        <w:t> 占</w:t>
      </w:r>
      <w:r>
        <w:rPr>
          <w:spacing w:val="-57"/>
        </w:rPr>
        <w:t> </w:t>
      </w:r>
      <w:r>
        <w:rPr>
          <w:spacing w:val="-7"/>
        </w:rPr>
        <w:t>10%股权，深圳市臻康贸易有限公司占</w:t>
      </w:r>
      <w:r>
        <w:rPr>
          <w:spacing w:val="-57"/>
        </w:rPr>
        <w:t> </w:t>
      </w:r>
      <w:r>
        <w:rPr>
          <w:spacing w:val="-7"/>
        </w:rPr>
        <w:t>5%股权，华锐资产管理有限责任公司占</w:t>
      </w:r>
      <w:r>
        <w:rPr>
          <w:spacing w:val="-57"/>
        </w:rPr>
        <w:t> </w:t>
      </w:r>
      <w:r>
        <w:rPr/>
        <w:t>3%</w:t>
      </w:r>
      <w:r>
        <w:rPr/>
        <w:t> 股权。（详见</w:t>
      </w:r>
      <w:r>
        <w:rPr>
          <w:spacing w:val="-54"/>
        </w:rPr>
        <w:t> </w:t>
      </w:r>
      <w:r>
        <w:rPr/>
        <w:t>2010</w:t>
      </w:r>
      <w:r>
        <w:rPr>
          <w:spacing w:val="-58"/>
        </w:rPr>
        <w:t> </w:t>
      </w:r>
      <w:r>
        <w:rPr/>
        <w:t>年</w:t>
      </w:r>
      <w:r>
        <w:rPr>
          <w:spacing w:val="-58"/>
        </w:rPr>
        <w:t> </w:t>
      </w:r>
      <w:r>
        <w:rPr/>
        <w:t>3</w:t>
      </w:r>
      <w:r>
        <w:rPr>
          <w:spacing w:val="-56"/>
        </w:rPr>
        <w:t> </w:t>
      </w:r>
      <w:r>
        <w:rPr/>
        <w:t>月</w:t>
      </w:r>
      <w:r>
        <w:rPr>
          <w:spacing w:val="-58"/>
        </w:rPr>
        <w:t> </w:t>
      </w:r>
      <w:r>
        <w:rPr/>
        <w:t>31</w:t>
      </w:r>
      <w:r>
        <w:rPr>
          <w:spacing w:val="-56"/>
        </w:rPr>
        <w:t> </w:t>
      </w:r>
      <w:r>
        <w:rPr/>
        <w:t>日刊登在《证券时报》、《中国证券报》、《上海</w:t>
      </w:r>
      <w:r>
        <w:rPr/>
        <w:t> 证券报》、《证券日报》及巨潮资讯网上的公司公告）</w:t>
      </w:r>
    </w:p>
    <w:p>
      <w:pPr>
        <w:pStyle w:val="BodyText"/>
        <w:spacing w:line="240" w:lineRule="auto" w:before="113"/>
        <w:ind w:left="780" w:right="1110"/>
        <w:jc w:val="left"/>
      </w:pPr>
      <w:r>
        <w:rPr/>
        <w:t>9、成立天津韩家墅海吉星农产品物流有限公司项目</w:t>
      </w:r>
    </w:p>
    <w:p>
      <w:pPr>
        <w:pStyle w:val="BodyText"/>
        <w:spacing w:line="357" w:lineRule="auto" w:before="77"/>
        <w:ind w:right="101" w:firstLine="480"/>
        <w:jc w:val="both"/>
      </w:pPr>
      <w:r>
        <w:rPr/>
        <w:t>2010</w:t>
      </w:r>
      <w:r>
        <w:rPr>
          <w:spacing w:val="-58"/>
        </w:rPr>
        <w:t> </w:t>
      </w:r>
      <w:r>
        <w:rPr/>
        <w:t>年</w:t>
      </w:r>
      <w:r>
        <w:rPr>
          <w:spacing w:val="-58"/>
        </w:rPr>
        <w:t> </w:t>
      </w:r>
      <w:r>
        <w:rPr/>
        <w:t>3</w:t>
      </w:r>
      <w:r>
        <w:rPr>
          <w:spacing w:val="-58"/>
        </w:rPr>
        <w:t> </w:t>
      </w:r>
      <w:r>
        <w:rPr/>
        <w:t>月</w:t>
      </w:r>
      <w:r>
        <w:rPr>
          <w:spacing w:val="-58"/>
        </w:rPr>
        <w:t> </w:t>
      </w:r>
      <w:r>
        <w:rPr/>
        <w:t>29</w:t>
      </w:r>
      <w:r>
        <w:rPr>
          <w:spacing w:val="-58"/>
        </w:rPr>
        <w:t> </w:t>
      </w:r>
      <w:r>
        <w:rPr>
          <w:spacing w:val="-5"/>
        </w:rPr>
        <w:t>日，公司第六届董事会第三次会议审议通过了《关于出资成立</w:t>
      </w:r>
      <w:r>
        <w:rPr/>
        <w:t> 天津韩家墅海吉星农产品物流有限公司的议案》，同意与天津市北辰区青光镇韩</w:t>
      </w:r>
      <w:r>
        <w:rPr>
          <w:spacing w:val="-91"/>
        </w:rPr>
        <w:t> </w:t>
      </w:r>
      <w:r>
        <w:rPr>
          <w:spacing w:val="-91"/>
        </w:rPr>
      </w:r>
      <w:r>
        <w:rPr/>
        <w:t>家墅农工商联合公司（以下简称“韩家墅公司”）共同投资成立天津韩家墅海吉</w:t>
      </w:r>
      <w:r>
        <w:rPr>
          <w:spacing w:val="-95"/>
        </w:rPr>
        <w:t> </w:t>
      </w:r>
      <w:r>
        <w:rPr>
          <w:spacing w:val="-95"/>
        </w:rPr>
      </w:r>
      <w:r>
        <w:rPr>
          <w:spacing w:val="-8"/>
          <w:w w:val="95"/>
        </w:rPr>
        <w:t>星农产品物流有限公司（暂用名，以工商登记名称为准，以下简称“天津海吉星”），</w:t>
      </w:r>
      <w:r>
        <w:rPr>
          <w:spacing w:val="-15"/>
          <w:w w:val="95"/>
        </w:rPr>
        <w:t> </w:t>
      </w:r>
      <w:r>
        <w:rPr>
          <w:spacing w:val="-15"/>
          <w:w w:val="95"/>
        </w:rPr>
      </w:r>
      <w:r>
        <w:rPr/>
        <w:t>合作经营、开发天津韩家墅农产品批发市场。公司占</w:t>
      </w:r>
      <w:r>
        <w:rPr>
          <w:spacing w:val="-93"/>
        </w:rPr>
        <w:t> </w:t>
      </w:r>
      <w:r>
        <w:rPr/>
        <w:t>51%股权，韩家墅公司占</w:t>
      </w:r>
      <w:r>
        <w:rPr>
          <w:spacing w:val="-91"/>
        </w:rPr>
        <w:t> </w:t>
      </w:r>
      <w:r>
        <w:rPr/>
        <w:t>49%</w:t>
      </w:r>
    </w:p>
    <w:p>
      <w:pPr>
        <w:pStyle w:val="BodyText"/>
        <w:spacing w:line="357" w:lineRule="auto"/>
        <w:ind w:right="132"/>
        <w:jc w:val="both"/>
      </w:pPr>
      <w:r>
        <w:rPr/>
        <w:t>股权。（详见</w:t>
      </w:r>
      <w:r>
        <w:rPr>
          <w:spacing w:val="-53"/>
        </w:rPr>
        <w:t> </w:t>
      </w:r>
      <w:r>
        <w:rPr/>
        <w:t>2010</w:t>
      </w:r>
      <w:r>
        <w:rPr>
          <w:spacing w:val="-58"/>
        </w:rPr>
        <w:t> </w:t>
      </w:r>
      <w:r>
        <w:rPr/>
        <w:t>年</w:t>
      </w:r>
      <w:r>
        <w:rPr>
          <w:spacing w:val="-58"/>
        </w:rPr>
        <w:t> </w:t>
      </w:r>
      <w:r>
        <w:rPr/>
        <w:t>3</w:t>
      </w:r>
      <w:r>
        <w:rPr>
          <w:spacing w:val="-56"/>
        </w:rPr>
        <w:t> </w:t>
      </w:r>
      <w:r>
        <w:rPr/>
        <w:t>月</w:t>
      </w:r>
      <w:r>
        <w:rPr>
          <w:spacing w:val="-58"/>
        </w:rPr>
        <w:t> </w:t>
      </w:r>
      <w:r>
        <w:rPr/>
        <w:t>31</w:t>
      </w:r>
      <w:r>
        <w:rPr>
          <w:spacing w:val="-56"/>
        </w:rPr>
        <w:t> </w:t>
      </w:r>
      <w:r>
        <w:rPr/>
        <w:t>日刊登在《证券时报》、《中国证券报》、《上海</w:t>
      </w:r>
      <w:r>
        <w:rPr/>
        <w:t> 证券报》、《证券日报》及巨潮资讯网上的公司公告）</w:t>
      </w:r>
    </w:p>
    <w:p>
      <w:pPr>
        <w:pStyle w:val="BodyText"/>
        <w:spacing w:line="240" w:lineRule="auto" w:before="113"/>
        <w:ind w:left="780" w:right="1110"/>
        <w:jc w:val="left"/>
      </w:pPr>
      <w:r>
        <w:rPr/>
        <w:t>10、成立广州市深农岭南农产品批发市场有限公司项目</w:t>
      </w:r>
    </w:p>
    <w:p>
      <w:pPr>
        <w:pStyle w:val="BodyText"/>
        <w:spacing w:line="357" w:lineRule="auto" w:before="77"/>
        <w:ind w:right="101" w:firstLine="480"/>
        <w:jc w:val="both"/>
      </w:pPr>
      <w:r>
        <w:rPr/>
        <w:t>2010</w:t>
      </w:r>
      <w:r>
        <w:rPr>
          <w:spacing w:val="-58"/>
        </w:rPr>
        <w:t> </w:t>
      </w:r>
      <w:r>
        <w:rPr/>
        <w:t>年</w:t>
      </w:r>
      <w:r>
        <w:rPr>
          <w:spacing w:val="-58"/>
        </w:rPr>
        <w:t> </w:t>
      </w:r>
      <w:r>
        <w:rPr/>
        <w:t>3</w:t>
      </w:r>
      <w:r>
        <w:rPr>
          <w:spacing w:val="-58"/>
        </w:rPr>
        <w:t> </w:t>
      </w:r>
      <w:r>
        <w:rPr/>
        <w:t>月</w:t>
      </w:r>
      <w:r>
        <w:rPr>
          <w:spacing w:val="-58"/>
        </w:rPr>
        <w:t> </w:t>
      </w:r>
      <w:r>
        <w:rPr/>
        <w:t>29</w:t>
      </w:r>
      <w:r>
        <w:rPr>
          <w:spacing w:val="-58"/>
        </w:rPr>
        <w:t> </w:t>
      </w:r>
      <w:r>
        <w:rPr>
          <w:spacing w:val="-5"/>
        </w:rPr>
        <w:t>日，公司第六届董事会第三次会议审议通过了《关于出资成立</w:t>
      </w:r>
      <w:r>
        <w:rPr/>
        <w:t> 广州市深农岭南农产品批发市场有限公司的议案》，同意与广州岭南国际企业集</w:t>
      </w:r>
      <w:r>
        <w:rPr>
          <w:spacing w:val="-91"/>
        </w:rPr>
        <w:t> </w:t>
      </w:r>
      <w:r>
        <w:rPr>
          <w:spacing w:val="-91"/>
        </w:rPr>
      </w:r>
      <w:r>
        <w:rPr/>
        <w:t>团有限公司（以下简称“岭南集团”）共同投资成立广州市深农岭南农产品批发</w:t>
      </w:r>
      <w:r>
        <w:rPr>
          <w:spacing w:val="-93"/>
        </w:rPr>
        <w:t> </w:t>
      </w:r>
      <w:r>
        <w:rPr>
          <w:spacing w:val="-93"/>
        </w:rPr>
      </w:r>
      <w:r>
        <w:rPr>
          <w:spacing w:val="-2"/>
          <w:w w:val="95"/>
        </w:rPr>
        <w:t>市场有限公司（暂用名，以工商登记名称为准，以下简称“广州岭南农产品”）。</w:t>
      </w:r>
      <w:r>
        <w:rPr>
          <w:spacing w:val="93"/>
          <w:w w:val="95"/>
        </w:rPr>
        <w:t> </w:t>
      </w:r>
      <w:r>
        <w:rPr>
          <w:spacing w:val="93"/>
          <w:w w:val="95"/>
        </w:rPr>
      </w:r>
      <w:r>
        <w:rPr/>
        <w:t>重点新建“广州江高中央大厨房核心商务区项目”及整合区域行业资源。注册资</w:t>
      </w:r>
      <w:r>
        <w:rPr>
          <w:spacing w:val="-95"/>
        </w:rPr>
        <w:t> </w:t>
      </w:r>
      <w:r>
        <w:rPr>
          <w:spacing w:val="-95"/>
        </w:rPr>
      </w:r>
      <w:r>
        <w:rPr/>
        <w:t>本</w:t>
      </w:r>
      <w:r>
        <w:rPr>
          <w:spacing w:val="-63"/>
        </w:rPr>
        <w:t> </w:t>
      </w:r>
      <w:r>
        <w:rPr/>
        <w:t>10000</w:t>
      </w:r>
      <w:r>
        <w:rPr>
          <w:spacing w:val="-63"/>
        </w:rPr>
        <w:t> </w:t>
      </w:r>
      <w:r>
        <w:rPr/>
        <w:t>万元人民币，公司占</w:t>
      </w:r>
      <w:r>
        <w:rPr>
          <w:spacing w:val="-63"/>
        </w:rPr>
        <w:t> </w:t>
      </w:r>
      <w:r>
        <w:rPr/>
        <w:t>65%，岭南集团占</w:t>
      </w:r>
      <w:r>
        <w:rPr>
          <w:spacing w:val="-63"/>
        </w:rPr>
        <w:t> </w:t>
      </w:r>
      <w:r>
        <w:rPr>
          <w:spacing w:val="-5"/>
        </w:rPr>
        <w:t>35%。（详见</w:t>
      </w:r>
      <w:r>
        <w:rPr>
          <w:spacing w:val="-66"/>
        </w:rPr>
        <w:t> </w:t>
      </w:r>
      <w:r>
        <w:rPr/>
        <w:t>2010</w:t>
      </w:r>
      <w:r>
        <w:rPr>
          <w:spacing w:val="-63"/>
        </w:rPr>
        <w:t> </w:t>
      </w:r>
      <w:r>
        <w:rPr/>
        <w:t>年</w:t>
      </w:r>
      <w:r>
        <w:rPr>
          <w:spacing w:val="-63"/>
        </w:rPr>
        <w:t> </w:t>
      </w:r>
      <w:r>
        <w:rPr/>
        <w:t>3</w:t>
      </w:r>
      <w:r>
        <w:rPr>
          <w:spacing w:val="-63"/>
        </w:rPr>
        <w:t> </w:t>
      </w:r>
      <w:r>
        <w:rPr/>
        <w:t>月</w:t>
      </w:r>
      <w:r>
        <w:rPr>
          <w:spacing w:val="-63"/>
        </w:rPr>
        <w:t> </w:t>
      </w:r>
      <w:r>
        <w:rPr/>
        <w:t>31</w:t>
      </w:r>
      <w:r>
        <w:rPr>
          <w:spacing w:val="-63"/>
        </w:rPr>
        <w:t> </w:t>
      </w:r>
      <w:r>
        <w:rPr/>
        <w:t>日刊</w:t>
      </w:r>
      <w:r>
        <w:rPr/>
        <w:t> 登在《证券时报》、《中国证券报》、《上海证券报》、《证券日报》及巨潮资</w:t>
      </w:r>
      <w:r>
        <w:rPr>
          <w:spacing w:val="-91"/>
        </w:rPr>
        <w:t> </w:t>
      </w:r>
      <w:r>
        <w:rPr>
          <w:spacing w:val="-91"/>
        </w:rPr>
      </w:r>
      <w:r>
        <w:rPr/>
        <w:t>讯网上的公司公告）</w:t>
      </w:r>
    </w:p>
    <w:p>
      <w:pPr>
        <w:pStyle w:val="BodyText"/>
        <w:spacing w:line="240" w:lineRule="auto"/>
        <w:ind w:left="671" w:right="1110"/>
        <w:jc w:val="left"/>
      </w:pPr>
      <w:r>
        <w:rPr/>
        <w:t>11、成立济南市盖世农产品物流交易中心有限公司项目</w:t>
      </w:r>
    </w:p>
    <w:p>
      <w:pPr>
        <w:pStyle w:val="BodyText"/>
        <w:spacing w:line="357" w:lineRule="auto" w:before="154"/>
        <w:ind w:left="191" w:right="90" w:firstLine="480"/>
        <w:jc w:val="left"/>
      </w:pPr>
      <w:r>
        <w:rPr/>
        <w:t>2010</w:t>
      </w:r>
      <w:r>
        <w:rPr>
          <w:spacing w:val="-63"/>
        </w:rPr>
        <w:t> </w:t>
      </w:r>
      <w:r>
        <w:rPr/>
        <w:t>年</w:t>
      </w:r>
      <w:r>
        <w:rPr>
          <w:spacing w:val="-63"/>
        </w:rPr>
        <w:t> </w:t>
      </w:r>
      <w:r>
        <w:rPr/>
        <w:t>3</w:t>
      </w:r>
      <w:r>
        <w:rPr>
          <w:spacing w:val="-63"/>
        </w:rPr>
        <w:t> </w:t>
      </w:r>
      <w:r>
        <w:rPr/>
        <w:t>月</w:t>
      </w:r>
      <w:r>
        <w:rPr>
          <w:spacing w:val="-63"/>
        </w:rPr>
        <w:t> </w:t>
      </w:r>
      <w:r>
        <w:rPr/>
        <w:t>29</w:t>
      </w:r>
      <w:r>
        <w:rPr>
          <w:spacing w:val="-63"/>
        </w:rPr>
        <w:t> </w:t>
      </w:r>
      <w:r>
        <w:rPr/>
        <w:t>日，公司第六届董事会第三次会议审议通过了《关于出资成立</w:t>
      </w:r>
      <w:r>
        <w:rPr/>
        <w:t> </w:t>
      </w:r>
      <w:r>
        <w:rPr>
          <w:spacing w:val="-3"/>
        </w:rPr>
        <w:t>济南市盖世农产品物流交易中心有限公司的议案》，同意与山东盖世农贸有限公司</w:t>
      </w:r>
    </w:p>
    <w:p>
      <w:pPr>
        <w:pStyle w:val="BodyText"/>
        <w:spacing w:line="240" w:lineRule="auto"/>
        <w:ind w:left="175" w:right="0"/>
        <w:jc w:val="both"/>
      </w:pPr>
      <w:r>
        <w:rPr/>
        <w:t>（以下简称“盖世公司”）共同投资成立济南市盖世农产品物流交易中心有限公司</w:t>
      </w:r>
    </w:p>
    <w:p>
      <w:pPr>
        <w:pStyle w:val="BodyText"/>
        <w:spacing w:line="357" w:lineRule="auto" w:before="154"/>
        <w:ind w:left="191" w:right="101" w:hanging="10"/>
        <w:jc w:val="both"/>
      </w:pPr>
      <w:r>
        <w:rPr>
          <w:spacing w:val="-2"/>
        </w:rPr>
        <w:t>（暂用名，以工商登记名称为准，以下简称“济南盖世农产品”），合作经营管理</w:t>
      </w:r>
      <w:r>
        <w:rPr>
          <w:spacing w:val="-114"/>
        </w:rPr>
        <w:t> </w:t>
      </w:r>
      <w:r>
        <w:rPr>
          <w:spacing w:val="-114"/>
        </w:rPr>
      </w:r>
      <w:r>
        <w:rPr>
          <w:w w:val="95"/>
        </w:rPr>
        <w:t>山东盖世农副产品市场（暂用名）。注册资本</w:t>
      </w:r>
      <w:r>
        <w:rPr>
          <w:spacing w:val="33"/>
          <w:w w:val="95"/>
        </w:rPr>
        <w:t> </w:t>
      </w:r>
      <w:r>
        <w:rPr>
          <w:w w:val="95"/>
        </w:rPr>
        <w:t>3000</w:t>
      </w:r>
      <w:r>
        <w:rPr>
          <w:spacing w:val="40"/>
          <w:w w:val="95"/>
        </w:rPr>
        <w:t> </w:t>
      </w:r>
      <w:r>
        <w:rPr>
          <w:w w:val="95"/>
        </w:rPr>
        <w:t>万元人民币，公司占</w:t>
      </w:r>
      <w:r>
        <w:rPr>
          <w:spacing w:val="40"/>
          <w:w w:val="95"/>
        </w:rPr>
        <w:t> </w:t>
      </w:r>
      <w:r>
        <w:rPr>
          <w:w w:val="95"/>
        </w:rPr>
        <w:t>51%股权，</w:t>
      </w:r>
      <w:r>
        <w:rPr>
          <w:spacing w:val="-108"/>
          <w:w w:val="95"/>
        </w:rPr>
        <w:t> </w:t>
      </w:r>
      <w:r>
        <w:rPr>
          <w:spacing w:val="-108"/>
          <w:w w:val="95"/>
        </w:rPr>
      </w:r>
      <w:r>
        <w:rPr/>
        <w:t>盖世公司占</w:t>
      </w:r>
      <w:r>
        <w:rPr>
          <w:spacing w:val="-63"/>
        </w:rPr>
        <w:t> </w:t>
      </w:r>
      <w:r>
        <w:rPr/>
        <w:t>49%股权。（详见</w:t>
      </w:r>
      <w:r>
        <w:rPr>
          <w:spacing w:val="-63"/>
        </w:rPr>
        <w:t> </w:t>
      </w:r>
      <w:r>
        <w:rPr/>
        <w:t>2010</w:t>
      </w:r>
      <w:r>
        <w:rPr>
          <w:spacing w:val="-63"/>
        </w:rPr>
        <w:t> </w:t>
      </w:r>
      <w:r>
        <w:rPr/>
        <w:t>年</w:t>
      </w:r>
      <w:r>
        <w:rPr>
          <w:spacing w:val="-63"/>
        </w:rPr>
        <w:t> </w:t>
      </w:r>
      <w:r>
        <w:rPr/>
        <w:t>3</w:t>
      </w:r>
      <w:r>
        <w:rPr>
          <w:spacing w:val="-63"/>
        </w:rPr>
        <w:t> </w:t>
      </w:r>
      <w:r>
        <w:rPr/>
        <w:t>月</w:t>
      </w:r>
      <w:r>
        <w:rPr>
          <w:spacing w:val="-63"/>
        </w:rPr>
        <w:t> </w:t>
      </w:r>
      <w:r>
        <w:rPr/>
        <w:t>31</w:t>
      </w:r>
      <w:r>
        <w:rPr>
          <w:spacing w:val="-63"/>
        </w:rPr>
        <w:t> </w:t>
      </w:r>
      <w:r>
        <w:rPr/>
        <w:t>日刊登在《证券时报》、《中国证券</w:t>
      </w:r>
      <w:r>
        <w:rPr/>
        <w:t> 报》、《上海证券报》、《证券日报》及巨潮资讯网上的公司公告）</w:t>
      </w:r>
    </w:p>
    <w:p>
      <w:pPr>
        <w:spacing w:after="0" w:line="357" w:lineRule="auto"/>
        <w:jc w:val="both"/>
        <w:sectPr>
          <w:headerReference w:type="default" r:id="rId101"/>
          <w:footerReference w:type="default" r:id="rId102"/>
          <w:pgSz w:w="11910" w:h="16840"/>
          <w:pgMar w:header="0" w:footer="1095" w:top="1040" w:bottom="1280" w:left="1680" w:right="1360"/>
          <w:pgNumType w:start="54"/>
        </w:sectPr>
      </w:pPr>
    </w:p>
    <w:p>
      <w:pPr>
        <w:pStyle w:val="BodyText"/>
        <w:spacing w:line="310" w:lineRule="exact" w:before="0"/>
        <w:ind w:left="671" w:right="92"/>
        <w:jc w:val="left"/>
      </w:pPr>
      <w:r>
        <w:rPr/>
        <w:t>12、增资沈阳海吉星农产品物流有限公司项目</w:t>
      </w:r>
    </w:p>
    <w:p>
      <w:pPr>
        <w:pStyle w:val="BodyText"/>
        <w:spacing w:line="357" w:lineRule="auto" w:before="154"/>
        <w:ind w:left="191" w:right="165" w:firstLine="480"/>
        <w:jc w:val="both"/>
      </w:pPr>
      <w:r>
        <w:rPr/>
        <w:t>2010</w:t>
      </w:r>
      <w:r>
        <w:rPr>
          <w:spacing w:val="-63"/>
        </w:rPr>
        <w:t> </w:t>
      </w:r>
      <w:r>
        <w:rPr/>
        <w:t>年</w:t>
      </w:r>
      <w:r>
        <w:rPr>
          <w:spacing w:val="-63"/>
        </w:rPr>
        <w:t> </w:t>
      </w:r>
      <w:r>
        <w:rPr/>
        <w:t>3</w:t>
      </w:r>
      <w:r>
        <w:rPr>
          <w:spacing w:val="-63"/>
        </w:rPr>
        <w:t> </w:t>
      </w:r>
      <w:r>
        <w:rPr/>
        <w:t>月</w:t>
      </w:r>
      <w:r>
        <w:rPr>
          <w:spacing w:val="-63"/>
        </w:rPr>
        <w:t> </w:t>
      </w:r>
      <w:r>
        <w:rPr/>
        <w:t>29</w:t>
      </w:r>
      <w:r>
        <w:rPr>
          <w:spacing w:val="-63"/>
        </w:rPr>
        <w:t> </w:t>
      </w:r>
      <w:r>
        <w:rPr/>
        <w:t>日，公司第六届董事会第三次会议审议通过了《关于增资沈阳</w:t>
      </w:r>
      <w:r>
        <w:rPr/>
        <w:t> </w:t>
      </w:r>
      <w:r>
        <w:rPr>
          <w:spacing w:val="-3"/>
        </w:rPr>
        <w:t>海吉星农产品物流有限公司的议案》，同意与沈阳海吉星另一方股东同比将原注册</w:t>
      </w:r>
      <w:r>
        <w:rPr>
          <w:spacing w:val="-85"/>
        </w:rPr>
        <w:t> </w:t>
      </w:r>
      <w:r>
        <w:rPr>
          <w:spacing w:val="-85"/>
        </w:rPr>
      </w:r>
      <w:r>
        <w:rPr/>
        <w:t>资本人民币</w:t>
      </w:r>
      <w:r>
        <w:rPr>
          <w:spacing w:val="-63"/>
        </w:rPr>
        <w:t> </w:t>
      </w:r>
      <w:r>
        <w:rPr/>
        <w:t>10000</w:t>
      </w:r>
      <w:r>
        <w:rPr>
          <w:spacing w:val="-63"/>
        </w:rPr>
        <w:t> </w:t>
      </w:r>
      <w:r>
        <w:rPr/>
        <w:t>万元，增至人民币</w:t>
      </w:r>
      <w:r>
        <w:rPr>
          <w:spacing w:val="-63"/>
        </w:rPr>
        <w:t> </w:t>
      </w:r>
      <w:r>
        <w:rPr/>
        <w:t>12000</w:t>
      </w:r>
      <w:r>
        <w:rPr>
          <w:spacing w:val="-63"/>
        </w:rPr>
        <w:t> </w:t>
      </w:r>
      <w:r>
        <w:rPr/>
        <w:t>万元，公司占</w:t>
      </w:r>
      <w:r>
        <w:rPr>
          <w:spacing w:val="-63"/>
        </w:rPr>
        <w:t> </w:t>
      </w:r>
      <w:r>
        <w:rPr/>
        <w:t>51%股权，深圳市明信投</w:t>
      </w:r>
      <w:r>
        <w:rPr/>
        <w:t> </w:t>
      </w:r>
      <w:r>
        <w:rPr>
          <w:w w:val="95"/>
        </w:rPr>
        <w:t>资有限公司占  </w:t>
      </w:r>
      <w:r>
        <w:rPr>
          <w:spacing w:val="54"/>
          <w:w w:val="95"/>
        </w:rPr>
        <w:t> </w:t>
      </w:r>
      <w:r>
        <w:rPr>
          <w:spacing w:val="2"/>
          <w:w w:val="95"/>
        </w:rPr>
        <w:t>49%股权。增资用于实施“沈阳海吉星东北亚花卉交易中心项目”。</w:t>
      </w:r>
      <w:r>
        <w:rPr>
          <w:spacing w:val="2"/>
        </w:rPr>
      </w:r>
    </w:p>
    <w:p>
      <w:pPr>
        <w:pStyle w:val="BodyText"/>
        <w:spacing w:line="240" w:lineRule="auto"/>
        <w:ind w:left="182" w:right="92"/>
        <w:jc w:val="left"/>
      </w:pPr>
      <w:r>
        <w:rPr/>
        <w:t>（详见</w:t>
      </w:r>
      <w:r>
        <w:rPr>
          <w:spacing w:val="-60"/>
        </w:rPr>
        <w:t> </w:t>
      </w:r>
      <w:r>
        <w:rPr/>
        <w:t>2010</w:t>
      </w:r>
      <w:r>
        <w:rPr>
          <w:spacing w:val="-60"/>
        </w:rPr>
        <w:t> </w:t>
      </w:r>
      <w:r>
        <w:rPr/>
        <w:t>年</w:t>
      </w:r>
      <w:r>
        <w:rPr>
          <w:spacing w:val="-60"/>
        </w:rPr>
        <w:t> </w:t>
      </w:r>
      <w:r>
        <w:rPr/>
        <w:t>3</w:t>
      </w:r>
      <w:r>
        <w:rPr>
          <w:spacing w:val="-60"/>
        </w:rPr>
        <w:t> </w:t>
      </w:r>
      <w:r>
        <w:rPr/>
        <w:t>月</w:t>
      </w:r>
      <w:r>
        <w:rPr>
          <w:spacing w:val="-60"/>
        </w:rPr>
        <w:t> </w:t>
      </w:r>
      <w:r>
        <w:rPr/>
        <w:t>31</w:t>
      </w:r>
      <w:r>
        <w:rPr>
          <w:spacing w:val="-60"/>
        </w:rPr>
        <w:t> </w:t>
      </w:r>
      <w:r>
        <w:rPr/>
        <w:t>日刊登</w:t>
      </w:r>
      <w:r>
        <w:rPr>
          <w:spacing w:val="-8"/>
        </w:rPr>
        <w:t>在</w:t>
      </w:r>
      <w:r>
        <w:rPr>
          <w:spacing w:val="-3"/>
        </w:rPr>
        <w:t>《</w:t>
      </w:r>
      <w:r>
        <w:rPr/>
        <w:t>证券时报</w:t>
      </w:r>
      <w:r>
        <w:rPr>
          <w:spacing w:val="-8"/>
        </w:rPr>
        <w:t>》</w:t>
      </w:r>
      <w:r>
        <w:rPr>
          <w:spacing w:val="-20"/>
        </w:rPr>
        <w:t>、</w:t>
      </w:r>
      <w:r>
        <w:rPr>
          <w:spacing w:val="-3"/>
        </w:rPr>
        <w:t>《</w:t>
      </w:r>
      <w:r>
        <w:rPr/>
        <w:t>中国证券报</w:t>
      </w:r>
      <w:r>
        <w:rPr>
          <w:spacing w:val="-8"/>
        </w:rPr>
        <w:t>》</w:t>
      </w:r>
      <w:r>
        <w:rPr>
          <w:spacing w:val="-12"/>
        </w:rPr>
        <w:t>、</w:t>
      </w:r>
      <w:r>
        <w:rPr>
          <w:spacing w:val="-3"/>
        </w:rPr>
        <w:t>《</w:t>
      </w:r>
      <w:r>
        <w:rPr/>
        <w:t>上海证券报</w:t>
      </w:r>
      <w:r>
        <w:rPr>
          <w:spacing w:val="-123"/>
        </w:rPr>
        <w:t>》</w:t>
      </w:r>
      <w:r>
        <w:rPr>
          <w:w w:val="51"/>
        </w:rPr>
        <w:t>、</w:t>
      </w:r>
      <w:r>
        <w:rPr/>
      </w:r>
    </w:p>
    <w:p>
      <w:pPr>
        <w:pStyle w:val="BodyText"/>
        <w:spacing w:line="240" w:lineRule="auto" w:before="154"/>
        <w:ind w:left="191" w:right="92"/>
        <w:jc w:val="left"/>
      </w:pPr>
      <w:r>
        <w:rPr/>
        <w:t>《证券日报》及巨潮资讯网上的公司公告）</w:t>
      </w:r>
    </w:p>
    <w:p>
      <w:pPr>
        <w:pStyle w:val="Heading5"/>
        <w:spacing w:line="268" w:lineRule="auto" w:before="154"/>
        <w:ind w:left="866" w:right="153" w:hanging="87"/>
        <w:jc w:val="left"/>
        <w:rPr>
          <w:b w:val="0"/>
          <w:bCs w:val="0"/>
        </w:rPr>
      </w:pPr>
      <w:bookmarkStart w:name="第五节审计报告意见及公司会计政策、会计估计变更或重大前期差错更正" w:id="18"/>
      <w:bookmarkEnd w:id="18"/>
      <w:r>
        <w:rPr>
          <w:b w:val="0"/>
          <w:bCs w:val="0"/>
        </w:rPr>
      </w:r>
      <w:r>
        <w:rPr/>
        <w:t>第五节 审计报告意见及公司会计政策、会计估计变更或重大前期差错更正</w:t>
      </w:r>
      <w:r>
        <w:rPr>
          <w:spacing w:val="-33"/>
        </w:rPr>
        <w:t> </w:t>
      </w:r>
      <w:r>
        <w:rPr>
          <w:spacing w:val="-33"/>
        </w:rPr>
      </w:r>
      <w:r>
        <w:rPr>
          <w:spacing w:val="-1"/>
        </w:rPr>
        <w:t>一、深圳南方民和会计师事务所有限责任公司对公司出具了带强调事项段无</w:t>
      </w:r>
      <w:r>
        <w:rPr>
          <w:b w:val="0"/>
          <w:bCs w:val="0"/>
          <w:spacing w:val="-1"/>
        </w:rPr>
      </w:r>
    </w:p>
    <w:p>
      <w:pPr>
        <w:spacing w:before="12"/>
        <w:ind w:left="300"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保留意见审计报告。</w:t>
      </w:r>
      <w:r>
        <w:rPr>
          <w:rFonts w:ascii="Microsoft JhengHei" w:hAnsi="Microsoft JhengHei" w:cs="Microsoft JhengHei" w:eastAsia="Microsoft JhengHei" w:hint="default"/>
          <w:sz w:val="24"/>
          <w:szCs w:val="24"/>
        </w:rPr>
      </w:r>
    </w:p>
    <w:p>
      <w:pPr>
        <w:spacing w:line="268" w:lineRule="auto" w:before="50"/>
        <w:ind w:left="780" w:right="92" w:firstLine="86"/>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（一）董事会对审计报告意见的说明 </w:t>
      </w:r>
      <w:r>
        <w:rPr>
          <w:rFonts w:ascii="宋体" w:hAnsi="宋体" w:cs="宋体" w:eastAsia="宋体" w:hint="default"/>
          <w:sz w:val="24"/>
          <w:szCs w:val="24"/>
        </w:rPr>
        <w:t>深圳南方民和会计师事务所有限责任公司出具的《深圳市农产品股份有限公</w:t>
      </w:r>
    </w:p>
    <w:p>
      <w:pPr>
        <w:pStyle w:val="BodyText"/>
        <w:spacing w:line="357" w:lineRule="auto" w:before="125"/>
        <w:ind w:right="165"/>
        <w:jc w:val="both"/>
      </w:pPr>
      <w:r>
        <w:rPr/>
        <w:t>司</w:t>
      </w:r>
      <w:r>
        <w:rPr>
          <w:spacing w:val="-90"/>
        </w:rPr>
        <w:t> </w:t>
      </w:r>
      <w:r>
        <w:rPr/>
        <w:t>2009</w:t>
      </w:r>
      <w:r>
        <w:rPr>
          <w:spacing w:val="-90"/>
        </w:rPr>
        <w:t> </w:t>
      </w:r>
      <w:r>
        <w:rPr/>
        <w:t>年度带强调事项段无保留意见的审计报告》之强调事项具体为：“我们提</w:t>
      </w:r>
      <w:r>
        <w:rPr/>
        <w:t> </w:t>
      </w:r>
      <w:r>
        <w:rPr>
          <w:spacing w:val="-5"/>
        </w:rPr>
        <w:t>醒报表使用者关注，如财务报表附注七、2</w:t>
      </w:r>
      <w:r>
        <w:rPr>
          <w:spacing w:val="-39"/>
        </w:rPr>
        <w:t> </w:t>
      </w:r>
      <w:r>
        <w:rPr>
          <w:spacing w:val="-3"/>
        </w:rPr>
        <w:t>及附注十一所述，由于深圳市民润农产</w:t>
      </w:r>
      <w:r>
        <w:rPr>
          <w:spacing w:val="-118"/>
        </w:rPr>
        <w:t> </w:t>
      </w:r>
      <w:r>
        <w:rPr>
          <w:spacing w:val="-118"/>
        </w:rPr>
      </w:r>
      <w:r>
        <w:rPr>
          <w:spacing w:val="-8"/>
        </w:rPr>
        <w:t>品配送连锁商业有限公司（以下简称民润公司）的重组工作正在进行，但截至</w:t>
      </w:r>
      <w:r>
        <w:rPr>
          <w:spacing w:val="-31"/>
        </w:rPr>
        <w:t> </w:t>
      </w:r>
      <w:r>
        <w:rPr/>
        <w:t>2010</w:t>
      </w:r>
    </w:p>
    <w:p>
      <w:pPr>
        <w:pStyle w:val="BodyText"/>
        <w:spacing w:line="357" w:lineRule="auto"/>
        <w:ind w:right="165"/>
        <w:jc w:val="both"/>
      </w:pPr>
      <w:r>
        <w:rPr/>
        <w:t>年</w:t>
      </w:r>
      <w:r>
        <w:rPr>
          <w:spacing w:val="-75"/>
        </w:rPr>
        <w:t> </w:t>
      </w:r>
      <w:r>
        <w:rPr/>
        <w:t>4</w:t>
      </w:r>
      <w:r>
        <w:rPr>
          <w:spacing w:val="-75"/>
        </w:rPr>
        <w:t> </w:t>
      </w:r>
      <w:r>
        <w:rPr/>
        <w:t>月</w:t>
      </w:r>
      <w:r>
        <w:rPr>
          <w:spacing w:val="-75"/>
        </w:rPr>
        <w:t> </w:t>
      </w:r>
      <w:r>
        <w:rPr/>
        <w:t>20</w:t>
      </w:r>
      <w:r>
        <w:rPr>
          <w:spacing w:val="-75"/>
        </w:rPr>
        <w:t> </w:t>
      </w:r>
      <w:r>
        <w:rPr/>
        <w:t>日重组协议尚未达成。农产品公司已依据民润公司的财务状况及重组现</w:t>
      </w:r>
      <w:r>
        <w:rPr/>
        <w:t> </w:t>
      </w:r>
      <w:r>
        <w:rPr>
          <w:spacing w:val="7"/>
        </w:rPr>
        <w:t>状对相关债权和担保的损失进行了合理估计。本段内容不影响已发表的审计意</w:t>
      </w:r>
      <w:r>
        <w:rPr>
          <w:spacing w:val="-98"/>
        </w:rPr>
        <w:t> </w:t>
      </w:r>
      <w:r>
        <w:rPr>
          <w:spacing w:val="-98"/>
        </w:rPr>
      </w:r>
      <w:r>
        <w:rPr/>
        <w:t>见。”</w:t>
      </w:r>
    </w:p>
    <w:p>
      <w:pPr>
        <w:spacing w:line="240" w:lineRule="auto" w:before="7"/>
        <w:rPr>
          <w:rFonts w:ascii="宋体" w:hAnsi="宋体" w:cs="宋体" w:eastAsia="宋体" w:hint="default"/>
          <w:sz w:val="18"/>
          <w:szCs w:val="18"/>
        </w:rPr>
      </w:pPr>
    </w:p>
    <w:p>
      <w:pPr>
        <w:pStyle w:val="BodyText"/>
        <w:spacing w:line="240" w:lineRule="auto" w:before="0"/>
        <w:ind w:left="780" w:right="92"/>
        <w:jc w:val="left"/>
      </w:pPr>
      <w:r>
        <w:rPr/>
        <w:t>公司董事会就上述强调事项所涉内容说明如下：</w:t>
      </w:r>
    </w:p>
    <w:p>
      <w:pPr>
        <w:spacing w:line="240" w:lineRule="auto" w:before="10"/>
        <w:rPr>
          <w:rFonts w:ascii="宋体" w:hAnsi="宋体" w:cs="宋体" w:eastAsia="宋体" w:hint="default"/>
          <w:sz w:val="18"/>
          <w:szCs w:val="18"/>
        </w:rPr>
      </w:pPr>
    </w:p>
    <w:p>
      <w:pPr>
        <w:pStyle w:val="BodyText"/>
        <w:spacing w:line="427" w:lineRule="auto" w:before="0"/>
        <w:ind w:right="86" w:firstLine="480"/>
        <w:jc w:val="left"/>
      </w:pPr>
      <w:r>
        <w:rPr/>
        <w:t>1、截止</w:t>
      </w:r>
      <w:r>
        <w:rPr>
          <w:spacing w:val="-53"/>
        </w:rPr>
        <w:t> </w:t>
      </w:r>
      <w:r>
        <w:rPr/>
        <w:t>2009</w:t>
      </w:r>
      <w:r>
        <w:rPr>
          <w:spacing w:val="-53"/>
        </w:rPr>
        <w:t> </w:t>
      </w:r>
      <w:r>
        <w:rPr/>
        <w:t>年</w:t>
      </w:r>
      <w:r>
        <w:rPr>
          <w:spacing w:val="-53"/>
        </w:rPr>
        <w:t> </w:t>
      </w:r>
      <w:r>
        <w:rPr/>
        <w:t>12</w:t>
      </w:r>
      <w:r>
        <w:rPr>
          <w:spacing w:val="-53"/>
        </w:rPr>
        <w:t> </w:t>
      </w:r>
      <w:r>
        <w:rPr/>
        <w:t>月</w:t>
      </w:r>
      <w:r>
        <w:rPr>
          <w:spacing w:val="-53"/>
        </w:rPr>
        <w:t> </w:t>
      </w:r>
      <w:r>
        <w:rPr/>
        <w:t>31</w:t>
      </w:r>
      <w:r>
        <w:rPr>
          <w:spacing w:val="-53"/>
        </w:rPr>
        <w:t> </w:t>
      </w:r>
      <w:r>
        <w:rPr/>
        <w:t>日，公司及全资子公司深圳市果菜贸易公司合计持</w:t>
      </w:r>
      <w:r>
        <w:rPr/>
        <w:t> 有民润公司</w:t>
      </w:r>
      <w:r>
        <w:rPr>
          <w:spacing w:val="-95"/>
        </w:rPr>
        <w:t> </w:t>
      </w:r>
      <w:r>
        <w:rPr>
          <w:spacing w:val="-5"/>
        </w:rPr>
        <w:t>47.76%股权，并拥有对民润公司的债权（账面数）142,741,972.95</w:t>
      </w:r>
      <w:r>
        <w:rPr>
          <w:spacing w:val="-95"/>
        </w:rPr>
        <w:t> </w:t>
      </w:r>
      <w:r>
        <w:rPr/>
        <w:t>元</w:t>
      </w:r>
      <w:r>
        <w:rPr>
          <w:spacing w:val="-95"/>
        </w:rPr>
        <w:t> </w:t>
      </w:r>
      <w:r>
        <w:rPr/>
        <w:t>，</w:t>
      </w:r>
      <w:r>
        <w:rPr>
          <w:w w:val="75"/>
        </w:rPr>
        <w:t> </w:t>
      </w:r>
      <w:r>
        <w:rPr/>
        <w:t>为民润公司向银行贷款</w:t>
      </w:r>
      <w:r>
        <w:rPr>
          <w:spacing w:val="-52"/>
        </w:rPr>
        <w:t> </w:t>
      </w:r>
      <w:r>
        <w:rPr/>
        <w:t>1.3</w:t>
      </w:r>
      <w:r>
        <w:rPr>
          <w:spacing w:val="-52"/>
        </w:rPr>
        <w:t> </w:t>
      </w:r>
      <w:r>
        <w:rPr/>
        <w:t>亿元提供连带责任担保。目前，民润公司净资产已为</w:t>
      </w:r>
      <w:r>
        <w:rPr>
          <w:spacing w:val="-110"/>
        </w:rPr>
        <w:t> </w:t>
      </w:r>
      <w:r>
        <w:rPr>
          <w:spacing w:val="-110"/>
        </w:rPr>
      </w:r>
      <w:r>
        <w:rPr/>
        <w:t>负值。</w:t>
      </w:r>
    </w:p>
    <w:p>
      <w:pPr>
        <w:pStyle w:val="BodyText"/>
        <w:spacing w:line="429" w:lineRule="auto" w:before="58"/>
        <w:ind w:right="149" w:firstLine="480"/>
        <w:jc w:val="left"/>
      </w:pPr>
      <w:r>
        <w:rPr/>
        <w:t>根据公司会计政策和民润公司的运营现状，公司对应收民润公司账款全额计 提资产减值</w:t>
      </w:r>
      <w:r>
        <w:rPr>
          <w:spacing w:val="-67"/>
        </w:rPr>
        <w:t> </w:t>
      </w:r>
      <w:r>
        <w:rPr/>
        <w:t>142,741,972.95</w:t>
      </w:r>
      <w:r>
        <w:rPr>
          <w:spacing w:val="-67"/>
        </w:rPr>
        <w:t> </w:t>
      </w:r>
      <w:r>
        <w:rPr/>
        <w:t>元（2009</w:t>
      </w:r>
      <w:r>
        <w:rPr>
          <w:spacing w:val="-67"/>
        </w:rPr>
        <w:t> </w:t>
      </w:r>
      <w:r>
        <w:rPr/>
        <w:t>年度计提</w:t>
      </w:r>
      <w:r>
        <w:rPr>
          <w:spacing w:val="-67"/>
        </w:rPr>
        <w:t> </w:t>
      </w:r>
      <w:r>
        <w:rPr/>
        <w:t>71,010,395.53</w:t>
      </w:r>
      <w:r>
        <w:rPr>
          <w:spacing w:val="-67"/>
        </w:rPr>
        <w:t> </w:t>
      </w:r>
      <w:r>
        <w:rPr>
          <w:spacing w:val="-11"/>
        </w:rPr>
        <w:t>元）；对民润公司</w:t>
      </w:r>
    </w:p>
    <w:p>
      <w:pPr>
        <w:pStyle w:val="BodyText"/>
        <w:spacing w:line="427" w:lineRule="auto" w:before="55"/>
        <w:ind w:right="165"/>
        <w:jc w:val="both"/>
      </w:pPr>
      <w:r>
        <w:rPr/>
        <w:t>向银行贷款</w:t>
      </w:r>
      <w:r>
        <w:rPr>
          <w:spacing w:val="-59"/>
        </w:rPr>
        <w:t> </w:t>
      </w:r>
      <w:r>
        <w:rPr/>
        <w:t>1.3</w:t>
      </w:r>
      <w:r>
        <w:rPr>
          <w:spacing w:val="-59"/>
        </w:rPr>
        <w:t> </w:t>
      </w:r>
      <w:r>
        <w:rPr/>
        <w:t>亿元提供担保按</w:t>
      </w:r>
      <w:r>
        <w:rPr>
          <w:spacing w:val="-59"/>
        </w:rPr>
        <w:t> </w:t>
      </w:r>
      <w:r>
        <w:rPr/>
        <w:t>50%的比例确认预计负债</w:t>
      </w:r>
      <w:r>
        <w:rPr>
          <w:spacing w:val="-59"/>
        </w:rPr>
        <w:t> </w:t>
      </w:r>
      <w:r>
        <w:rPr/>
        <w:t>6,500</w:t>
      </w:r>
      <w:r>
        <w:rPr>
          <w:spacing w:val="-59"/>
        </w:rPr>
        <w:t> </w:t>
      </w:r>
      <w:r>
        <w:rPr>
          <w:spacing w:val="10"/>
          <w:w w:val="92"/>
        </w:rPr>
        <w:t>万元</w:t>
      </w:r>
      <w:r>
        <w:rPr>
          <w:spacing w:val="-91"/>
          <w:w w:val="92"/>
        </w:rPr>
        <w:t> </w:t>
      </w:r>
      <w:r>
        <w:rPr>
          <w:spacing w:val="-31"/>
          <w:w w:val="92"/>
        </w:rPr>
        <w:t>。以上</w:t>
      </w:r>
      <w:r>
        <w:rPr>
          <w:spacing w:val="-91"/>
          <w:w w:val="92"/>
        </w:rPr>
        <w:t> </w:t>
      </w:r>
      <w:r>
        <w:rPr>
          <w:spacing w:val="12"/>
          <w:w w:val="94"/>
        </w:rPr>
        <w:t>事项对</w:t>
      </w:r>
      <w:r>
        <w:rPr/>
        <w:t> 公司</w:t>
      </w:r>
      <w:r>
        <w:rPr>
          <w:spacing w:val="-60"/>
        </w:rPr>
        <w:t> </w:t>
      </w:r>
      <w:r>
        <w:rPr/>
        <w:t>2009</w:t>
      </w:r>
      <w:r>
        <w:rPr>
          <w:spacing w:val="-60"/>
        </w:rPr>
        <w:t> </w:t>
      </w:r>
      <w:r>
        <w:rPr/>
        <w:t>年度利润的影响为-136,010,395.53</w:t>
      </w:r>
      <w:r>
        <w:rPr>
          <w:spacing w:val="-60"/>
        </w:rPr>
        <w:t> </w:t>
      </w:r>
      <w:r>
        <w:rPr/>
        <w:t>元。</w:t>
      </w:r>
    </w:p>
    <w:p>
      <w:pPr>
        <w:pStyle w:val="BodyText"/>
        <w:spacing w:line="240" w:lineRule="auto" w:before="60"/>
        <w:ind w:left="780" w:right="0"/>
        <w:jc w:val="left"/>
      </w:pPr>
      <w:r>
        <w:rPr/>
        <w:t>2、目前，公司与华润（集团）有限公司等有关各方就民润重组事宜仍在洽谈</w:t>
      </w:r>
    </w:p>
    <w:p>
      <w:pPr>
        <w:spacing w:after="0" w:line="240" w:lineRule="auto"/>
        <w:jc w:val="left"/>
        <w:sectPr>
          <w:headerReference w:type="default" r:id="rId103"/>
          <w:footerReference w:type="default" r:id="rId104"/>
          <w:pgSz w:w="11910" w:h="16840"/>
          <w:pgMar w:header="0" w:footer="1095" w:top="1040" w:bottom="1280" w:left="1680" w:right="1300"/>
          <w:pgNumType w:start="55"/>
        </w:sectPr>
      </w:pPr>
    </w:p>
    <w:p>
      <w:pPr>
        <w:pStyle w:val="BodyText"/>
        <w:spacing w:line="427" w:lineRule="auto" w:before="2"/>
        <w:ind w:right="129"/>
        <w:jc w:val="both"/>
      </w:pPr>
      <w:r>
        <w:rPr/>
        <w:t>中，尚未达成协议。深圳南方民和会计师事务所有限责任公司出具的带强调事项</w:t>
      </w:r>
      <w:r>
        <w:rPr>
          <w:spacing w:val="-91"/>
        </w:rPr>
        <w:t> </w:t>
      </w:r>
      <w:r>
        <w:rPr>
          <w:spacing w:val="-91"/>
        </w:rPr>
      </w:r>
      <w:r>
        <w:rPr/>
        <w:t>段无保留意见审计报告说明中阐述的计提事项，基本反映了前述事项的情形。公</w:t>
      </w:r>
      <w:r>
        <w:rPr>
          <w:spacing w:val="-91"/>
        </w:rPr>
        <w:t> </w:t>
      </w:r>
      <w:r>
        <w:rPr>
          <w:spacing w:val="-91"/>
        </w:rPr>
      </w:r>
      <w:r>
        <w:rPr/>
        <w:t>司将以最大限度维护公司权益为准则，继续推动民润事项的顺利解决。公司将及</w:t>
      </w:r>
    </w:p>
    <w:p>
      <w:pPr>
        <w:pStyle w:val="BodyText"/>
        <w:spacing w:line="240" w:lineRule="auto" w:before="60"/>
        <w:ind w:right="0"/>
        <w:jc w:val="both"/>
      </w:pPr>
      <w:r>
        <w:rPr/>
        <w:t>时披露前述事项进展情况。</w:t>
      </w:r>
    </w:p>
    <w:p>
      <w:pPr>
        <w:pStyle w:val="BodyText"/>
        <w:spacing w:line="357" w:lineRule="auto" w:before="118"/>
        <w:ind w:left="780" w:right="90" w:hanging="120"/>
        <w:jc w:val="left"/>
      </w:pPr>
      <w:r>
        <w:rPr/>
        <w:t>（二）独立董事对审计报告意见的说明 深圳南方民和会计师事务所有限责任公司出具的《深圳市农产品股份有限公</w:t>
      </w:r>
    </w:p>
    <w:p>
      <w:pPr>
        <w:pStyle w:val="BodyText"/>
        <w:spacing w:line="357" w:lineRule="auto"/>
        <w:ind w:right="101"/>
        <w:jc w:val="both"/>
      </w:pPr>
      <w:r>
        <w:rPr/>
        <w:t>司</w:t>
      </w:r>
      <w:r>
        <w:rPr>
          <w:spacing w:val="-89"/>
        </w:rPr>
        <w:t> </w:t>
      </w:r>
      <w:r>
        <w:rPr/>
        <w:t>2009</w:t>
      </w:r>
      <w:r>
        <w:rPr>
          <w:spacing w:val="-89"/>
        </w:rPr>
        <w:t> </w:t>
      </w:r>
      <w:r>
        <w:rPr/>
        <w:t>年度带强调事项段无保留意见的审计报告》之强调事项阐述了对民润公司</w:t>
      </w:r>
      <w:r>
        <w:rPr/>
        <w:t> 计提坏账准备及预计负债事项基本反映了民润公司现状，独立董事同意董事会说</w:t>
      </w:r>
      <w:r>
        <w:rPr>
          <w:spacing w:val="-91"/>
        </w:rPr>
        <w:t> </w:t>
      </w:r>
      <w:r>
        <w:rPr>
          <w:spacing w:val="-91"/>
        </w:rPr>
      </w:r>
      <w:r>
        <w:rPr>
          <w:spacing w:val="-2"/>
          <w:w w:val="95"/>
        </w:rPr>
        <w:t>明，并认为公司应积极促进民润重组事宜达成协议，最大限度降低公司财务风险。</w:t>
      </w:r>
      <w:r>
        <w:rPr>
          <w:spacing w:val="-2"/>
        </w:rPr>
      </w:r>
    </w:p>
    <w:p>
      <w:pPr>
        <w:pStyle w:val="Heading5"/>
        <w:spacing w:line="378" w:lineRule="exact"/>
        <w:ind w:left="770" w:right="90"/>
        <w:jc w:val="left"/>
        <w:rPr>
          <w:b w:val="0"/>
          <w:bCs w:val="0"/>
        </w:rPr>
      </w:pPr>
      <w:r>
        <w:rPr/>
        <w:t>二、报告期内公司未发生会计估计变更事项和会计差错更正事项。</w:t>
      </w:r>
      <w:r>
        <w:rPr>
          <w:b w:val="0"/>
          <w:bCs w:val="0"/>
        </w:rPr>
      </w:r>
    </w:p>
    <w:p>
      <w:pPr>
        <w:spacing w:line="268" w:lineRule="auto" w:before="50"/>
        <w:ind w:left="780" w:right="2786" w:firstLine="0"/>
        <w:jc w:val="left"/>
        <w:rPr>
          <w:rFonts w:ascii="宋体" w:hAnsi="宋体" w:cs="宋体" w:eastAsia="宋体" w:hint="default"/>
          <w:sz w:val="24"/>
          <w:szCs w:val="24"/>
        </w:rPr>
      </w:pPr>
      <w:bookmarkStart w:name="第六节董事会日常工作情况" w:id="19"/>
      <w:bookmarkEnd w:id="19"/>
      <w:r>
        <w:rPr/>
      </w:r>
      <w:r>
        <w:rPr>
          <w:rFonts w:ascii="Microsoft JhengHei" w:hAnsi="Microsoft JhengHei" w:cs="Microsoft JhengHei" w:eastAsia="Microsoft JhengHei" w:hint="default"/>
          <w:b/>
          <w:bCs/>
          <w:sz w:val="24"/>
          <w:szCs w:val="24"/>
        </w:rPr>
        <w:t>第六节 董事会日常工作情况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Microsoft JhengHei" w:hAnsi="Microsoft JhengHei" w:cs="Microsoft JhengHei" w:eastAsia="Microsoft JhengHei" w:hint="default"/>
          <w:b/>
          <w:bCs/>
          <w:sz w:val="24"/>
          <w:szCs w:val="24"/>
        </w:rPr>
        <w:t>一、报告期内董事会的会议情况及决议内容</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z w:val="24"/>
          <w:szCs w:val="24"/>
        </w:rPr>
        <w:t>报告期内，公司第五届董事会共召开十六次会议。</w:t>
      </w:r>
    </w:p>
    <w:p>
      <w:pPr>
        <w:pStyle w:val="BodyText"/>
        <w:spacing w:line="357" w:lineRule="auto" w:before="204"/>
        <w:ind w:right="105" w:firstLine="477"/>
        <w:jc w:val="both"/>
      </w:pPr>
      <w:r>
        <w:rPr>
          <w:spacing w:val="-2"/>
        </w:rPr>
        <w:t>1、公司第五届董事会第十八次会议于2009年2月9日召开，会议决议公告刊登</w:t>
      </w:r>
      <w:r>
        <w:rPr/>
        <w:t> </w:t>
      </w:r>
      <w:r>
        <w:rPr>
          <w:spacing w:val="-2"/>
        </w:rPr>
        <w:t>在2009年3月17日的《证券时报》、《中国证券报》、《上海证券报》及巨潮资讯</w:t>
      </w:r>
      <w:r>
        <w:rPr>
          <w:spacing w:val="-106"/>
        </w:rPr>
        <w:t> </w:t>
      </w:r>
      <w:r>
        <w:rPr>
          <w:spacing w:val="-106"/>
        </w:rPr>
      </w:r>
      <w:r>
        <w:rPr/>
        <w:t>网上。</w:t>
      </w:r>
    </w:p>
    <w:p>
      <w:pPr>
        <w:pStyle w:val="BodyText"/>
        <w:spacing w:line="271" w:lineRule="exact" w:before="0"/>
        <w:ind w:right="0" w:firstLine="480"/>
        <w:jc w:val="both"/>
      </w:pPr>
      <w:r>
        <w:rPr/>
        <w:t>2、公司第五届董事会第十九次会议于2009年2月18日召开，会议决议公告刊</w:t>
      </w:r>
    </w:p>
    <w:p>
      <w:pPr>
        <w:pStyle w:val="BodyText"/>
        <w:spacing w:line="357" w:lineRule="auto" w:before="154"/>
        <w:ind w:right="105"/>
        <w:jc w:val="both"/>
      </w:pPr>
      <w:r>
        <w:rPr>
          <w:spacing w:val="-2"/>
        </w:rPr>
        <w:t>登在2009年2月20日的《证券时报》、《中国证券报》、《上海证券报》及巨潮资</w:t>
      </w:r>
      <w:r>
        <w:rPr>
          <w:spacing w:val="-107"/>
        </w:rPr>
        <w:t> </w:t>
      </w:r>
      <w:r>
        <w:rPr>
          <w:spacing w:val="-107"/>
        </w:rPr>
      </w:r>
      <w:r>
        <w:rPr/>
        <w:t>讯网上。</w:t>
      </w:r>
    </w:p>
    <w:p>
      <w:pPr>
        <w:pStyle w:val="BodyText"/>
        <w:spacing w:line="357" w:lineRule="auto"/>
        <w:ind w:right="105" w:firstLine="480"/>
        <w:jc w:val="both"/>
      </w:pPr>
      <w:r>
        <w:rPr>
          <w:spacing w:val="-2"/>
        </w:rPr>
        <w:t>3、公司第五届董事会第二十次会议于2009年4月3日召开，会议决议公告刊登</w:t>
      </w:r>
      <w:r>
        <w:rPr/>
        <w:t> 在2009年4月9日的《证券时报》、《中国证券报》、《上海证券报》及巨潮资讯 网上。</w:t>
      </w:r>
    </w:p>
    <w:p>
      <w:pPr>
        <w:pStyle w:val="BodyText"/>
        <w:spacing w:line="357" w:lineRule="auto"/>
        <w:ind w:right="165" w:firstLine="480"/>
        <w:jc w:val="both"/>
      </w:pPr>
      <w:r>
        <w:rPr/>
        <w:t>4、公司第五届董事会于2009年3月30日以通讯表决方式召开，会议决议公告 刊登在2009年4月8日的《证券时报》、《中国证券报》、《上海证券报》及巨潮 资讯网上。</w:t>
      </w:r>
    </w:p>
    <w:p>
      <w:pPr>
        <w:pStyle w:val="BodyText"/>
        <w:spacing w:line="357" w:lineRule="auto"/>
        <w:ind w:right="105" w:firstLine="480"/>
        <w:jc w:val="both"/>
      </w:pPr>
      <w:r>
        <w:rPr/>
        <w:t>5、公司第五届董事会第二十一次会议于2009年4月22日召开，会议决议公告 </w:t>
      </w:r>
      <w:r>
        <w:rPr>
          <w:spacing w:val="-2"/>
        </w:rPr>
        <w:t>刊登在2009年4月23日的《证券时报》、《中国证券报》、《上海证券报》及巨潮</w:t>
      </w:r>
      <w:r>
        <w:rPr>
          <w:spacing w:val="-107"/>
        </w:rPr>
        <w:t> </w:t>
      </w:r>
      <w:r>
        <w:rPr>
          <w:spacing w:val="-107"/>
        </w:rPr>
      </w:r>
      <w:r>
        <w:rPr/>
        <w:t>资讯网上。</w:t>
      </w:r>
    </w:p>
    <w:p>
      <w:pPr>
        <w:pStyle w:val="BodyText"/>
        <w:spacing w:line="357" w:lineRule="auto"/>
        <w:ind w:right="165" w:firstLine="480"/>
        <w:jc w:val="both"/>
      </w:pPr>
      <w:r>
        <w:rPr/>
        <w:t>6、公司第五届董事会会议于2009年4月22日召开，审议通过了《公司2009年 第一季度报告》</w:t>
      </w:r>
    </w:p>
    <w:p>
      <w:pPr>
        <w:spacing w:after="0" w:line="357" w:lineRule="auto"/>
        <w:jc w:val="both"/>
        <w:sectPr>
          <w:headerReference w:type="default" r:id="rId105"/>
          <w:footerReference w:type="default" r:id="rId106"/>
          <w:pgSz w:w="11910" w:h="16840"/>
          <w:pgMar w:header="0" w:footer="1095" w:top="1240" w:bottom="1280" w:left="1680" w:right="1360"/>
          <w:pgNumType w:start="56"/>
        </w:sectPr>
      </w:pPr>
    </w:p>
    <w:p>
      <w:pPr>
        <w:pStyle w:val="BodyText"/>
        <w:spacing w:line="357" w:lineRule="auto" w:before="0"/>
        <w:ind w:right="105" w:firstLine="480"/>
        <w:jc w:val="both"/>
      </w:pPr>
      <w:r>
        <w:rPr/>
        <w:t>7、公司第五届董事会会议于2009年5月15日召开，会议决议公告刊登在2009 年5月19日的《证券时报》、《中国证券报》、《上海证券报》及巨潮资讯网上。</w:t>
      </w:r>
    </w:p>
    <w:p>
      <w:pPr>
        <w:pStyle w:val="BodyText"/>
        <w:spacing w:line="357" w:lineRule="auto"/>
        <w:ind w:right="161" w:firstLine="480"/>
        <w:jc w:val="both"/>
      </w:pPr>
      <w:r>
        <w:rPr>
          <w:spacing w:val="-2"/>
          <w:w w:val="95"/>
        </w:rPr>
        <w:t>8、公司第五届董事会第二十二次会议于2009年6月11日以通讯表决方式召开，</w:t>
      </w:r>
      <w:r>
        <w:rPr>
          <w:w w:val="51"/>
        </w:rPr>
        <w:t> </w:t>
      </w:r>
      <w:r>
        <w:rPr>
          <w:spacing w:val="-2"/>
        </w:rPr>
        <w:t>会议决议相关公告刊登在2009年6月24日的《证券时报》、《中国证券报》、《上</w:t>
      </w:r>
      <w:r>
        <w:rPr>
          <w:spacing w:val="-106"/>
        </w:rPr>
        <w:t> </w:t>
      </w:r>
      <w:r>
        <w:rPr>
          <w:spacing w:val="-106"/>
        </w:rPr>
      </w:r>
      <w:r>
        <w:rPr/>
        <w:t>海证券报》及巨潮资讯网上。。</w:t>
      </w:r>
    </w:p>
    <w:p>
      <w:pPr>
        <w:pStyle w:val="BodyText"/>
        <w:spacing w:line="357" w:lineRule="auto"/>
        <w:ind w:right="165" w:firstLine="480"/>
        <w:jc w:val="both"/>
      </w:pPr>
      <w:r>
        <w:rPr/>
        <w:t>9、公司第五届董事会第二十三次会议于2009年7月13日召开，会议决议公告 </w:t>
      </w:r>
      <w:r>
        <w:rPr>
          <w:spacing w:val="-2"/>
        </w:rPr>
        <w:t>刊登在2009年7月15日的《证券时报》、《中国证券报》、《上海证券报》、《证</w:t>
      </w:r>
      <w:r>
        <w:rPr>
          <w:spacing w:val="-106"/>
        </w:rPr>
        <w:t> </w:t>
      </w:r>
      <w:r>
        <w:rPr>
          <w:spacing w:val="-106"/>
        </w:rPr>
      </w:r>
      <w:r>
        <w:rPr/>
        <w:t>券日报》及巨潮资讯网上。</w:t>
      </w:r>
    </w:p>
    <w:p>
      <w:pPr>
        <w:pStyle w:val="BodyText"/>
        <w:spacing w:line="357" w:lineRule="auto"/>
        <w:ind w:right="165" w:firstLine="480"/>
        <w:jc w:val="both"/>
      </w:pPr>
      <w:r>
        <w:rPr>
          <w:spacing w:val="-2"/>
        </w:rPr>
        <w:t>10、公司第五届董事会会议于2009年7月27日召开，审议通过了《关于购买办</w:t>
      </w:r>
      <w:r>
        <w:rPr/>
        <w:t> 公物业的议案》</w:t>
      </w:r>
    </w:p>
    <w:p>
      <w:pPr>
        <w:pStyle w:val="BodyText"/>
        <w:spacing w:line="357" w:lineRule="auto"/>
        <w:ind w:right="165" w:firstLine="480"/>
        <w:jc w:val="both"/>
      </w:pPr>
      <w:r>
        <w:rPr>
          <w:spacing w:val="-2"/>
        </w:rPr>
        <w:t>11、公司第五届董事会第二十四次会议于2009年8月11日召开，会议决议公告</w:t>
      </w:r>
      <w:r>
        <w:rPr/>
        <w:t> </w:t>
      </w:r>
      <w:r>
        <w:rPr>
          <w:spacing w:val="-2"/>
        </w:rPr>
        <w:t>刊登在2009年8月12日的《证券时报》、《中国证券报》、《上海证券报》、《证</w:t>
      </w:r>
      <w:r>
        <w:rPr>
          <w:spacing w:val="-106"/>
        </w:rPr>
        <w:t> </w:t>
      </w:r>
      <w:r>
        <w:rPr>
          <w:spacing w:val="-106"/>
        </w:rPr>
      </w:r>
      <w:r>
        <w:rPr/>
        <w:t>券日报》及巨潮资讯网上。</w:t>
      </w:r>
    </w:p>
    <w:p>
      <w:pPr>
        <w:pStyle w:val="BodyText"/>
        <w:spacing w:line="357" w:lineRule="auto"/>
        <w:ind w:right="225" w:firstLine="480"/>
        <w:jc w:val="both"/>
      </w:pPr>
      <w:r>
        <w:rPr/>
        <w:t>12、公司第五届董事会第二十五次会议于2009年10月10日召开，会议决议公 告刊登在2009年10月13日的《证券时报》、《中国证券报》、《上海证券报》、</w:t>
      </w:r>
    </w:p>
    <w:p>
      <w:pPr>
        <w:pStyle w:val="BodyText"/>
        <w:spacing w:line="357" w:lineRule="auto"/>
        <w:ind w:left="780" w:right="206" w:hanging="480"/>
        <w:jc w:val="left"/>
      </w:pPr>
      <w:r>
        <w:rPr/>
        <w:t>《证券日报》及巨潮资讯网上。 13、公司第五届董事会第二十六次会议于2009年10月23日召开，会议决议公</w:t>
      </w:r>
    </w:p>
    <w:p>
      <w:pPr>
        <w:pStyle w:val="BodyText"/>
        <w:spacing w:line="240" w:lineRule="auto"/>
        <w:ind w:right="92"/>
        <w:jc w:val="left"/>
      </w:pPr>
      <w:r>
        <w:rPr/>
        <w:t>告刊登在2009年10月24日的《证券时报》、《中国证券报》、《上海证券报》、</w:t>
      </w:r>
    </w:p>
    <w:p>
      <w:pPr>
        <w:pStyle w:val="BodyText"/>
        <w:spacing w:line="357" w:lineRule="auto" w:before="154"/>
        <w:ind w:left="780" w:right="162" w:hanging="480"/>
        <w:jc w:val="left"/>
      </w:pPr>
      <w:r>
        <w:rPr/>
        <w:t>《证券日报》及巨潮资讯网上。 </w:t>
      </w:r>
      <w:r>
        <w:rPr>
          <w:spacing w:val="-2"/>
        </w:rPr>
        <w:t>14、公司第五届董事会第二十七次会议于2009年12月1日召开，会议决议公告</w:t>
      </w:r>
    </w:p>
    <w:p>
      <w:pPr>
        <w:pStyle w:val="BodyText"/>
        <w:spacing w:line="357" w:lineRule="auto"/>
        <w:ind w:right="164"/>
        <w:jc w:val="left"/>
      </w:pPr>
      <w:r>
        <w:rPr>
          <w:spacing w:val="-2"/>
        </w:rPr>
        <w:t>刊登在2009年12月3日的《证券时报》、《中国证券报》、《上海证券报》、《证</w:t>
      </w:r>
      <w:r>
        <w:rPr>
          <w:spacing w:val="-106"/>
        </w:rPr>
        <w:t> </w:t>
      </w:r>
      <w:r>
        <w:rPr>
          <w:spacing w:val="-106"/>
        </w:rPr>
      </w:r>
      <w:r>
        <w:rPr/>
        <w:t>券日报》及巨潮资讯网上。</w:t>
      </w:r>
    </w:p>
    <w:p>
      <w:pPr>
        <w:pStyle w:val="BodyText"/>
        <w:spacing w:line="357" w:lineRule="auto"/>
        <w:ind w:right="225" w:firstLine="480"/>
        <w:jc w:val="both"/>
      </w:pPr>
      <w:r>
        <w:rPr/>
        <w:t>15、公司第五届董事会第二十八次会议于2009年12月15日召开，会议决议公 告刊登在2009年12月18日的《证券时报》、《中国证券报》、《上海证券报》、</w:t>
      </w:r>
    </w:p>
    <w:p>
      <w:pPr>
        <w:pStyle w:val="BodyText"/>
        <w:spacing w:line="357" w:lineRule="auto"/>
        <w:ind w:left="780" w:right="206" w:hanging="480"/>
        <w:jc w:val="left"/>
      </w:pPr>
      <w:r>
        <w:rPr/>
        <w:t>《证券日报》及巨潮资讯网上。 16、公司第六届董事会第一次会议于2009年12月18日召开，会议决议公告刊</w:t>
      </w:r>
    </w:p>
    <w:p>
      <w:pPr>
        <w:pStyle w:val="BodyText"/>
        <w:spacing w:line="357" w:lineRule="auto"/>
        <w:ind w:right="206"/>
        <w:jc w:val="left"/>
      </w:pPr>
      <w:r>
        <w:rPr/>
        <w:t>登在2009年12月19日的《证券时报》、《中国证券报》、《上海证券报》、《证 券日报》及巨潮资讯网上。</w:t>
      </w:r>
    </w:p>
    <w:p>
      <w:pPr>
        <w:spacing w:line="312" w:lineRule="auto" w:before="36"/>
        <w:ind w:left="780" w:right="9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二、董事会对股东大会决议的执行情况</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z w:val="24"/>
          <w:szCs w:val="24"/>
        </w:rPr>
        <w:t>报告期内，公司董事会严格按照股东大会的决议和授权，认真执行股东大会</w:t>
      </w:r>
    </w:p>
    <w:p>
      <w:pPr>
        <w:pStyle w:val="BodyText"/>
        <w:spacing w:line="240" w:lineRule="auto" w:before="82"/>
        <w:ind w:right="92"/>
        <w:jc w:val="left"/>
      </w:pPr>
      <w:r>
        <w:rPr/>
        <w:t>通过的各项决议。具体执行情况如下：</w:t>
      </w:r>
    </w:p>
    <w:p>
      <w:pPr>
        <w:spacing w:after="0" w:line="240" w:lineRule="auto"/>
        <w:jc w:val="left"/>
        <w:sectPr>
          <w:headerReference w:type="default" r:id="rId107"/>
          <w:footerReference w:type="default" r:id="rId108"/>
          <w:pgSz w:w="11910" w:h="16840"/>
          <w:pgMar w:header="0" w:footer="1095" w:top="1040" w:bottom="1280" w:left="1680" w:right="1300"/>
          <w:pgNumType w:start="57"/>
        </w:sectPr>
      </w:pPr>
    </w:p>
    <w:p>
      <w:pPr>
        <w:spacing w:line="354" w:lineRule="exact" w:before="0"/>
        <w:ind w:left="780"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1、2008</w:t>
      </w:r>
      <w:r>
        <w:rPr>
          <w:rFonts w:ascii="Microsoft JhengHei" w:hAnsi="Microsoft JhengHei" w:cs="Microsoft JhengHei" w:eastAsia="Microsoft JhengHei" w:hint="default"/>
          <w:b/>
          <w:bCs/>
          <w:spacing w:val="-11"/>
          <w:sz w:val="24"/>
          <w:szCs w:val="24"/>
        </w:rPr>
        <w:t> </w:t>
      </w:r>
      <w:r>
        <w:rPr>
          <w:rFonts w:ascii="Microsoft JhengHei" w:hAnsi="Microsoft JhengHei" w:cs="Microsoft JhengHei" w:eastAsia="Microsoft JhengHei" w:hint="default"/>
          <w:b/>
          <w:bCs/>
          <w:sz w:val="24"/>
          <w:szCs w:val="24"/>
        </w:rPr>
        <w:t>年度利润分配预案执行情况。</w:t>
      </w:r>
      <w:r>
        <w:rPr>
          <w:rFonts w:ascii="宋体" w:hAnsi="宋体" w:cs="宋体" w:eastAsia="宋体" w:hint="default"/>
          <w:sz w:val="24"/>
          <w:szCs w:val="24"/>
        </w:rPr>
        <w:t>2009</w:t>
      </w:r>
      <w:r>
        <w:rPr>
          <w:rFonts w:ascii="宋体" w:hAnsi="宋体" w:cs="宋体" w:eastAsia="宋体" w:hint="default"/>
          <w:spacing w:val="-70"/>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宋体" w:hAnsi="宋体" w:cs="宋体" w:eastAsia="宋体" w:hint="default"/>
          <w:sz w:val="24"/>
          <w:szCs w:val="24"/>
        </w:rPr>
        <w:t>5</w:t>
      </w:r>
      <w:r>
        <w:rPr>
          <w:rFonts w:ascii="宋体" w:hAnsi="宋体" w:cs="宋体" w:eastAsia="宋体" w:hint="default"/>
          <w:spacing w:val="-71"/>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宋体" w:hAnsi="宋体" w:cs="宋体" w:eastAsia="宋体" w:hint="default"/>
          <w:sz w:val="24"/>
          <w:szCs w:val="24"/>
        </w:rPr>
        <w:t>15</w:t>
      </w:r>
      <w:r>
        <w:rPr>
          <w:rFonts w:ascii="宋体" w:hAnsi="宋体" w:cs="宋体" w:eastAsia="宋体" w:hint="default"/>
          <w:spacing w:val="-71"/>
          <w:sz w:val="24"/>
          <w:szCs w:val="24"/>
        </w:rPr>
        <w:t> </w:t>
      </w:r>
      <w:r>
        <w:rPr>
          <w:rFonts w:ascii="宋体" w:hAnsi="宋体" w:cs="宋体" w:eastAsia="宋体" w:hint="default"/>
          <w:sz w:val="24"/>
          <w:szCs w:val="24"/>
        </w:rPr>
        <w:t>日，公司</w:t>
      </w:r>
      <w:r>
        <w:rPr>
          <w:rFonts w:ascii="宋体" w:hAnsi="宋体" w:cs="宋体" w:eastAsia="宋体" w:hint="default"/>
          <w:spacing w:val="-68"/>
          <w:sz w:val="24"/>
          <w:szCs w:val="24"/>
        </w:rPr>
        <w:t> </w:t>
      </w:r>
      <w:r>
        <w:rPr>
          <w:rFonts w:ascii="宋体" w:hAnsi="宋体" w:cs="宋体" w:eastAsia="宋体" w:hint="default"/>
          <w:sz w:val="24"/>
          <w:szCs w:val="24"/>
        </w:rPr>
        <w:t>2008</w:t>
      </w:r>
      <w:r>
        <w:rPr>
          <w:rFonts w:ascii="宋体" w:hAnsi="宋体" w:cs="宋体" w:eastAsia="宋体" w:hint="default"/>
          <w:spacing w:val="-71"/>
          <w:sz w:val="24"/>
          <w:szCs w:val="24"/>
        </w:rPr>
        <w:t> </w:t>
      </w:r>
      <w:r>
        <w:rPr>
          <w:rFonts w:ascii="宋体" w:hAnsi="宋体" w:cs="宋体" w:eastAsia="宋体" w:hint="default"/>
          <w:sz w:val="24"/>
          <w:szCs w:val="24"/>
        </w:rPr>
        <w:t>年度股</w:t>
      </w:r>
    </w:p>
    <w:p>
      <w:pPr>
        <w:pStyle w:val="BodyText"/>
        <w:spacing w:line="240" w:lineRule="auto" w:before="126"/>
        <w:ind w:right="0"/>
        <w:jc w:val="left"/>
      </w:pPr>
      <w:r>
        <w:rPr/>
        <w:t>东大会审议通过了《公司</w:t>
      </w:r>
      <w:r>
        <w:rPr>
          <w:spacing w:val="-60"/>
        </w:rPr>
        <w:t> </w:t>
      </w:r>
      <w:r>
        <w:rPr/>
        <w:t>2008</w:t>
      </w:r>
      <w:r>
        <w:rPr>
          <w:spacing w:val="-60"/>
        </w:rPr>
        <w:t> </w:t>
      </w:r>
      <w:r>
        <w:rPr/>
        <w:t>年度利润分配预案》：</w:t>
      </w:r>
    </w:p>
    <w:p>
      <w:pPr>
        <w:pStyle w:val="BodyText"/>
        <w:spacing w:line="357" w:lineRule="auto" w:before="77"/>
        <w:ind w:left="191" w:right="0" w:firstLine="580"/>
        <w:jc w:val="left"/>
      </w:pPr>
      <w:r>
        <w:rPr/>
        <w:t>公司自</w:t>
      </w:r>
      <w:r>
        <w:rPr>
          <w:spacing w:val="-50"/>
        </w:rPr>
        <w:t> </w:t>
      </w:r>
      <w:r>
        <w:rPr/>
        <w:t>2007</w:t>
      </w:r>
      <w:r>
        <w:rPr>
          <w:spacing w:val="7"/>
        </w:rPr>
        <w:t> </w:t>
      </w:r>
      <w:r>
        <w:rPr/>
        <w:t>年</w:t>
      </w:r>
      <w:r>
        <w:rPr>
          <w:spacing w:val="-56"/>
        </w:rPr>
        <w:t> </w:t>
      </w:r>
      <w:r>
        <w:rPr/>
        <w:t>1</w:t>
      </w:r>
      <w:r>
        <w:rPr>
          <w:spacing w:val="9"/>
        </w:rPr>
        <w:t> </w:t>
      </w:r>
      <w:r>
        <w:rPr/>
        <w:t>月</w:t>
      </w:r>
      <w:r>
        <w:rPr>
          <w:spacing w:val="-56"/>
        </w:rPr>
        <w:t> </w:t>
      </w:r>
      <w:r>
        <w:rPr/>
        <w:t>1</w:t>
      </w:r>
      <w:r>
        <w:rPr>
          <w:spacing w:val="7"/>
        </w:rPr>
        <w:t> </w:t>
      </w:r>
      <w:r>
        <w:rPr/>
        <w:t>日起，开始执行《企业会计准则</w:t>
      </w:r>
      <w:r>
        <w:rPr>
          <w:spacing w:val="-43"/>
        </w:rPr>
        <w:t> </w:t>
      </w:r>
      <w:r>
        <w:rPr/>
        <w:t>2006》。根据新的会</w:t>
      </w:r>
      <w:r>
        <w:rPr/>
        <w:t> 计准则，对子公司的投资采用成本法核算，下属企业未宣布分红派息的利润暂不能</w:t>
      </w:r>
      <w:r>
        <w:rPr>
          <w:spacing w:val="-55"/>
        </w:rPr>
        <w:t> </w:t>
      </w:r>
      <w:r>
        <w:rPr>
          <w:spacing w:val="-55"/>
        </w:rPr>
      </w:r>
      <w:r>
        <w:rPr>
          <w:spacing w:val="3"/>
        </w:rPr>
        <w:t>纳入母公司利润,因此，</w:t>
      </w:r>
      <w:r>
        <w:rPr>
          <w:spacing w:val="31"/>
        </w:rPr>
        <w:t> </w:t>
      </w:r>
      <w:r>
        <w:rPr>
          <w:spacing w:val="3"/>
        </w:rPr>
        <w:t>母公司利润和合并利润存在差异。根据《公司法》规定，</w:t>
      </w:r>
      <w:r>
        <w:rPr>
          <w:spacing w:val="-116"/>
        </w:rPr>
        <w:t> </w:t>
      </w:r>
      <w:r>
        <w:rPr>
          <w:spacing w:val="-116"/>
        </w:rPr>
      </w:r>
      <w:r>
        <w:rPr>
          <w:spacing w:val="-5"/>
        </w:rPr>
        <w:t>进行利润分配应以母公司为主体，因此，公司 </w:t>
      </w:r>
      <w:r>
        <w:rPr/>
        <w:t>2008</w:t>
      </w:r>
      <w:r>
        <w:rPr>
          <w:spacing w:val="-55"/>
        </w:rPr>
        <w:t> </w:t>
      </w:r>
      <w:r>
        <w:rPr/>
        <w:t>年利润分配预案以母公司的可供</w:t>
      </w:r>
      <w:r>
        <w:rPr/>
        <w:t> 分配利润拟定。</w:t>
      </w:r>
    </w:p>
    <w:p>
      <w:pPr>
        <w:pStyle w:val="BodyText"/>
        <w:spacing w:line="240" w:lineRule="auto"/>
        <w:ind w:left="772" w:right="0"/>
        <w:jc w:val="left"/>
      </w:pPr>
      <w:r>
        <w:rPr/>
        <w:t>按母公司报表，2008</w:t>
      </w:r>
      <w:r>
        <w:rPr>
          <w:spacing w:val="-60"/>
        </w:rPr>
        <w:t> </w:t>
      </w:r>
      <w:r>
        <w:rPr/>
        <w:t>年度实现净利润</w:t>
      </w:r>
      <w:r>
        <w:rPr>
          <w:spacing w:val="-60"/>
        </w:rPr>
        <w:t> </w:t>
      </w:r>
      <w:r>
        <w:rPr/>
        <w:t>118,628,247.57</w:t>
      </w:r>
      <w:r>
        <w:rPr>
          <w:spacing w:val="-60"/>
        </w:rPr>
        <w:t> </w:t>
      </w:r>
      <w:r>
        <w:rPr/>
        <w:t>元。</w:t>
      </w:r>
    </w:p>
    <w:p>
      <w:pPr>
        <w:pStyle w:val="BodyText"/>
        <w:spacing w:line="240" w:lineRule="auto" w:before="154"/>
        <w:ind w:left="772" w:right="0"/>
        <w:jc w:val="left"/>
      </w:pPr>
      <w:r>
        <w:rPr/>
        <w:t>公司实施</w:t>
      </w:r>
      <w:r>
        <w:rPr>
          <w:spacing w:val="-47"/>
        </w:rPr>
        <w:t> </w:t>
      </w:r>
      <w:r>
        <w:rPr/>
        <w:t>2007</w:t>
      </w:r>
      <w:r>
        <w:rPr>
          <w:spacing w:val="-54"/>
        </w:rPr>
        <w:t> </w:t>
      </w:r>
      <w:r>
        <w:rPr>
          <w:spacing w:val="2"/>
        </w:rPr>
        <w:t>年度利润分配方案后的未分配利润余额为</w:t>
      </w:r>
      <w:r>
        <w:rPr>
          <w:spacing w:val="-42"/>
        </w:rPr>
        <w:t> </w:t>
      </w:r>
      <w:r>
        <w:rPr/>
        <w:t>20,215,839.11</w:t>
      </w:r>
      <w:r>
        <w:rPr>
          <w:spacing w:val="-52"/>
        </w:rPr>
        <w:t> </w:t>
      </w:r>
      <w:r>
        <w:rPr/>
        <w:t>元，</w:t>
      </w:r>
    </w:p>
    <w:p>
      <w:pPr>
        <w:pStyle w:val="BodyText"/>
        <w:spacing w:line="240" w:lineRule="auto" w:before="154"/>
        <w:ind w:left="122" w:right="206"/>
        <w:jc w:val="center"/>
      </w:pPr>
      <w:r>
        <w:rPr/>
        <w:t>2008</w:t>
      </w:r>
      <w:r>
        <w:rPr>
          <w:spacing w:val="-32"/>
        </w:rPr>
        <w:t> </w:t>
      </w:r>
      <w:r>
        <w:rPr>
          <w:spacing w:val="20"/>
        </w:rPr>
        <w:t>年度实现净利润</w:t>
      </w:r>
      <w:r>
        <w:rPr>
          <w:spacing w:val="-26"/>
        </w:rPr>
        <w:t> </w:t>
      </w:r>
      <w:r>
        <w:rPr/>
        <w:t>118,628,247.57</w:t>
      </w:r>
      <w:r>
        <w:rPr>
          <w:spacing w:val="-34"/>
        </w:rPr>
        <w:t> </w:t>
      </w:r>
      <w:r>
        <w:rPr>
          <w:spacing w:val="9"/>
        </w:rPr>
        <w:t>元，</w:t>
      </w:r>
      <w:r>
        <w:rPr>
          <w:spacing w:val="-94"/>
        </w:rPr>
        <w:t> </w:t>
      </w:r>
      <w:r>
        <w:rPr>
          <w:spacing w:val="19"/>
        </w:rPr>
        <w:t>按净利润的</w:t>
      </w:r>
      <w:r>
        <w:rPr>
          <w:spacing w:val="-26"/>
        </w:rPr>
        <w:t> </w:t>
      </w:r>
      <w:r>
        <w:rPr/>
        <w:t>10%</w:t>
      </w:r>
      <w:r>
        <w:rPr>
          <w:spacing w:val="-94"/>
        </w:rPr>
        <w:t> </w:t>
      </w:r>
      <w:r>
        <w:rPr>
          <w:spacing w:val="20"/>
        </w:rPr>
        <w:t>计提法定盈余公积</w:t>
      </w:r>
    </w:p>
    <w:p>
      <w:pPr>
        <w:pStyle w:val="BodyText"/>
        <w:spacing w:line="240" w:lineRule="auto" w:before="154"/>
        <w:ind w:left="191" w:right="0"/>
        <w:jc w:val="left"/>
      </w:pPr>
      <w:r>
        <w:rPr/>
        <w:t>11,862,824.76</w:t>
      </w:r>
      <w:r>
        <w:rPr>
          <w:spacing w:val="-60"/>
        </w:rPr>
        <w:t> </w:t>
      </w:r>
      <w:r>
        <w:rPr/>
        <w:t>元后，可供股东分配的利润为</w:t>
      </w:r>
      <w:r>
        <w:rPr>
          <w:spacing w:val="-60"/>
        </w:rPr>
        <w:t> </w:t>
      </w:r>
      <w:r>
        <w:rPr/>
        <w:t>126,981,261.92</w:t>
      </w:r>
      <w:r>
        <w:rPr>
          <w:spacing w:val="-60"/>
        </w:rPr>
        <w:t> </w:t>
      </w:r>
      <w:r>
        <w:rPr/>
        <w:t>元。</w:t>
      </w:r>
    </w:p>
    <w:p>
      <w:pPr>
        <w:pStyle w:val="BodyText"/>
        <w:spacing w:line="240" w:lineRule="auto" w:before="154"/>
        <w:ind w:left="772" w:right="0"/>
        <w:jc w:val="left"/>
      </w:pPr>
      <w:r>
        <w:rPr/>
        <w:t>2008</w:t>
      </w:r>
      <w:r>
        <w:rPr>
          <w:spacing w:val="1"/>
        </w:rPr>
        <w:t> </w:t>
      </w:r>
      <w:r>
        <w:rPr>
          <w:spacing w:val="-4"/>
        </w:rPr>
        <w:t>年度利润分配预案：以</w:t>
      </w:r>
      <w:r>
        <w:rPr>
          <w:spacing w:val="-65"/>
        </w:rPr>
        <w:t> </w:t>
      </w:r>
      <w:r>
        <w:rPr/>
        <w:t>2008</w:t>
      </w:r>
      <w:r>
        <w:rPr>
          <w:spacing w:val="1"/>
        </w:rPr>
        <w:t> </w:t>
      </w:r>
      <w:r>
        <w:rPr/>
        <w:t>年末总股本</w:t>
      </w:r>
      <w:r>
        <w:rPr>
          <w:spacing w:val="-60"/>
        </w:rPr>
        <w:t> </w:t>
      </w:r>
      <w:r>
        <w:rPr/>
        <w:t>452,063,442</w:t>
      </w:r>
      <w:r>
        <w:rPr>
          <w:spacing w:val="-60"/>
        </w:rPr>
        <w:t> </w:t>
      </w:r>
      <w:r>
        <w:rPr>
          <w:spacing w:val="-5"/>
        </w:rPr>
        <w:t>股为基数，向全体</w:t>
      </w:r>
    </w:p>
    <w:p>
      <w:pPr>
        <w:pStyle w:val="BodyText"/>
        <w:spacing w:line="240" w:lineRule="auto" w:before="154"/>
        <w:ind w:left="177" w:right="204"/>
        <w:jc w:val="center"/>
      </w:pPr>
      <w:r>
        <w:rPr/>
        <w:t>股东每</w:t>
      </w:r>
      <w:r>
        <w:rPr>
          <w:spacing w:val="-51"/>
        </w:rPr>
        <w:t> </w:t>
      </w:r>
      <w:r>
        <w:rPr/>
        <w:t>10</w:t>
      </w:r>
      <w:r>
        <w:rPr>
          <w:spacing w:val="-53"/>
        </w:rPr>
        <w:t> </w:t>
      </w:r>
      <w:r>
        <w:rPr/>
        <w:t>股派发现金红利</w:t>
      </w:r>
      <w:r>
        <w:rPr>
          <w:spacing w:val="-53"/>
        </w:rPr>
        <w:t> </w:t>
      </w:r>
      <w:r>
        <w:rPr/>
        <w:t>1.5</w:t>
      </w:r>
      <w:r>
        <w:rPr>
          <w:spacing w:val="-55"/>
        </w:rPr>
        <w:t> </w:t>
      </w:r>
      <w:r>
        <w:rPr/>
        <w:t>元（含税），共计派发红利</w:t>
      </w:r>
      <w:r>
        <w:rPr>
          <w:spacing w:val="-55"/>
        </w:rPr>
        <w:t> </w:t>
      </w:r>
      <w:r>
        <w:rPr/>
        <w:t>67,809,516.3</w:t>
      </w:r>
      <w:r>
        <w:rPr>
          <w:spacing w:val="-53"/>
        </w:rPr>
        <w:t> </w:t>
      </w:r>
      <w:r>
        <w:rPr/>
        <w:t>元，实施</w:t>
      </w:r>
    </w:p>
    <w:p>
      <w:pPr>
        <w:pStyle w:val="BodyText"/>
        <w:spacing w:line="357" w:lineRule="auto" w:before="154"/>
        <w:ind w:left="780" w:right="386" w:hanging="588"/>
        <w:jc w:val="left"/>
      </w:pPr>
      <w:r>
        <w:rPr/>
        <w:t>后剩余可供股东分配利润</w:t>
      </w:r>
      <w:r>
        <w:rPr>
          <w:spacing w:val="-60"/>
        </w:rPr>
        <w:t> </w:t>
      </w:r>
      <w:r>
        <w:rPr/>
        <w:t>59,171,745.62</w:t>
      </w:r>
      <w:r>
        <w:rPr>
          <w:spacing w:val="-60"/>
        </w:rPr>
        <w:t> </w:t>
      </w:r>
      <w:r>
        <w:rPr/>
        <w:t>元。</w:t>
      </w:r>
      <w:r>
        <w:rPr/>
        <w:t> 本年度资本公积金转增股本方案为：以公司2008年末总股本452,063,442 股</w:t>
      </w:r>
    </w:p>
    <w:p>
      <w:pPr>
        <w:pStyle w:val="BodyText"/>
        <w:spacing w:line="357" w:lineRule="auto"/>
        <w:ind w:right="325"/>
        <w:jc w:val="left"/>
      </w:pPr>
      <w:r>
        <w:rPr/>
        <w:t>为基数，向全体股东以每10 股转增7 股的比例转增股本，合计转增股本 316,444,409股。资本公积金转增股本方案实施后，公司总股本由452,063,442</w:t>
      </w:r>
      <w:r>
        <w:rPr>
          <w:spacing w:val="-59"/>
        </w:rPr>
        <w:t> </w:t>
      </w:r>
      <w:r>
        <w:rPr/>
        <w:t>股</w:t>
      </w:r>
      <w:r>
        <w:rPr/>
        <w:t> 增加为768,507,851股。</w:t>
      </w:r>
    </w:p>
    <w:p>
      <w:pPr>
        <w:pStyle w:val="BodyText"/>
        <w:spacing w:line="357" w:lineRule="auto"/>
        <w:ind w:right="341" w:firstLine="480"/>
        <w:jc w:val="both"/>
      </w:pPr>
      <w:r>
        <w:rPr>
          <w:spacing w:val="-2"/>
          <w:w w:val="95"/>
        </w:rPr>
        <w:t>此次权益分派的股权登记日为：2009年6月2日，除权除息日为2009年6月3日，</w:t>
      </w:r>
      <w:r>
        <w:rPr>
          <w:w w:val="51"/>
        </w:rPr>
        <w:t> </w:t>
      </w:r>
      <w:r>
        <w:rPr/>
        <w:t>此次转增的无限售条件流通股股份于2009年6月3日直接计入股东证券账户，起始</w:t>
      </w:r>
      <w:r>
        <w:rPr/>
        <w:t> 交易日为2009年6月3日。（详见2009年5月16日及5月26日刊登在《证券时报》、</w:t>
      </w:r>
    </w:p>
    <w:p>
      <w:pPr>
        <w:spacing w:line="357" w:lineRule="auto" w:before="36"/>
        <w:ind w:left="780" w:right="0" w:hanging="480"/>
        <w:jc w:val="left"/>
        <w:rPr>
          <w:rFonts w:ascii="宋体" w:hAnsi="宋体" w:cs="宋体" w:eastAsia="宋体" w:hint="default"/>
          <w:sz w:val="24"/>
          <w:szCs w:val="24"/>
        </w:rPr>
      </w:pPr>
      <w:r>
        <w:rPr>
          <w:rFonts w:ascii="宋体" w:hAnsi="宋体" w:cs="宋体" w:eastAsia="宋体" w:hint="default"/>
          <w:sz w:val="24"/>
          <w:szCs w:val="24"/>
        </w:rPr>
        <w:t>《中国证券报》、《上海证券报》及巨潮资讯网上的公司公告） </w:t>
      </w:r>
      <w:r>
        <w:rPr>
          <w:rFonts w:ascii="Microsoft JhengHei" w:hAnsi="Microsoft JhengHei" w:cs="Microsoft JhengHei" w:eastAsia="Microsoft JhengHei" w:hint="default"/>
          <w:b/>
          <w:bCs/>
          <w:spacing w:val="4"/>
          <w:sz w:val="24"/>
          <w:szCs w:val="24"/>
        </w:rPr>
        <w:t>2、报告期内，公司股权激励方案执行情况。</w:t>
      </w:r>
      <w:r>
        <w:rPr>
          <w:rFonts w:ascii="宋体" w:hAnsi="宋体" w:cs="宋体" w:eastAsia="宋体" w:hint="default"/>
          <w:spacing w:val="4"/>
          <w:sz w:val="24"/>
          <w:szCs w:val="24"/>
        </w:rPr>
        <w:t>2005</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8</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15</w:t>
      </w:r>
      <w:r>
        <w:rPr>
          <w:rFonts w:ascii="宋体" w:hAnsi="宋体" w:cs="宋体" w:eastAsia="宋体" w:hint="default"/>
          <w:spacing w:val="-57"/>
          <w:sz w:val="24"/>
          <w:szCs w:val="24"/>
        </w:rPr>
        <w:t> </w:t>
      </w:r>
      <w:r>
        <w:rPr>
          <w:rFonts w:ascii="宋体" w:hAnsi="宋体" w:cs="宋体" w:eastAsia="宋体" w:hint="default"/>
          <w:sz w:val="24"/>
          <w:szCs w:val="24"/>
        </w:rPr>
        <w:t>日，公司</w:t>
      </w:r>
      <w:r>
        <w:rPr>
          <w:rFonts w:ascii="宋体" w:hAnsi="宋体" w:cs="宋体" w:eastAsia="宋体" w:hint="default"/>
          <w:spacing w:val="-52"/>
          <w:sz w:val="24"/>
          <w:szCs w:val="24"/>
        </w:rPr>
        <w:t> </w:t>
      </w:r>
      <w:r>
        <w:rPr>
          <w:rFonts w:ascii="宋体" w:hAnsi="宋体" w:cs="宋体" w:eastAsia="宋体" w:hint="default"/>
          <w:sz w:val="24"/>
          <w:szCs w:val="24"/>
        </w:rPr>
        <w:t>2005</w:t>
      </w:r>
    </w:p>
    <w:p>
      <w:pPr>
        <w:pStyle w:val="BodyText"/>
        <w:spacing w:line="284" w:lineRule="exact" w:before="0"/>
        <w:ind w:right="0"/>
        <w:jc w:val="left"/>
      </w:pPr>
      <w:r>
        <w:rPr/>
        <w:t>年第一次临时股东大会审议通过了《深圳市农产品股份有限公司股权分置改革方</w:t>
      </w:r>
    </w:p>
    <w:p>
      <w:pPr>
        <w:pStyle w:val="BodyText"/>
        <w:spacing w:line="357" w:lineRule="auto" w:before="154"/>
        <w:ind w:right="328"/>
        <w:jc w:val="left"/>
      </w:pPr>
      <w:r>
        <w:rPr>
          <w:w w:val="95"/>
        </w:rPr>
        <w:t>案 </w:t>
      </w:r>
      <w:r>
        <w:rPr>
          <w:spacing w:val="-45"/>
          <w:w w:val="95"/>
        </w:rPr>
        <w:t>》， </w:t>
      </w:r>
      <w:r>
        <w:rPr>
          <w:w w:val="95"/>
        </w:rPr>
        <w:t>作为股权分置改革方案的重要组成部分，公司实施了股权激励计划：除国家</w:t>
      </w:r>
      <w:r>
        <w:rPr>
          <w:spacing w:val="-72"/>
          <w:w w:val="95"/>
        </w:rPr>
        <w:t> </w:t>
      </w:r>
      <w:r>
        <w:rPr>
          <w:spacing w:val="-72"/>
          <w:w w:val="95"/>
        </w:rPr>
      </w:r>
      <w:r>
        <w:rPr>
          <w:spacing w:val="3"/>
        </w:rPr>
        <w:t>股股东外，公司其他</w:t>
      </w:r>
      <w:r>
        <w:rPr>
          <w:spacing w:val="-43"/>
        </w:rPr>
        <w:t> </w:t>
      </w:r>
      <w:r>
        <w:rPr/>
        <w:t>11</w:t>
      </w:r>
      <w:r>
        <w:rPr>
          <w:spacing w:val="-51"/>
        </w:rPr>
        <w:t> </w:t>
      </w:r>
      <w:r>
        <w:rPr>
          <w:spacing w:val="3"/>
        </w:rPr>
        <w:t>家法人股股东将其拥有的农产品股份的</w:t>
      </w:r>
      <w:r>
        <w:rPr>
          <w:spacing w:val="-43"/>
        </w:rPr>
        <w:t> </w:t>
      </w:r>
      <w:r>
        <w:rPr/>
        <w:t>50%部分（共计</w:t>
      </w:r>
      <w:r>
        <w:rPr>
          <w:spacing w:val="-111"/>
        </w:rPr>
        <w:t> </w:t>
      </w:r>
      <w:r>
        <w:rPr>
          <w:spacing w:val="-111"/>
        </w:rPr>
      </w:r>
      <w:r>
        <w:rPr/>
        <w:t>26,204,253</w:t>
      </w:r>
      <w:r>
        <w:rPr>
          <w:spacing w:val="-54"/>
        </w:rPr>
        <w:t> </w:t>
      </w:r>
      <w:r>
        <w:rPr>
          <w:spacing w:val="-8"/>
        </w:rPr>
        <w:t>股股份），先行交付予深圳国际信托投资有限责任公司，而后分三年以</w:t>
      </w:r>
    </w:p>
    <w:p>
      <w:pPr>
        <w:pStyle w:val="BodyText"/>
        <w:spacing w:line="240" w:lineRule="auto"/>
        <w:ind w:right="0"/>
        <w:jc w:val="left"/>
      </w:pPr>
      <w:r>
        <w:rPr/>
        <w:t>每股 3.5</w:t>
      </w:r>
      <w:r>
        <w:rPr>
          <w:spacing w:val="-95"/>
        </w:rPr>
        <w:t> </w:t>
      </w:r>
      <w:r>
        <w:rPr/>
        <w:t>元的价格转让给公司管理层。管理层在实行股权激励计划的同时必须预</w:t>
      </w:r>
    </w:p>
    <w:p>
      <w:pPr>
        <w:pStyle w:val="BodyText"/>
        <w:spacing w:line="240" w:lineRule="auto" w:before="154"/>
        <w:ind w:right="0"/>
        <w:jc w:val="left"/>
      </w:pPr>
      <w:r>
        <w:rPr/>
        <w:t>先交纳 0.8</w:t>
      </w:r>
      <w:r>
        <w:rPr>
          <w:spacing w:val="-58"/>
        </w:rPr>
        <w:t> </w:t>
      </w:r>
      <w:r>
        <w:rPr>
          <w:spacing w:val="-4"/>
        </w:rPr>
        <w:t>元/股的风险责任金，如不能完成董事会制定的业绩考核任务，则交纳</w:t>
      </w:r>
    </w:p>
    <w:p>
      <w:pPr>
        <w:pStyle w:val="BodyText"/>
        <w:spacing w:line="470" w:lineRule="atLeast" w:before="0"/>
        <w:ind w:right="329"/>
        <w:jc w:val="left"/>
      </w:pPr>
      <w:r>
        <w:rPr>
          <w:spacing w:val="-4"/>
        </w:rPr>
        <w:t>的风险责任金不予退还。2005</w:t>
      </w:r>
      <w:r>
        <w:rPr>
          <w:spacing w:val="-60"/>
        </w:rPr>
        <w:t> </w:t>
      </w:r>
      <w:r>
        <w:rPr/>
        <w:t>年</w:t>
      </w:r>
      <w:r>
        <w:rPr>
          <w:spacing w:val="-60"/>
        </w:rPr>
        <w:t> </w:t>
      </w:r>
      <w:r>
        <w:rPr/>
        <w:t>11</w:t>
      </w:r>
      <w:r>
        <w:rPr>
          <w:spacing w:val="-60"/>
        </w:rPr>
        <w:t> </w:t>
      </w:r>
      <w:r>
        <w:rPr/>
        <w:t>月</w:t>
      </w:r>
      <w:r>
        <w:rPr>
          <w:spacing w:val="-60"/>
        </w:rPr>
        <w:t> </w:t>
      </w:r>
      <w:r>
        <w:rPr/>
        <w:t>24</w:t>
      </w:r>
      <w:r>
        <w:rPr>
          <w:spacing w:val="-60"/>
        </w:rPr>
        <w:t> </w:t>
      </w:r>
      <w:r>
        <w:rPr>
          <w:spacing w:val="-15"/>
        </w:rPr>
        <w:t>日，公司</w:t>
      </w:r>
      <w:r>
        <w:rPr>
          <w:spacing w:val="-63"/>
        </w:rPr>
        <w:t> </w:t>
      </w:r>
      <w:r>
        <w:rPr/>
        <w:t>2005</w:t>
      </w:r>
      <w:r>
        <w:rPr>
          <w:spacing w:val="-60"/>
        </w:rPr>
        <w:t> </w:t>
      </w:r>
      <w:r>
        <w:rPr/>
        <w:t>年第二次临时股东大会审</w:t>
      </w:r>
      <w:r>
        <w:rPr/>
        <w:t> 议通过了《深圳市农产品股份有限公司股权激励管理办法》及其实施细则。</w:t>
      </w:r>
    </w:p>
    <w:p>
      <w:pPr>
        <w:spacing w:after="0" w:line="470" w:lineRule="atLeast"/>
        <w:jc w:val="left"/>
        <w:sectPr>
          <w:headerReference w:type="default" r:id="rId109"/>
          <w:footerReference w:type="default" r:id="rId110"/>
          <w:pgSz w:w="11910" w:h="16840"/>
          <w:pgMar w:header="0" w:footer="1095" w:top="1100" w:bottom="1280" w:left="1680" w:right="1120"/>
          <w:pgNumType w:start="58"/>
        </w:sectPr>
      </w:pPr>
    </w:p>
    <w:p>
      <w:pPr>
        <w:pStyle w:val="BodyText"/>
        <w:spacing w:line="357" w:lineRule="auto" w:before="13"/>
        <w:ind w:right="86" w:firstLine="480"/>
        <w:jc w:val="left"/>
      </w:pPr>
      <w:r>
        <w:rPr/>
        <w:t>2008</w:t>
      </w:r>
      <w:r>
        <w:rPr>
          <w:spacing w:val="-58"/>
        </w:rPr>
        <w:t> </w:t>
      </w:r>
      <w:r>
        <w:rPr/>
        <w:t>年</w:t>
      </w:r>
      <w:r>
        <w:rPr>
          <w:spacing w:val="-58"/>
        </w:rPr>
        <w:t> </w:t>
      </w:r>
      <w:r>
        <w:rPr/>
        <w:t>8</w:t>
      </w:r>
      <w:r>
        <w:rPr>
          <w:spacing w:val="-58"/>
        </w:rPr>
        <w:t> </w:t>
      </w:r>
      <w:r>
        <w:rPr/>
        <w:t>月</w:t>
      </w:r>
      <w:r>
        <w:rPr>
          <w:spacing w:val="-58"/>
        </w:rPr>
        <w:t> </w:t>
      </w:r>
      <w:r>
        <w:rPr/>
        <w:t>25</w:t>
      </w:r>
      <w:r>
        <w:rPr>
          <w:spacing w:val="-58"/>
        </w:rPr>
        <w:t> </w:t>
      </w:r>
      <w:r>
        <w:rPr>
          <w:spacing w:val="-5"/>
        </w:rPr>
        <w:t>日，本公司在中国证券登记结算有限责任公司深圳分公司办理</w:t>
      </w:r>
      <w:r>
        <w:rPr/>
        <w:t> </w:t>
      </w:r>
      <w:r>
        <w:rPr>
          <w:spacing w:val="3"/>
        </w:rPr>
        <w:t>完成了农产品股权分置改革集合财产信托股权过户至激励对象名下的相关手续。</w:t>
      </w:r>
      <w:r>
        <w:rPr>
          <w:spacing w:val="-96"/>
        </w:rPr>
        <w:t> </w:t>
      </w:r>
      <w:r>
        <w:rPr>
          <w:spacing w:val="-96"/>
        </w:rPr>
      </w:r>
      <w:r>
        <w:rPr/>
        <w:t>根据中国证监会相关规定，此次激励股权的解冻分两期执行，第一期其他管理人</w:t>
      </w:r>
      <w:r>
        <w:rPr>
          <w:spacing w:val="-91"/>
        </w:rPr>
        <w:t> </w:t>
      </w:r>
      <w:r>
        <w:rPr>
          <w:spacing w:val="-91"/>
        </w:rPr>
      </w:r>
      <w:r>
        <w:rPr/>
        <w:t>员及业务骨干所持股份（股份总数为</w:t>
      </w:r>
      <w:r>
        <w:rPr>
          <w:spacing w:val="-64"/>
        </w:rPr>
        <w:t> </w:t>
      </w:r>
      <w:r>
        <w:rPr/>
        <w:t>13,148,253</w:t>
      </w:r>
      <w:r>
        <w:rPr>
          <w:spacing w:val="-64"/>
        </w:rPr>
        <w:t> </w:t>
      </w:r>
      <w:r>
        <w:rPr>
          <w:spacing w:val="-8"/>
        </w:rPr>
        <w:t>股）于</w:t>
      </w:r>
      <w:r>
        <w:rPr>
          <w:spacing w:val="-72"/>
        </w:rPr>
        <w:t> </w:t>
      </w:r>
      <w:r>
        <w:rPr/>
        <w:t>2009</w:t>
      </w:r>
      <w:r>
        <w:rPr>
          <w:spacing w:val="-64"/>
        </w:rPr>
        <w:t> </w:t>
      </w:r>
      <w:r>
        <w:rPr/>
        <w:t>年</w:t>
      </w:r>
      <w:r>
        <w:rPr>
          <w:spacing w:val="-64"/>
        </w:rPr>
        <w:t> </w:t>
      </w:r>
      <w:r>
        <w:rPr/>
        <w:t>2</w:t>
      </w:r>
      <w:r>
        <w:rPr>
          <w:spacing w:val="-64"/>
        </w:rPr>
        <w:t> </w:t>
      </w:r>
      <w:r>
        <w:rPr/>
        <w:t>月</w:t>
      </w:r>
      <w:r>
        <w:rPr>
          <w:spacing w:val="-64"/>
        </w:rPr>
        <w:t> </w:t>
      </w:r>
      <w:r>
        <w:rPr/>
        <w:t>16</w:t>
      </w:r>
      <w:r>
        <w:rPr>
          <w:spacing w:val="-64"/>
        </w:rPr>
        <w:t> </w:t>
      </w:r>
      <w:r>
        <w:rPr/>
        <w:t>日解禁完</w:t>
      </w:r>
    </w:p>
    <w:p>
      <w:pPr>
        <w:pStyle w:val="BodyText"/>
        <w:spacing w:line="240" w:lineRule="auto"/>
        <w:ind w:right="0"/>
        <w:jc w:val="both"/>
      </w:pPr>
      <w:r>
        <w:rPr/>
        <w:t>毕，第二期公司董事、监事及高管人员所持股份（股份总数为</w:t>
      </w:r>
      <w:r>
        <w:rPr>
          <w:spacing w:val="-85"/>
        </w:rPr>
        <w:t> </w:t>
      </w:r>
      <w:r>
        <w:rPr/>
        <w:t>13,056,000</w:t>
      </w:r>
      <w:r>
        <w:rPr>
          <w:spacing w:val="-84"/>
        </w:rPr>
        <w:t> </w:t>
      </w:r>
      <w:r>
        <w:rPr>
          <w:spacing w:val="-5"/>
        </w:rPr>
        <w:t>股）自</w:t>
      </w:r>
    </w:p>
    <w:p>
      <w:pPr>
        <w:pStyle w:val="BodyText"/>
        <w:spacing w:line="357" w:lineRule="auto" w:before="154"/>
        <w:ind w:right="225"/>
        <w:jc w:val="both"/>
      </w:pPr>
      <w:r>
        <w:rPr>
          <w:spacing w:val="-3"/>
        </w:rPr>
        <w:t>过户之日（2008</w:t>
      </w:r>
      <w:r>
        <w:rPr>
          <w:spacing w:val="-62"/>
        </w:rPr>
        <w:t> </w:t>
      </w:r>
      <w:r>
        <w:rPr/>
        <w:t>年</w:t>
      </w:r>
      <w:r>
        <w:rPr>
          <w:spacing w:val="-62"/>
        </w:rPr>
        <w:t> </w:t>
      </w:r>
      <w:r>
        <w:rPr/>
        <w:t>8</w:t>
      </w:r>
      <w:r>
        <w:rPr>
          <w:spacing w:val="-62"/>
        </w:rPr>
        <w:t> </w:t>
      </w:r>
      <w:r>
        <w:rPr/>
        <w:t>月</w:t>
      </w:r>
      <w:r>
        <w:rPr>
          <w:spacing w:val="-62"/>
        </w:rPr>
        <w:t> </w:t>
      </w:r>
      <w:r>
        <w:rPr/>
        <w:t>25</w:t>
      </w:r>
      <w:r>
        <w:rPr>
          <w:spacing w:val="-62"/>
        </w:rPr>
        <w:t> </w:t>
      </w:r>
      <w:r>
        <w:rPr>
          <w:spacing w:val="-5"/>
        </w:rPr>
        <w:t>日）起</w:t>
      </w:r>
      <w:r>
        <w:rPr>
          <w:spacing w:val="-70"/>
        </w:rPr>
        <w:t> </w:t>
      </w:r>
      <w:r>
        <w:rPr/>
        <w:t>6</w:t>
      </w:r>
      <w:r>
        <w:rPr>
          <w:spacing w:val="-62"/>
        </w:rPr>
        <w:t> </w:t>
      </w:r>
      <w:r>
        <w:rPr/>
        <w:t>个月之内仍不上市交易，6</w:t>
      </w:r>
      <w:r>
        <w:rPr>
          <w:spacing w:val="-62"/>
        </w:rPr>
        <w:t> </w:t>
      </w:r>
      <w:r>
        <w:rPr/>
        <w:t>个月之后按中国证</w:t>
      </w:r>
      <w:r>
        <w:rPr/>
        <w:t> 监会的有关规定每年解冻</w:t>
      </w:r>
      <w:r>
        <w:rPr>
          <w:spacing w:val="-60"/>
        </w:rPr>
        <w:t> </w:t>
      </w:r>
      <w:r>
        <w:rPr/>
        <w:t>25%。</w:t>
      </w:r>
    </w:p>
    <w:p>
      <w:pPr>
        <w:pStyle w:val="BodyText"/>
        <w:spacing w:line="357" w:lineRule="auto"/>
        <w:ind w:right="225" w:firstLine="480"/>
        <w:jc w:val="both"/>
      </w:pPr>
      <w:r>
        <w:rPr/>
        <w:t>根据本公司</w:t>
      </w:r>
      <w:r>
        <w:rPr>
          <w:spacing w:val="-59"/>
        </w:rPr>
        <w:t> </w:t>
      </w:r>
      <w:r>
        <w:rPr/>
        <w:t>2006</w:t>
      </w:r>
      <w:r>
        <w:rPr>
          <w:spacing w:val="-59"/>
        </w:rPr>
        <w:t> </w:t>
      </w:r>
      <w:r>
        <w:rPr/>
        <w:t>年</w:t>
      </w:r>
      <w:r>
        <w:rPr>
          <w:spacing w:val="-59"/>
        </w:rPr>
        <w:t> </w:t>
      </w:r>
      <w:r>
        <w:rPr/>
        <w:t>4</w:t>
      </w:r>
      <w:r>
        <w:rPr>
          <w:spacing w:val="-59"/>
        </w:rPr>
        <w:t> </w:t>
      </w:r>
      <w:r>
        <w:rPr/>
        <w:t>月</w:t>
      </w:r>
      <w:r>
        <w:rPr>
          <w:spacing w:val="-59"/>
        </w:rPr>
        <w:t> </w:t>
      </w:r>
      <w:r>
        <w:rPr/>
        <w:t>24</w:t>
      </w:r>
      <w:r>
        <w:rPr>
          <w:spacing w:val="-59"/>
        </w:rPr>
        <w:t> </w:t>
      </w:r>
      <w:r>
        <w:rPr/>
        <w:t>日召开的</w:t>
      </w:r>
      <w:r>
        <w:rPr>
          <w:spacing w:val="-59"/>
        </w:rPr>
        <w:t> </w:t>
      </w:r>
      <w:r>
        <w:rPr/>
        <w:t>2005</w:t>
      </w:r>
      <w:r>
        <w:rPr>
          <w:spacing w:val="-59"/>
        </w:rPr>
        <w:t> </w:t>
      </w:r>
      <w:r>
        <w:rPr>
          <w:spacing w:val="-5"/>
        </w:rPr>
        <w:t>年度股东大会通过的《关于公司股</w:t>
      </w:r>
      <w:r>
        <w:rPr/>
        <w:t> 权激励基金计提的议案》，如果本公司完成了基本业绩目标，则激励对象有权购</w:t>
      </w:r>
      <w:r>
        <w:rPr>
          <w:spacing w:val="-91"/>
        </w:rPr>
        <w:t> </w:t>
      </w:r>
      <w:r>
        <w:rPr>
          <w:spacing w:val="-91"/>
        </w:rPr>
      </w:r>
      <w:r>
        <w:rPr/>
        <w:t>买已缴纳保证金部分的激励股票，并且可计提股权激励基金用于支付激励对象认</w:t>
      </w:r>
      <w:r>
        <w:rPr>
          <w:spacing w:val="-91"/>
        </w:rPr>
        <w:t> </w:t>
      </w:r>
      <w:r>
        <w:rPr>
          <w:spacing w:val="-91"/>
        </w:rPr>
      </w:r>
      <w:r>
        <w:rPr/>
        <w:t>购的激励股票所应缴纳的认购款项。</w:t>
      </w:r>
    </w:p>
    <w:p>
      <w:pPr>
        <w:pStyle w:val="BodyText"/>
        <w:spacing w:line="240" w:lineRule="auto"/>
        <w:ind w:left="780" w:right="86"/>
        <w:jc w:val="left"/>
      </w:pPr>
      <w:r>
        <w:rPr/>
        <w:t>经深圳南方民和会计师事务所有限责任公司审计，本公司</w:t>
      </w:r>
      <w:r>
        <w:rPr>
          <w:spacing w:val="-55"/>
        </w:rPr>
        <w:t> </w:t>
      </w:r>
      <w:r>
        <w:rPr/>
        <w:t>2005</w:t>
      </w:r>
      <w:r>
        <w:rPr>
          <w:spacing w:val="-47"/>
        </w:rPr>
        <w:t> </w:t>
      </w:r>
      <w:r>
        <w:rPr/>
        <w:t>至</w:t>
      </w:r>
      <w:r>
        <w:rPr>
          <w:spacing w:val="-47"/>
        </w:rPr>
        <w:t> </w:t>
      </w:r>
      <w:r>
        <w:rPr/>
        <w:t>2007</w:t>
      </w:r>
      <w:r>
        <w:rPr>
          <w:spacing w:val="-49"/>
        </w:rPr>
        <w:t> </w:t>
      </w:r>
      <w:r>
        <w:rPr/>
        <w:t>年度</w:t>
      </w:r>
    </w:p>
    <w:p>
      <w:pPr>
        <w:pStyle w:val="BodyText"/>
        <w:spacing w:line="357" w:lineRule="auto" w:before="154"/>
        <w:ind w:right="171"/>
        <w:jc w:val="both"/>
      </w:pPr>
      <w:r>
        <w:rPr/>
        <w:t>三年累计净利润超过</w:t>
      </w:r>
      <w:r>
        <w:rPr>
          <w:spacing w:val="-57"/>
        </w:rPr>
        <w:t> </w:t>
      </w:r>
      <w:r>
        <w:rPr/>
        <w:t>1.82</w:t>
      </w:r>
      <w:r>
        <w:rPr>
          <w:spacing w:val="-57"/>
        </w:rPr>
        <w:t> </w:t>
      </w:r>
      <w:r>
        <w:rPr>
          <w:spacing w:val="-3"/>
        </w:rPr>
        <w:t>亿元的业绩指标。根据规定，公司可以按一定比例计提</w:t>
      </w:r>
      <w:r>
        <w:rPr>
          <w:spacing w:val="-117"/>
        </w:rPr>
        <w:t> </w:t>
      </w:r>
      <w:r>
        <w:rPr>
          <w:spacing w:val="-117"/>
        </w:rPr>
      </w:r>
      <w:r>
        <w:rPr/>
        <w:t>股权激励基金。但考虑到公司长远发展的需要，以及让全体股东分享公司成长的</w:t>
      </w:r>
      <w:r>
        <w:rPr>
          <w:spacing w:val="-91"/>
        </w:rPr>
        <w:t> </w:t>
      </w:r>
      <w:r>
        <w:rPr>
          <w:spacing w:val="-91"/>
        </w:rPr>
      </w:r>
      <w:r>
        <w:rPr/>
        <w:t>收益，公司高管人员向董事会提议，放弃计提股权激励基金，金额达</w:t>
      </w:r>
      <w:r>
        <w:rPr>
          <w:spacing w:val="-86"/>
        </w:rPr>
        <w:t> </w:t>
      </w:r>
      <w:r>
        <w:rPr/>
        <w:t>7270</w:t>
      </w:r>
      <w:r>
        <w:rPr>
          <w:spacing w:val="-86"/>
        </w:rPr>
        <w:t> </w:t>
      </w:r>
      <w:r>
        <w:rPr/>
        <w:t>万</w:t>
      </w:r>
      <w:r>
        <w:rPr>
          <w:spacing w:val="-99"/>
        </w:rPr>
        <w:t> </w:t>
      </w:r>
      <w:r>
        <w:rPr/>
        <w:t>元</w:t>
      </w:r>
      <w:r>
        <w:rPr>
          <w:spacing w:val="-99"/>
        </w:rPr>
        <w:t> </w:t>
      </w:r>
      <w:r>
        <w:rPr/>
        <w:t>，</w:t>
      </w:r>
      <w:r>
        <w:rPr>
          <w:w w:val="84"/>
        </w:rPr>
        <w:t> </w:t>
      </w:r>
      <w:r>
        <w:rPr/>
        <w:t>股权激励款通过自筹方式解决。公司第五届董事会第十一次会议审议通过了《关</w:t>
      </w:r>
      <w:r>
        <w:rPr>
          <w:spacing w:val="-91"/>
        </w:rPr>
        <w:t> </w:t>
      </w:r>
      <w:r>
        <w:rPr>
          <w:spacing w:val="-91"/>
        </w:rPr>
      </w:r>
      <w:r>
        <w:rPr/>
        <w:t>于公司高管人员主动放弃计提股权激励基金的议案》。</w:t>
      </w:r>
    </w:p>
    <w:p>
      <w:pPr>
        <w:pStyle w:val="BodyText"/>
        <w:spacing w:line="357" w:lineRule="auto"/>
        <w:ind w:right="225" w:firstLine="480"/>
        <w:jc w:val="both"/>
      </w:pPr>
      <w:r>
        <w:rPr/>
        <w:t>报</w:t>
      </w:r>
      <w:r>
        <w:rPr>
          <w:spacing w:val="-89"/>
        </w:rPr>
        <w:t> </w:t>
      </w:r>
      <w:r>
        <w:rPr/>
        <w:t>告</w:t>
      </w:r>
      <w:r>
        <w:rPr>
          <w:spacing w:val="-87"/>
        </w:rPr>
        <w:t> </w:t>
      </w:r>
      <w:r>
        <w:rPr/>
        <w:t>期</w:t>
      </w:r>
      <w:r>
        <w:rPr>
          <w:spacing w:val="-87"/>
        </w:rPr>
        <w:t> </w:t>
      </w:r>
      <w:r>
        <w:rPr/>
        <w:t>内</w:t>
      </w:r>
      <w:r>
        <w:rPr>
          <w:spacing w:val="-87"/>
        </w:rPr>
        <w:t> </w:t>
      </w:r>
      <w:r>
        <w:rPr/>
        <w:t>，</w:t>
      </w:r>
      <w:r>
        <w:rPr>
          <w:spacing w:val="-87"/>
        </w:rPr>
        <w:t> </w:t>
      </w:r>
      <w:r>
        <w:rPr/>
        <w:t>公</w:t>
      </w:r>
      <w:r>
        <w:rPr>
          <w:spacing w:val="-87"/>
        </w:rPr>
        <w:t> </w:t>
      </w:r>
      <w:r>
        <w:rPr/>
        <w:t>司</w:t>
      </w:r>
      <w:r>
        <w:rPr>
          <w:spacing w:val="-87"/>
        </w:rPr>
        <w:t> </w:t>
      </w:r>
      <w:r>
        <w:rPr/>
        <w:t>其</w:t>
      </w:r>
      <w:r>
        <w:rPr>
          <w:spacing w:val="-87"/>
        </w:rPr>
        <w:t> </w:t>
      </w:r>
      <w:r>
        <w:rPr/>
        <w:t>他</w:t>
      </w:r>
      <w:r>
        <w:rPr>
          <w:spacing w:val="-87"/>
        </w:rPr>
        <w:t> </w:t>
      </w:r>
      <w:r>
        <w:rPr/>
        <w:t>管</w:t>
      </w:r>
      <w:r>
        <w:rPr>
          <w:spacing w:val="-87"/>
        </w:rPr>
        <w:t> </w:t>
      </w:r>
      <w:r>
        <w:rPr/>
        <w:t>理</w:t>
      </w:r>
      <w:r>
        <w:rPr>
          <w:spacing w:val="-87"/>
        </w:rPr>
        <w:t> </w:t>
      </w:r>
      <w:r>
        <w:rPr/>
        <w:t>人</w:t>
      </w:r>
      <w:r>
        <w:rPr>
          <w:spacing w:val="-87"/>
        </w:rPr>
        <w:t> </w:t>
      </w:r>
      <w:r>
        <w:rPr/>
        <w:t>员</w:t>
      </w:r>
      <w:r>
        <w:rPr>
          <w:spacing w:val="-87"/>
        </w:rPr>
        <w:t> </w:t>
      </w:r>
      <w:r>
        <w:rPr/>
        <w:t>及</w:t>
      </w:r>
      <w:r>
        <w:rPr>
          <w:spacing w:val="-87"/>
        </w:rPr>
        <w:t> </w:t>
      </w:r>
      <w:r>
        <w:rPr/>
        <w:t>业</w:t>
      </w:r>
      <w:r>
        <w:rPr>
          <w:spacing w:val="-87"/>
        </w:rPr>
        <w:t> </w:t>
      </w:r>
      <w:r>
        <w:rPr/>
        <w:t>务</w:t>
      </w:r>
      <w:r>
        <w:rPr>
          <w:spacing w:val="-87"/>
        </w:rPr>
        <w:t> </w:t>
      </w:r>
      <w:r>
        <w:rPr/>
        <w:t>骨</w:t>
      </w:r>
      <w:r>
        <w:rPr>
          <w:spacing w:val="-87"/>
        </w:rPr>
        <w:t> </w:t>
      </w:r>
      <w:r>
        <w:rPr/>
        <w:t>干</w:t>
      </w:r>
      <w:r>
        <w:rPr>
          <w:spacing w:val="-87"/>
        </w:rPr>
        <w:t> </w:t>
      </w:r>
      <w:r>
        <w:rPr/>
        <w:t>所</w:t>
      </w:r>
      <w:r>
        <w:rPr>
          <w:spacing w:val="-87"/>
        </w:rPr>
        <w:t> </w:t>
      </w:r>
      <w:r>
        <w:rPr/>
        <w:t>持</w:t>
      </w:r>
      <w:r>
        <w:rPr>
          <w:spacing w:val="-87"/>
        </w:rPr>
        <w:t> </w:t>
      </w:r>
      <w:r>
        <w:rPr/>
        <w:t>股</w:t>
      </w:r>
      <w:r>
        <w:rPr>
          <w:spacing w:val="-87"/>
        </w:rPr>
        <w:t> </w:t>
      </w:r>
      <w:r>
        <w:rPr/>
        <w:t>权</w:t>
      </w:r>
      <w:r>
        <w:rPr>
          <w:spacing w:val="-87"/>
        </w:rPr>
        <w:t> </w:t>
      </w:r>
      <w:r>
        <w:rPr/>
        <w:t>激</w:t>
      </w:r>
      <w:r>
        <w:rPr>
          <w:spacing w:val="-87"/>
        </w:rPr>
        <w:t> </w:t>
      </w:r>
      <w:r>
        <w:rPr/>
        <w:t>励</w:t>
      </w:r>
      <w:r>
        <w:rPr>
          <w:spacing w:val="-87"/>
        </w:rPr>
        <w:t> </w:t>
      </w:r>
      <w:r>
        <w:rPr/>
        <w:t>限</w:t>
      </w:r>
      <w:r>
        <w:rPr>
          <w:spacing w:val="-87"/>
        </w:rPr>
        <w:t> </w:t>
      </w:r>
      <w:r>
        <w:rPr/>
        <w:t>制</w:t>
      </w:r>
      <w:r>
        <w:rPr>
          <w:spacing w:val="-87"/>
        </w:rPr>
        <w:t> </w:t>
      </w:r>
      <w:r>
        <w:rPr/>
        <w:t>性</w:t>
      </w:r>
      <w:r>
        <w:rPr>
          <w:spacing w:val="-87"/>
        </w:rPr>
        <w:t> </w:t>
      </w:r>
      <w:r>
        <w:rPr/>
        <w:t>股</w:t>
      </w:r>
      <w:r>
        <w:rPr>
          <w:spacing w:val="-87"/>
        </w:rPr>
        <w:t> </w:t>
      </w:r>
      <w:r>
        <w:rPr/>
        <w:t>票</w:t>
      </w:r>
      <w:r>
        <w:rPr/>
        <w:t> 13,148,253</w:t>
      </w:r>
      <w:r>
        <w:rPr>
          <w:spacing w:val="-60"/>
        </w:rPr>
        <w:t> </w:t>
      </w:r>
      <w:r>
        <w:rPr/>
        <w:t>股于</w:t>
      </w:r>
      <w:r>
        <w:rPr>
          <w:spacing w:val="-60"/>
        </w:rPr>
        <w:t> </w:t>
      </w:r>
      <w:r>
        <w:rPr/>
        <w:t>2009</w:t>
      </w:r>
      <w:r>
        <w:rPr>
          <w:spacing w:val="-60"/>
        </w:rPr>
        <w:t> </w:t>
      </w:r>
      <w:r>
        <w:rPr/>
        <w:t>年</w:t>
      </w:r>
      <w:r>
        <w:rPr>
          <w:spacing w:val="-60"/>
        </w:rPr>
        <w:t> </w:t>
      </w:r>
      <w:r>
        <w:rPr/>
        <w:t>2</w:t>
      </w:r>
      <w:r>
        <w:rPr>
          <w:spacing w:val="-60"/>
        </w:rPr>
        <w:t> </w:t>
      </w:r>
      <w:r>
        <w:rPr/>
        <w:t>月</w:t>
      </w:r>
      <w:r>
        <w:rPr>
          <w:spacing w:val="-60"/>
        </w:rPr>
        <w:t> </w:t>
      </w:r>
      <w:r>
        <w:rPr/>
        <w:t>16</w:t>
      </w:r>
      <w:r>
        <w:rPr>
          <w:spacing w:val="-60"/>
        </w:rPr>
        <w:t> </w:t>
      </w:r>
      <w:r>
        <w:rPr/>
        <w:t>日解除限售；公司董事、监事、高级管理人员所</w:t>
      </w:r>
    </w:p>
    <w:p>
      <w:pPr>
        <w:pStyle w:val="BodyText"/>
        <w:spacing w:line="240" w:lineRule="auto"/>
        <w:ind w:right="0"/>
        <w:jc w:val="both"/>
      </w:pPr>
      <w:r>
        <w:rPr/>
        <w:t>持股权激励限制性股票</w:t>
      </w:r>
      <w:r>
        <w:rPr>
          <w:spacing w:val="-60"/>
        </w:rPr>
        <w:t> </w:t>
      </w:r>
      <w:r>
        <w:rPr/>
        <w:t>13,056,000</w:t>
      </w:r>
      <w:r>
        <w:rPr>
          <w:spacing w:val="-60"/>
        </w:rPr>
        <w:t> </w:t>
      </w:r>
      <w:r>
        <w:rPr/>
        <w:t>股于</w:t>
      </w:r>
      <w:r>
        <w:rPr>
          <w:spacing w:val="-60"/>
        </w:rPr>
        <w:t> </w:t>
      </w:r>
      <w:r>
        <w:rPr/>
        <w:t>2009</w:t>
      </w:r>
      <w:r>
        <w:rPr>
          <w:spacing w:val="-60"/>
        </w:rPr>
        <w:t> </w:t>
      </w:r>
      <w:r>
        <w:rPr/>
        <w:t>年</w:t>
      </w:r>
      <w:r>
        <w:rPr>
          <w:spacing w:val="-60"/>
        </w:rPr>
        <w:t> </w:t>
      </w:r>
      <w:r>
        <w:rPr/>
        <w:t>4</w:t>
      </w:r>
      <w:r>
        <w:rPr>
          <w:spacing w:val="-60"/>
        </w:rPr>
        <w:t> </w:t>
      </w:r>
      <w:r>
        <w:rPr/>
        <w:t>月</w:t>
      </w:r>
      <w:r>
        <w:rPr>
          <w:spacing w:val="-60"/>
        </w:rPr>
        <w:t> </w:t>
      </w:r>
      <w:r>
        <w:rPr/>
        <w:t>7</w:t>
      </w:r>
      <w:r>
        <w:rPr>
          <w:spacing w:val="-60"/>
        </w:rPr>
        <w:t> </w:t>
      </w:r>
      <w:r>
        <w:rPr/>
        <w:t>日解除限售。（详见</w:t>
      </w:r>
      <w:r>
        <w:rPr>
          <w:spacing w:val="-60"/>
        </w:rPr>
        <w:t> </w:t>
      </w:r>
      <w:r>
        <w:rPr/>
        <w:t>2009</w:t>
      </w:r>
    </w:p>
    <w:p>
      <w:pPr>
        <w:pStyle w:val="BodyText"/>
        <w:spacing w:line="357" w:lineRule="auto" w:before="154"/>
        <w:ind w:right="225"/>
        <w:jc w:val="both"/>
      </w:pPr>
      <w:r>
        <w:rPr/>
        <w:t>年</w:t>
      </w:r>
      <w:r>
        <w:rPr>
          <w:spacing w:val="-59"/>
        </w:rPr>
        <w:t> </w:t>
      </w:r>
      <w:r>
        <w:rPr/>
        <w:t>2</w:t>
      </w:r>
      <w:r>
        <w:rPr>
          <w:spacing w:val="-59"/>
        </w:rPr>
        <w:t> </w:t>
      </w:r>
      <w:r>
        <w:rPr/>
        <w:t>月</w:t>
      </w:r>
      <w:r>
        <w:rPr>
          <w:spacing w:val="-59"/>
        </w:rPr>
        <w:t> </w:t>
      </w:r>
      <w:r>
        <w:rPr/>
        <w:t>14</w:t>
      </w:r>
      <w:r>
        <w:rPr>
          <w:spacing w:val="-59"/>
        </w:rPr>
        <w:t> </w:t>
      </w:r>
      <w:r>
        <w:rPr>
          <w:spacing w:val="-5"/>
        </w:rPr>
        <w:t>日、3</w:t>
      </w:r>
      <w:r>
        <w:rPr>
          <w:spacing w:val="-59"/>
        </w:rPr>
        <w:t> </w:t>
      </w:r>
      <w:r>
        <w:rPr/>
        <w:t>月</w:t>
      </w:r>
      <w:r>
        <w:rPr>
          <w:spacing w:val="-59"/>
        </w:rPr>
        <w:t> </w:t>
      </w:r>
      <w:r>
        <w:rPr/>
        <w:t>17</w:t>
      </w:r>
      <w:r>
        <w:rPr>
          <w:spacing w:val="-59"/>
        </w:rPr>
        <w:t> </w:t>
      </w:r>
      <w:r>
        <w:rPr/>
        <w:t>日及</w:t>
      </w:r>
      <w:r>
        <w:rPr>
          <w:spacing w:val="-59"/>
        </w:rPr>
        <w:t> </w:t>
      </w:r>
      <w:r>
        <w:rPr/>
        <w:t>4</w:t>
      </w:r>
      <w:r>
        <w:rPr>
          <w:spacing w:val="-59"/>
        </w:rPr>
        <w:t> </w:t>
      </w:r>
      <w:r>
        <w:rPr/>
        <w:t>月</w:t>
      </w:r>
      <w:r>
        <w:rPr>
          <w:spacing w:val="-59"/>
        </w:rPr>
        <w:t> </w:t>
      </w:r>
      <w:r>
        <w:rPr/>
        <w:t>3</w:t>
      </w:r>
      <w:r>
        <w:rPr>
          <w:spacing w:val="-59"/>
        </w:rPr>
        <w:t> </w:t>
      </w:r>
      <w:r>
        <w:rPr>
          <w:spacing w:val="-6"/>
        </w:rPr>
        <w:t>日刊登在《证券时报》、《中国证券报》、《上</w:t>
      </w:r>
      <w:r>
        <w:rPr/>
        <w:t> 海证券报》及巨潮资讯网上的公司公告）</w:t>
      </w:r>
    </w:p>
    <w:p>
      <w:pPr>
        <w:spacing w:line="378" w:lineRule="exact" w:before="0"/>
        <w:ind w:left="300" w:right="0" w:firstLine="480"/>
        <w:jc w:val="both"/>
        <w:rPr>
          <w:rFonts w:ascii="宋体" w:hAnsi="宋体" w:cs="宋体" w:eastAsia="宋体" w:hint="default"/>
          <w:sz w:val="24"/>
          <w:szCs w:val="24"/>
        </w:rPr>
      </w:pPr>
      <w:r>
        <w:rPr>
          <w:rFonts w:ascii="Microsoft JhengHei" w:hAnsi="Microsoft JhengHei" w:cs="Microsoft JhengHei" w:eastAsia="Microsoft JhengHei" w:hint="default"/>
          <w:b/>
          <w:bCs/>
          <w:w w:val="95"/>
          <w:sz w:val="24"/>
          <w:szCs w:val="24"/>
        </w:rPr>
        <w:t>3、公司2008年度非公开发行股票及实施情况。</w:t>
      </w:r>
      <w:r>
        <w:rPr>
          <w:rFonts w:ascii="宋体" w:hAnsi="宋体" w:cs="宋体" w:eastAsia="宋体" w:hint="default"/>
          <w:w w:val="95"/>
          <w:sz w:val="24"/>
          <w:szCs w:val="24"/>
        </w:rPr>
        <w:t>公司2007年度非公开发行股票</w:t>
      </w:r>
    </w:p>
    <w:p>
      <w:pPr>
        <w:pStyle w:val="BodyText"/>
        <w:spacing w:line="357" w:lineRule="auto" w:before="126"/>
        <w:ind w:right="266"/>
        <w:jc w:val="left"/>
      </w:pPr>
      <w:r>
        <w:rPr/>
        <w:t>方案于2007年10月10日经公司第五届董事会第八次会议审议通过，并于2007年10 月30日经公司2007年第四次临时股东大会审议通过。</w:t>
      </w:r>
    </w:p>
    <w:p>
      <w:pPr>
        <w:pStyle w:val="BodyText"/>
        <w:spacing w:line="240" w:lineRule="auto"/>
        <w:ind w:left="780" w:right="86"/>
        <w:jc w:val="left"/>
      </w:pPr>
      <w:r>
        <w:rPr/>
        <w:t>公司本次发行申请经中国证监会发行审核委员会</w:t>
      </w:r>
      <w:r>
        <w:rPr>
          <w:spacing w:val="-57"/>
        </w:rPr>
        <w:t> </w:t>
      </w:r>
      <w:r>
        <w:rPr/>
        <w:t>2008</w:t>
      </w:r>
      <w:r>
        <w:rPr>
          <w:spacing w:val="-54"/>
        </w:rPr>
        <w:t> </w:t>
      </w:r>
      <w:r>
        <w:rPr/>
        <w:t>年</w:t>
      </w:r>
      <w:r>
        <w:rPr>
          <w:spacing w:val="-51"/>
        </w:rPr>
        <w:t> </w:t>
      </w:r>
      <w:r>
        <w:rPr/>
        <w:t>3</w:t>
      </w:r>
      <w:r>
        <w:rPr>
          <w:spacing w:val="-51"/>
        </w:rPr>
        <w:t> </w:t>
      </w:r>
      <w:r>
        <w:rPr/>
        <w:t>月</w:t>
      </w:r>
      <w:r>
        <w:rPr>
          <w:spacing w:val="-51"/>
        </w:rPr>
        <w:t> </w:t>
      </w:r>
      <w:r>
        <w:rPr/>
        <w:t>12</w:t>
      </w:r>
      <w:r>
        <w:rPr>
          <w:spacing w:val="-51"/>
        </w:rPr>
        <w:t> </w:t>
      </w:r>
      <w:r>
        <w:rPr/>
        <w:t>日召开的审</w:t>
      </w:r>
    </w:p>
    <w:p>
      <w:pPr>
        <w:pStyle w:val="BodyText"/>
        <w:spacing w:line="240" w:lineRule="auto" w:before="154"/>
        <w:ind w:right="0"/>
        <w:jc w:val="both"/>
      </w:pPr>
      <w:r>
        <w:rPr>
          <w:spacing w:val="-8"/>
        </w:rPr>
        <w:t>核工作会议审议通过，于</w:t>
      </w:r>
      <w:r>
        <w:rPr>
          <w:spacing w:val="-64"/>
        </w:rPr>
        <w:t> </w:t>
      </w:r>
      <w:r>
        <w:rPr/>
        <w:t>2008</w:t>
      </w:r>
      <w:r>
        <w:rPr>
          <w:spacing w:val="-59"/>
        </w:rPr>
        <w:t> </w:t>
      </w:r>
      <w:r>
        <w:rPr/>
        <w:t>年</w:t>
      </w:r>
      <w:r>
        <w:rPr>
          <w:spacing w:val="-59"/>
        </w:rPr>
        <w:t> </w:t>
      </w:r>
      <w:r>
        <w:rPr/>
        <w:t>4</w:t>
      </w:r>
      <w:r>
        <w:rPr>
          <w:spacing w:val="-59"/>
        </w:rPr>
        <w:t> </w:t>
      </w:r>
      <w:r>
        <w:rPr/>
        <w:t>月</w:t>
      </w:r>
      <w:r>
        <w:rPr>
          <w:spacing w:val="-59"/>
        </w:rPr>
        <w:t> </w:t>
      </w:r>
      <w:r>
        <w:rPr/>
        <w:t>9</w:t>
      </w:r>
      <w:r>
        <w:rPr>
          <w:spacing w:val="-59"/>
        </w:rPr>
        <w:t> </w:t>
      </w:r>
      <w:r>
        <w:rPr>
          <w:spacing w:val="-6"/>
        </w:rPr>
        <w:t>日取得中国证监会核准（证监发行字[</w:t>
      </w:r>
      <w:r>
        <w:rPr>
          <w:spacing w:val="3"/>
        </w:rPr>
        <w:t> </w:t>
      </w:r>
      <w:r>
        <w:rPr/>
        <w:t>2008</w:t>
      </w:r>
    </w:p>
    <w:p>
      <w:pPr>
        <w:pStyle w:val="BodyText"/>
        <w:spacing w:line="240" w:lineRule="auto" w:before="154"/>
        <w:ind w:left="420" w:right="686"/>
        <w:jc w:val="left"/>
      </w:pPr>
      <w:r>
        <w:rPr/>
        <w:t>] 512</w:t>
      </w:r>
      <w:r>
        <w:rPr>
          <w:spacing w:val="-60"/>
        </w:rPr>
        <w:t> </w:t>
      </w:r>
      <w:r>
        <w:rPr/>
        <w:t>号）文件。</w:t>
      </w:r>
    </w:p>
    <w:p>
      <w:pPr>
        <w:pStyle w:val="BodyText"/>
        <w:spacing w:line="357" w:lineRule="auto" w:before="77"/>
        <w:ind w:right="225" w:firstLine="480"/>
        <w:jc w:val="both"/>
      </w:pPr>
      <w:r>
        <w:rPr/>
        <w:t>公司于</w:t>
      </w:r>
      <w:r>
        <w:rPr>
          <w:spacing w:val="-77"/>
        </w:rPr>
        <w:t> </w:t>
      </w:r>
      <w:r>
        <w:rPr/>
        <w:t>2008</w:t>
      </w:r>
      <w:r>
        <w:rPr>
          <w:spacing w:val="-77"/>
        </w:rPr>
        <w:t> </w:t>
      </w:r>
      <w:r>
        <w:rPr/>
        <w:t>年</w:t>
      </w:r>
      <w:r>
        <w:rPr>
          <w:spacing w:val="-77"/>
        </w:rPr>
        <w:t> </w:t>
      </w:r>
      <w:r>
        <w:rPr/>
        <w:t>4</w:t>
      </w:r>
      <w:r>
        <w:rPr>
          <w:spacing w:val="-77"/>
        </w:rPr>
        <w:t> </w:t>
      </w:r>
      <w:r>
        <w:rPr/>
        <w:t>月</w:t>
      </w:r>
      <w:r>
        <w:rPr>
          <w:spacing w:val="-77"/>
        </w:rPr>
        <w:t> </w:t>
      </w:r>
      <w:r>
        <w:rPr/>
        <w:t>11</w:t>
      </w:r>
      <w:r>
        <w:rPr>
          <w:spacing w:val="-77"/>
        </w:rPr>
        <w:t> </w:t>
      </w:r>
      <w:r>
        <w:rPr/>
        <w:t>日以非公开发行的方式向六家特定投资者发行了</w:t>
      </w:r>
      <w:r>
        <w:rPr>
          <w:spacing w:val="-80"/>
        </w:rPr>
        <w:t> </w:t>
      </w:r>
      <w:r>
        <w:rPr/>
        <w:t>6,440</w:t>
      </w:r>
      <w:r>
        <w:rPr/>
        <w:t> </w:t>
      </w:r>
      <w:r>
        <w:rPr>
          <w:spacing w:val="-5"/>
        </w:rPr>
        <w:t>万股人民币普通股（A</w:t>
      </w:r>
      <w:r>
        <w:rPr>
          <w:spacing w:val="-91"/>
        </w:rPr>
        <w:t> </w:t>
      </w:r>
      <w:r>
        <w:rPr/>
        <w:t>股</w:t>
      </w:r>
      <w:r>
        <w:rPr>
          <w:spacing w:val="-92"/>
        </w:rPr>
        <w:t> </w:t>
      </w:r>
      <w:r>
        <w:rPr>
          <w:spacing w:val="-10"/>
        </w:rPr>
        <w:t>），发行价人民币</w:t>
      </w:r>
      <w:r>
        <w:rPr>
          <w:spacing w:val="-91"/>
        </w:rPr>
        <w:t> </w:t>
      </w:r>
      <w:r>
        <w:rPr/>
        <w:t>18.03</w:t>
      </w:r>
      <w:r>
        <w:rPr>
          <w:spacing w:val="-91"/>
        </w:rPr>
        <w:t> </w:t>
      </w:r>
      <w:r>
        <w:rPr>
          <w:spacing w:val="-3"/>
        </w:rPr>
        <w:t>元/股。根据南方民和会计师事务</w:t>
      </w:r>
      <w:r>
        <w:rPr/>
        <w:t> 所有限公司出具的深南验字（2008）123</w:t>
      </w:r>
      <w:r>
        <w:rPr>
          <w:spacing w:val="-55"/>
        </w:rPr>
        <w:t> </w:t>
      </w:r>
      <w:r>
        <w:rPr>
          <w:spacing w:val="-7"/>
        </w:rPr>
        <w:t>号《验资报告》：本次发行募集资金总额</w:t>
      </w:r>
    </w:p>
    <w:p>
      <w:pPr>
        <w:spacing w:after="0" w:line="357" w:lineRule="auto"/>
        <w:jc w:val="both"/>
        <w:sectPr>
          <w:headerReference w:type="default" r:id="rId111"/>
          <w:footerReference w:type="default" r:id="rId112"/>
          <w:pgSz w:w="11910" w:h="16840"/>
          <w:pgMar w:header="0" w:footer="1095" w:top="1100" w:bottom="1280" w:left="1680" w:right="1240"/>
          <w:pgNumType w:start="59"/>
        </w:sectPr>
      </w:pPr>
    </w:p>
    <w:p>
      <w:pPr>
        <w:pStyle w:val="BodyText"/>
        <w:spacing w:line="310" w:lineRule="exact" w:before="0"/>
        <w:ind w:right="0"/>
        <w:jc w:val="both"/>
      </w:pPr>
      <w:r>
        <w:rPr/>
        <w:t>1,161,132,000</w:t>
      </w:r>
      <w:r>
        <w:rPr>
          <w:spacing w:val="14"/>
        </w:rPr>
        <w:t> </w:t>
      </w:r>
      <w:r>
        <w:rPr/>
        <w:t>元</w:t>
      </w:r>
      <w:r>
        <w:rPr>
          <w:spacing w:val="-51"/>
        </w:rPr>
        <w:t> </w:t>
      </w:r>
      <w:r>
        <w:rPr/>
        <w:t>，</w:t>
      </w:r>
      <w:r>
        <w:rPr>
          <w:spacing w:val="-46"/>
        </w:rPr>
        <w:t> </w:t>
      </w:r>
      <w:r>
        <w:rPr/>
        <w:t>扣</w:t>
      </w:r>
      <w:r>
        <w:rPr>
          <w:spacing w:val="-48"/>
        </w:rPr>
        <w:t> </w:t>
      </w:r>
      <w:r>
        <w:rPr/>
        <w:t>除</w:t>
      </w:r>
      <w:r>
        <w:rPr>
          <w:spacing w:val="-46"/>
        </w:rPr>
        <w:t> </w:t>
      </w:r>
      <w:r>
        <w:rPr/>
        <w:t>发</w:t>
      </w:r>
      <w:r>
        <w:rPr>
          <w:spacing w:val="-46"/>
        </w:rPr>
        <w:t> </w:t>
      </w:r>
      <w:r>
        <w:rPr/>
        <w:t>行</w:t>
      </w:r>
      <w:r>
        <w:rPr>
          <w:spacing w:val="-48"/>
        </w:rPr>
        <w:t> </w:t>
      </w:r>
      <w:r>
        <w:rPr/>
        <w:t>费</w:t>
      </w:r>
      <w:r>
        <w:rPr>
          <w:spacing w:val="-46"/>
        </w:rPr>
        <w:t> </w:t>
      </w:r>
      <w:r>
        <w:rPr/>
        <w:t>用</w:t>
      </w:r>
      <w:r>
        <w:rPr>
          <w:spacing w:val="21"/>
        </w:rPr>
        <w:t> </w:t>
      </w:r>
      <w:r>
        <w:rPr/>
        <w:t>26,114,241.30</w:t>
      </w:r>
      <w:r>
        <w:rPr>
          <w:spacing w:val="12"/>
        </w:rPr>
        <w:t> </w:t>
      </w:r>
      <w:r>
        <w:rPr/>
        <w:t>元</w:t>
      </w:r>
      <w:r>
        <w:rPr>
          <w:spacing w:val="-51"/>
        </w:rPr>
        <w:t> </w:t>
      </w:r>
      <w:r>
        <w:rPr/>
        <w:t>，</w:t>
      </w:r>
      <w:r>
        <w:rPr>
          <w:spacing w:val="-46"/>
        </w:rPr>
        <w:t> </w:t>
      </w:r>
      <w:r>
        <w:rPr/>
        <w:t>募</w:t>
      </w:r>
      <w:r>
        <w:rPr>
          <w:spacing w:val="-48"/>
        </w:rPr>
        <w:t> </w:t>
      </w:r>
      <w:r>
        <w:rPr/>
        <w:t>集</w:t>
      </w:r>
      <w:r>
        <w:rPr>
          <w:spacing w:val="-46"/>
        </w:rPr>
        <w:t> </w:t>
      </w:r>
      <w:r>
        <w:rPr/>
        <w:t>资</w:t>
      </w:r>
      <w:r>
        <w:rPr>
          <w:spacing w:val="-46"/>
        </w:rPr>
        <w:t> </w:t>
      </w:r>
      <w:r>
        <w:rPr/>
        <w:t>金</w:t>
      </w:r>
      <w:r>
        <w:rPr>
          <w:spacing w:val="-48"/>
        </w:rPr>
        <w:t> </w:t>
      </w:r>
      <w:r>
        <w:rPr/>
        <w:t>净</w:t>
      </w:r>
      <w:r>
        <w:rPr>
          <w:spacing w:val="-46"/>
        </w:rPr>
        <w:t> </w:t>
      </w:r>
      <w:r>
        <w:rPr/>
        <w:t>额</w:t>
      </w:r>
    </w:p>
    <w:p>
      <w:pPr>
        <w:pStyle w:val="BodyText"/>
        <w:spacing w:line="357" w:lineRule="auto" w:before="154"/>
        <w:ind w:right="105"/>
        <w:jc w:val="both"/>
      </w:pPr>
      <w:r>
        <w:rPr/>
        <w:t>1,135,017,758.70</w:t>
      </w:r>
      <w:r>
        <w:rPr>
          <w:spacing w:val="-60"/>
        </w:rPr>
        <w:t> </w:t>
      </w:r>
      <w:r>
        <w:rPr/>
        <w:t>元。公司依据《上市公司证券发行管理办法》以及公司《募集</w:t>
      </w:r>
      <w:r>
        <w:rPr/>
        <w:t> 资金管理办法》的有关规定，对募集资金设立专用账户进行管理，本次资金只能</w:t>
      </w:r>
      <w:r>
        <w:rPr>
          <w:spacing w:val="-97"/>
        </w:rPr>
        <w:t> </w:t>
      </w:r>
      <w:r>
        <w:rPr>
          <w:spacing w:val="-97"/>
        </w:rPr>
      </w:r>
      <w:r>
        <w:rPr/>
        <w:t>专项用于平湖项目。</w:t>
      </w:r>
    </w:p>
    <w:p>
      <w:pPr>
        <w:pStyle w:val="BodyText"/>
        <w:spacing w:line="357" w:lineRule="auto" w:before="113"/>
        <w:ind w:right="118" w:firstLine="480"/>
        <w:jc w:val="both"/>
      </w:pPr>
      <w:r>
        <w:rPr>
          <w:spacing w:val="2"/>
        </w:rPr>
        <w:t>本次发行新增股份已于</w:t>
      </w:r>
      <w:r>
        <w:rPr>
          <w:spacing w:val="-47"/>
        </w:rPr>
        <w:t> </w:t>
      </w:r>
      <w:r>
        <w:rPr/>
        <w:t>2008</w:t>
      </w:r>
      <w:r>
        <w:rPr>
          <w:spacing w:val="4"/>
        </w:rPr>
        <w:t> </w:t>
      </w:r>
      <w:r>
        <w:rPr/>
        <w:t>年</w:t>
      </w:r>
      <w:r>
        <w:rPr>
          <w:spacing w:val="-55"/>
        </w:rPr>
        <w:t> </w:t>
      </w:r>
      <w:r>
        <w:rPr/>
        <w:t>6</w:t>
      </w:r>
      <w:r>
        <w:rPr>
          <w:spacing w:val="6"/>
        </w:rPr>
        <w:t> </w:t>
      </w:r>
      <w:r>
        <w:rPr/>
        <w:t>月</w:t>
      </w:r>
      <w:r>
        <w:rPr>
          <w:spacing w:val="-57"/>
        </w:rPr>
        <w:t> </w:t>
      </w:r>
      <w:r>
        <w:rPr/>
        <w:t>30</w:t>
      </w:r>
      <w:r>
        <w:rPr>
          <w:spacing w:val="6"/>
        </w:rPr>
        <w:t> </w:t>
      </w:r>
      <w:r>
        <w:rPr>
          <w:spacing w:val="2"/>
        </w:rPr>
        <w:t>日在中国证券登记结算有限责任公</w:t>
      </w:r>
      <w:r>
        <w:rPr/>
        <w:t> 司深圳分公司办理完毕登记托管手续。本次发行新增股份的性质为有限售条件流</w:t>
      </w:r>
      <w:r>
        <w:rPr>
          <w:spacing w:val="-91"/>
        </w:rPr>
        <w:t> </w:t>
      </w:r>
      <w:r>
        <w:rPr>
          <w:spacing w:val="-91"/>
        </w:rPr>
      </w:r>
      <w:r>
        <w:rPr/>
        <w:t>通股，上市流通日为</w:t>
      </w:r>
      <w:r>
        <w:rPr>
          <w:spacing w:val="-60"/>
        </w:rPr>
        <w:t> </w:t>
      </w:r>
      <w:r>
        <w:rPr/>
        <w:t>2011 年</w:t>
      </w:r>
      <w:r>
        <w:rPr>
          <w:spacing w:val="-60"/>
        </w:rPr>
        <w:t> </w:t>
      </w:r>
      <w:r>
        <w:rPr/>
        <w:t>7 月</w:t>
      </w:r>
      <w:r>
        <w:rPr>
          <w:spacing w:val="-60"/>
        </w:rPr>
        <w:t> </w:t>
      </w:r>
      <w:r>
        <w:rPr/>
        <w:t>10 日。</w:t>
      </w:r>
    </w:p>
    <w:p>
      <w:pPr>
        <w:pStyle w:val="BodyText"/>
        <w:spacing w:line="240" w:lineRule="auto"/>
        <w:ind w:left="780" w:right="1110"/>
        <w:jc w:val="left"/>
      </w:pPr>
      <w:r>
        <w:rPr/>
        <w:pict>
          <v:shape style="position:absolute;margin-left:113.519997pt;margin-top:23.135597pt;width:394.1pt;height:215.2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1"/>
                    <w:gridCol w:w="3408"/>
                    <w:gridCol w:w="1423"/>
                    <w:gridCol w:w="1615"/>
                    <w:gridCol w:w="850"/>
                  </w:tblGrid>
                  <w:tr>
                    <w:trPr>
                      <w:trHeight w:val="94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left="175" w:right="17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发行对象</w:t>
                        </w:r>
                        <w:r>
                          <w:rPr>
                            <w:rFonts w:ascii="Microsoft JhengHei" w:hAnsi="Microsoft JhengHei" w:cs="Microsoft JhengHei" w:eastAsia="Microsoft JhengHei" w:hint="default"/>
                            <w:sz w:val="21"/>
                            <w:szCs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认购数量</w:t>
                        </w:r>
                        <w:r>
                          <w:rPr>
                            <w:rFonts w:ascii="Microsoft JhengHei" w:hAnsi="Microsoft JhengHei" w:cs="Microsoft JhengHei" w:eastAsia="Microsoft JhengHei" w:hint="default"/>
                            <w:sz w:val="21"/>
                            <w:szCs w:val="21"/>
                          </w:rPr>
                        </w:r>
                      </w:p>
                      <w:p>
                        <w:pPr>
                          <w:pStyle w:val="TableParagraph"/>
                          <w:spacing w:line="240" w:lineRule="auto" w:before="102"/>
                          <w:ind w:left="2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（万股）</w:t>
                        </w:r>
                        <w:r>
                          <w:rPr>
                            <w:rFonts w:ascii="Microsoft JhengHei" w:hAnsi="Microsoft JhengHei" w:cs="Microsoft JhengHei" w:eastAsia="Microsoft JhengHei" w:hint="default"/>
                            <w:sz w:val="21"/>
                            <w:szCs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left="117" w:right="113" w:firstLine="5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占本次发行总</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w w:val="90"/>
                            <w:sz w:val="21"/>
                            <w:szCs w:val="21"/>
                          </w:rPr>
                          <w:t>量的比例（</w:t>
                        </w:r>
                        <w:r>
                          <w:rPr>
                            <w:rFonts w:ascii="Times New Roman" w:hAnsi="Times New Roman" w:cs="Times New Roman" w:eastAsia="Times New Roman" w:hint="default"/>
                            <w:b/>
                            <w:bCs/>
                            <w:w w:val="90"/>
                            <w:sz w:val="21"/>
                            <w:szCs w:val="21"/>
                          </w:rPr>
                          <w:t>%</w:t>
                        </w:r>
                        <w:r>
                          <w:rPr>
                            <w:rFonts w:ascii="Microsoft JhengHei" w:hAnsi="Microsoft JhengHei" w:cs="Microsoft JhengHei" w:eastAsia="Microsoft JhengHei" w:hint="default"/>
                            <w:b/>
                            <w:bCs/>
                            <w:w w:val="90"/>
                            <w:sz w:val="21"/>
                            <w:szCs w:val="21"/>
                          </w:rPr>
                          <w:t>）</w:t>
                        </w:r>
                        <w:r>
                          <w:rPr>
                            <w:rFonts w:ascii="Microsoft JhengHei" w:hAnsi="Microsoft JhengHei" w:cs="Microsoft JhengHei" w:eastAsia="Microsoft JhengHei"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限售期</w:t>
                        </w:r>
                        <w:r>
                          <w:rPr>
                            <w:rFonts w:ascii="Microsoft JhengHei" w:hAnsi="Microsoft JhengHei" w:cs="Microsoft JhengHei" w:eastAsia="Microsoft JhengHei" w:hint="default"/>
                            <w:sz w:val="21"/>
                            <w:szCs w:val="21"/>
                          </w:rPr>
                        </w:r>
                      </w:p>
                      <w:p>
                        <w:pPr>
                          <w:pStyle w:val="TableParagraph"/>
                          <w:spacing w:line="240" w:lineRule="auto" w:before="102"/>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sz w:val="21"/>
                            <w:szCs w:val="21"/>
                          </w:rPr>
                        </w:r>
                      </w:p>
                    </w:tc>
                  </w:tr>
                  <w:tr>
                    <w:trPr>
                      <w:trHeight w:val="48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1</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深圳市远致投资有限公司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2,300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563"/>
                          <w:jc w:val="right"/>
                          <w:rPr>
                            <w:rFonts w:ascii="Times New Roman" w:hAnsi="Times New Roman" w:cs="Times New Roman" w:eastAsia="Times New Roman" w:hint="default"/>
                            <w:sz w:val="21"/>
                            <w:szCs w:val="21"/>
                          </w:rPr>
                        </w:pPr>
                        <w:r>
                          <w:rPr>
                            <w:rFonts w:ascii="Times New Roman"/>
                            <w:sz w:val="21"/>
                          </w:rPr>
                          <w:t>35.71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2</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宋体" w:hAnsi="宋体" w:cs="宋体" w:eastAsia="宋体" w:hint="default"/>
                            <w:sz w:val="21"/>
                            <w:szCs w:val="21"/>
                          </w:rPr>
                        </w:pPr>
                        <w:r>
                          <w:rPr>
                            <w:rFonts w:ascii="宋体" w:hAnsi="宋体" w:cs="宋体" w:eastAsia="宋体" w:hint="default"/>
                            <w:sz w:val="21"/>
                            <w:szCs w:val="21"/>
                          </w:rPr>
                          <w:t>世纪阳光控股集团有限公司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63"/>
                          <w:jc w:val="right"/>
                          <w:rPr>
                            <w:rFonts w:ascii="Times New Roman" w:hAnsi="Times New Roman" w:cs="Times New Roman" w:eastAsia="Times New Roman" w:hint="default"/>
                            <w:sz w:val="21"/>
                            <w:szCs w:val="21"/>
                          </w:rPr>
                        </w:pPr>
                        <w:r>
                          <w:rPr>
                            <w:rFonts w:ascii="Times New Roman"/>
                            <w:sz w:val="21"/>
                          </w:rPr>
                          <w:t>23.29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3</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深圳华强鼎信担保投资有限公司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1,240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63"/>
                          <w:jc w:val="right"/>
                          <w:rPr>
                            <w:rFonts w:ascii="Times New Roman" w:hAnsi="Times New Roman" w:cs="Times New Roman" w:eastAsia="Times New Roman" w:hint="default"/>
                            <w:sz w:val="21"/>
                            <w:szCs w:val="21"/>
                          </w:rPr>
                        </w:pPr>
                        <w:r>
                          <w:rPr>
                            <w:rFonts w:ascii="Times New Roman"/>
                            <w:sz w:val="21"/>
                          </w:rPr>
                          <w:t>19.25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4</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无锡市国联发展（集团）有限公司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63"/>
                          <w:jc w:val="right"/>
                          <w:rPr>
                            <w:rFonts w:ascii="Times New Roman" w:hAnsi="Times New Roman" w:cs="Times New Roman" w:eastAsia="Times New Roman" w:hint="default"/>
                            <w:sz w:val="21"/>
                            <w:szCs w:val="21"/>
                          </w:rPr>
                        </w:pPr>
                        <w:r>
                          <w:rPr>
                            <w:rFonts w:ascii="Times New Roman"/>
                            <w:sz w:val="21"/>
                          </w:rPr>
                          <w:t>15.53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5</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深圳市福田投资发展公司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
                          <w:jc w:val="center"/>
                          <w:rPr>
                            <w:rFonts w:ascii="Times New Roman" w:hAnsi="Times New Roman" w:cs="Times New Roman" w:eastAsia="Times New Roman" w:hint="default"/>
                            <w:sz w:val="21"/>
                            <w:szCs w:val="21"/>
                          </w:rPr>
                        </w:pPr>
                        <w:r>
                          <w:rPr>
                            <w:rFonts w:ascii="Times New Roman"/>
                            <w:sz w:val="21"/>
                          </w:rPr>
                          <w:t>300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4.66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6</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深圳市江南丰投资有限公司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5"/>
                          <w:jc w:val="center"/>
                          <w:rPr>
                            <w:rFonts w:ascii="Times New Roman" w:hAnsi="Times New Roman" w:cs="Times New Roman" w:eastAsia="Times New Roman" w:hint="default"/>
                            <w:sz w:val="21"/>
                            <w:szCs w:val="21"/>
                          </w:rPr>
                        </w:pPr>
                        <w:r>
                          <w:rPr>
                            <w:rFonts w:ascii="Times New Roman"/>
                            <w:sz w:val="21"/>
                          </w:rPr>
                          <w:t>100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sz w:val="21"/>
                          </w:rPr>
                          <w:t>1.55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Times New Roman" w:hAnsi="Times New Roman" w:cs="Times New Roman" w:eastAsia="Times New Roman" w:hint="default"/>
                            <w:sz w:val="21"/>
                            <w:szCs w:val="21"/>
                          </w:rPr>
                        </w:pPr>
                        <w:r>
                          <w:rPr>
                            <w:rFonts w:ascii="Times New Roman"/>
                            <w:sz w:val="21"/>
                          </w:rPr>
                          <w:t>36</w:t>
                        </w:r>
                      </w:p>
                    </w:tc>
                  </w:tr>
                  <w:tr>
                    <w:trPr>
                      <w:trHeight w:val="480"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3408"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6,440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509"/>
                          <w:jc w:val="right"/>
                          <w:rPr>
                            <w:rFonts w:ascii="Times New Roman" w:hAnsi="Times New Roman" w:cs="Times New Roman" w:eastAsia="Times New Roman" w:hint="default"/>
                            <w:sz w:val="21"/>
                            <w:szCs w:val="21"/>
                          </w:rPr>
                        </w:pPr>
                        <w:r>
                          <w:rPr>
                            <w:rFonts w:ascii="Times New Roman"/>
                            <w:sz w:val="21"/>
                          </w:rPr>
                          <w:t>100.00</w:t>
                        </w:r>
                      </w:p>
                    </w:tc>
                    <w:tc>
                      <w:tcPr>
                        <w:tcW w:w="85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各发行对象认购的股票数量及限售期如下：</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spacing w:line="960" w:lineRule="atLeast" w:before="0"/>
        <w:ind w:left="780" w:right="230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报告期内，上述各发行对象认购的股票仍处于限售期。 </w:t>
      </w:r>
      <w:r>
        <w:rPr>
          <w:rFonts w:ascii="Microsoft JhengHei" w:hAnsi="Microsoft JhengHei" w:cs="Microsoft JhengHei" w:eastAsia="Microsoft JhengHei" w:hint="default"/>
          <w:b/>
          <w:bCs/>
          <w:sz w:val="24"/>
          <w:szCs w:val="24"/>
        </w:rPr>
        <w:t>三、董事会审计委员会履职情况</w:t>
      </w:r>
      <w:r>
        <w:rPr>
          <w:rFonts w:ascii="Microsoft JhengHei" w:hAnsi="Microsoft JhengHei" w:cs="Microsoft JhengHei" w:eastAsia="Microsoft JhengHei" w:hint="default"/>
          <w:sz w:val="24"/>
          <w:szCs w:val="24"/>
        </w:rPr>
      </w:r>
    </w:p>
    <w:p>
      <w:pPr>
        <w:pStyle w:val="BodyText"/>
        <w:spacing w:line="240" w:lineRule="auto" w:before="126"/>
        <w:ind w:left="780" w:right="1110"/>
        <w:jc w:val="left"/>
      </w:pPr>
      <w:r>
        <w:rPr/>
        <w:t>（一）审计委员会工作情况</w:t>
      </w:r>
    </w:p>
    <w:p>
      <w:pPr>
        <w:pStyle w:val="BodyText"/>
        <w:spacing w:line="357" w:lineRule="auto" w:before="154"/>
        <w:ind w:right="137" w:firstLine="480"/>
        <w:jc w:val="both"/>
      </w:pPr>
      <w:r>
        <w:rPr/>
        <w:t>公司董事会审计委员会由</w:t>
      </w:r>
      <w:r>
        <w:rPr>
          <w:spacing w:val="-54"/>
        </w:rPr>
        <w:t> </w:t>
      </w:r>
      <w:r>
        <w:rPr/>
        <w:t>4</w:t>
      </w:r>
      <w:r>
        <w:rPr>
          <w:spacing w:val="-56"/>
        </w:rPr>
        <w:t> </w:t>
      </w:r>
      <w:r>
        <w:rPr/>
        <w:t>名董事组成，其中：独立董事有</w:t>
      </w:r>
      <w:r>
        <w:rPr>
          <w:spacing w:val="-54"/>
        </w:rPr>
        <w:t> </w:t>
      </w:r>
      <w:r>
        <w:rPr/>
        <w:t>2</w:t>
      </w:r>
      <w:r>
        <w:rPr>
          <w:spacing w:val="-56"/>
        </w:rPr>
        <w:t> </w:t>
      </w:r>
      <w:r>
        <w:rPr/>
        <w:t>名，主任委员</w:t>
      </w:r>
      <w:r>
        <w:rPr/>
        <w:t> 由其中一名有财务专业背景的独立董事担任。</w:t>
      </w:r>
    </w:p>
    <w:p>
      <w:pPr>
        <w:pStyle w:val="BodyText"/>
        <w:spacing w:line="357" w:lineRule="auto"/>
        <w:ind w:right="105" w:firstLine="480"/>
        <w:jc w:val="both"/>
      </w:pPr>
      <w:r>
        <w:rPr/>
        <w:t>根据中国证监会、深交所有关规定，公司董事会审计委员会实施细则及其第 十四条规定的审计委员会在年度审计过程中应履行的职责，公司董事会审计委员</w:t>
      </w:r>
      <w:r>
        <w:rPr>
          <w:spacing w:val="-91"/>
        </w:rPr>
        <w:t> </w:t>
      </w:r>
      <w:r>
        <w:rPr>
          <w:spacing w:val="-91"/>
        </w:rPr>
      </w:r>
      <w:r>
        <w:rPr/>
        <w:t>会本着勤勉尽责的原则，在聘请外部审计机构、财务信息披露、内控制度执行以</w:t>
      </w:r>
      <w:r>
        <w:rPr>
          <w:spacing w:val="-91"/>
        </w:rPr>
        <w:t> </w:t>
      </w:r>
      <w:r>
        <w:rPr>
          <w:spacing w:val="-91"/>
        </w:rPr>
      </w:r>
      <w:r>
        <w:rPr/>
        <w:t>及</w:t>
      </w:r>
      <w:r>
        <w:rPr>
          <w:spacing w:val="-90"/>
        </w:rPr>
        <w:t> </w:t>
      </w:r>
      <w:r>
        <w:rPr/>
        <w:t>2009</w:t>
      </w:r>
      <w:r>
        <w:rPr>
          <w:spacing w:val="-90"/>
        </w:rPr>
        <w:t> </w:t>
      </w:r>
      <w:r>
        <w:rPr/>
        <w:t>年年报相关工作等方面均严格按照有关规定有序开展，确保了公司的规范</w:t>
      </w:r>
      <w:r>
        <w:rPr/>
        <w:t> 化运作。</w:t>
      </w:r>
    </w:p>
    <w:p>
      <w:pPr>
        <w:pStyle w:val="BodyText"/>
        <w:spacing w:line="357" w:lineRule="auto"/>
        <w:ind w:left="780" w:right="90"/>
        <w:jc w:val="left"/>
      </w:pPr>
      <w:r>
        <w:rPr/>
        <w:t>1、按规范要求聘请</w:t>
      </w:r>
      <w:r>
        <w:rPr>
          <w:spacing w:val="-60"/>
        </w:rPr>
        <w:t> </w:t>
      </w:r>
      <w:r>
        <w:rPr/>
        <w:t>2009</w:t>
      </w:r>
      <w:r>
        <w:rPr>
          <w:spacing w:val="-60"/>
        </w:rPr>
        <w:t> </w:t>
      </w:r>
      <w:r>
        <w:rPr/>
        <w:t>年度外部审计机构</w:t>
      </w:r>
      <w:r>
        <w:rPr/>
        <w:t> 经审计委员会提议，公司董事会审议通过，续聘深圳南方民和会计师事务所</w:t>
      </w:r>
    </w:p>
    <w:p>
      <w:pPr>
        <w:spacing w:after="0" w:line="357" w:lineRule="auto"/>
        <w:jc w:val="left"/>
        <w:sectPr>
          <w:headerReference w:type="default" r:id="rId113"/>
          <w:footerReference w:type="default" r:id="rId114"/>
          <w:pgSz w:w="11910" w:h="16840"/>
          <w:pgMar w:header="0" w:footer="1095" w:top="1040" w:bottom="1280" w:left="1680" w:right="1360"/>
          <w:pgNumType w:start="60"/>
        </w:sectPr>
      </w:pPr>
    </w:p>
    <w:p>
      <w:pPr>
        <w:pStyle w:val="BodyText"/>
        <w:spacing w:line="357" w:lineRule="auto" w:before="13"/>
        <w:ind w:right="188"/>
        <w:jc w:val="left"/>
      </w:pPr>
      <w:r>
        <w:rPr/>
        <w:t>有限责任公司为公司</w:t>
      </w:r>
      <w:r>
        <w:rPr>
          <w:spacing w:val="-55"/>
        </w:rPr>
        <w:t> </w:t>
      </w:r>
      <w:r>
        <w:rPr/>
        <w:t>2009</w:t>
      </w:r>
      <w:r>
        <w:rPr>
          <w:spacing w:val="-55"/>
        </w:rPr>
        <w:t> </w:t>
      </w:r>
      <w:r>
        <w:rPr>
          <w:spacing w:val="-3"/>
        </w:rPr>
        <w:t>年度会计报表的外部审计机构。确保了公司外部审计工</w:t>
      </w:r>
      <w:r>
        <w:rPr/>
        <w:t> 作顺利推进。</w:t>
      </w:r>
    </w:p>
    <w:p>
      <w:pPr>
        <w:pStyle w:val="BodyText"/>
        <w:spacing w:line="240" w:lineRule="auto"/>
        <w:ind w:left="780" w:right="0"/>
        <w:jc w:val="left"/>
      </w:pPr>
      <w:r>
        <w:rPr/>
        <w:t>2、对公司财务报告的审核</w:t>
      </w:r>
    </w:p>
    <w:p>
      <w:pPr>
        <w:pStyle w:val="BodyText"/>
        <w:spacing w:line="357" w:lineRule="auto" w:before="154"/>
        <w:ind w:right="205" w:firstLine="480"/>
        <w:jc w:val="both"/>
      </w:pPr>
      <w:r>
        <w:rPr/>
        <w:t>审计委员会对公司上报的</w:t>
      </w:r>
      <w:r>
        <w:rPr>
          <w:spacing w:val="-71"/>
        </w:rPr>
        <w:t> </w:t>
      </w:r>
      <w:r>
        <w:rPr/>
        <w:t>2008</w:t>
      </w:r>
      <w:r>
        <w:rPr>
          <w:spacing w:val="-71"/>
        </w:rPr>
        <w:t> </w:t>
      </w:r>
      <w:r>
        <w:rPr>
          <w:spacing w:val="10"/>
        </w:rPr>
        <w:t>年度</w:t>
      </w:r>
      <w:r>
        <w:rPr>
          <w:spacing w:val="-105"/>
        </w:rPr>
        <w:t> </w:t>
      </w:r>
      <w:r>
        <w:rPr>
          <w:spacing w:val="-10"/>
        </w:rPr>
        <w:t>、2009</w:t>
      </w:r>
      <w:r>
        <w:rPr>
          <w:spacing w:val="-71"/>
        </w:rPr>
        <w:t> </w:t>
      </w:r>
      <w:r>
        <w:rPr>
          <w:spacing w:val="-5"/>
        </w:rPr>
        <w:t>年第一、第二和第三季度财务会计</w:t>
      </w:r>
      <w:r>
        <w:rPr/>
        <w:t> 报告进行了审核，其中，2008</w:t>
      </w:r>
      <w:r>
        <w:rPr>
          <w:spacing w:val="-60"/>
        </w:rPr>
        <w:t> </w:t>
      </w:r>
      <w:r>
        <w:rPr/>
        <w:t>年度财务会计报告经深圳南方民和会计师事务所有</w:t>
      </w:r>
      <w:r>
        <w:rPr/>
        <w:t> 限责任公司审计，其他季报和半年报未经审计。审计委员会对公司财务信息的真</w:t>
      </w:r>
      <w:r>
        <w:rPr>
          <w:spacing w:val="-93"/>
        </w:rPr>
        <w:t> </w:t>
      </w:r>
      <w:r>
        <w:rPr>
          <w:spacing w:val="-93"/>
        </w:rPr>
      </w:r>
      <w:r>
        <w:rPr/>
        <w:t>实性、准确性和完整性进行审核，对公司财务信息的披露是否符合中国证监会和</w:t>
      </w:r>
      <w:r>
        <w:rPr>
          <w:spacing w:val="-91"/>
        </w:rPr>
        <w:t> </w:t>
      </w:r>
      <w:r>
        <w:rPr>
          <w:spacing w:val="-91"/>
        </w:rPr>
      </w:r>
      <w:r>
        <w:rPr/>
        <w:t>深交所等监管机构所提出的要求进行审核。经过审核，目前公司已对外公告的财</w:t>
      </w:r>
      <w:r>
        <w:rPr>
          <w:spacing w:val="-91"/>
        </w:rPr>
        <w:t> </w:t>
      </w:r>
      <w:r>
        <w:rPr>
          <w:spacing w:val="-91"/>
        </w:rPr>
      </w:r>
      <w:r>
        <w:rPr/>
        <w:t>务信息是真实、准确和完整的，未发现或不存在重大遗漏。</w:t>
      </w:r>
    </w:p>
    <w:p>
      <w:pPr>
        <w:pStyle w:val="BodyText"/>
        <w:spacing w:line="357" w:lineRule="auto"/>
        <w:ind w:left="780" w:right="0"/>
        <w:jc w:val="left"/>
      </w:pPr>
      <w:r>
        <w:rPr/>
        <w:t>3、对公司</w:t>
      </w:r>
      <w:r>
        <w:rPr>
          <w:spacing w:val="-60"/>
        </w:rPr>
        <w:t> </w:t>
      </w:r>
      <w:r>
        <w:rPr/>
        <w:t>2009</w:t>
      </w:r>
      <w:r>
        <w:rPr>
          <w:spacing w:val="-60"/>
        </w:rPr>
        <w:t> </w:t>
      </w:r>
      <w:r>
        <w:rPr/>
        <w:t>年度的内控进行评估</w:t>
      </w:r>
      <w:r>
        <w:rPr/>
        <w:t> 审计委员会从环境控制、业务控制及内部控制的检查等方面对公司的内部控</w:t>
      </w:r>
    </w:p>
    <w:p>
      <w:pPr>
        <w:pStyle w:val="BodyText"/>
        <w:spacing w:line="357" w:lineRule="auto"/>
        <w:ind w:right="0"/>
        <w:jc w:val="left"/>
      </w:pPr>
      <w:r>
        <w:rPr>
          <w:spacing w:val="3"/>
        </w:rPr>
        <w:t>制制度进行了审核。着重审查了公司对下属企业的管控、对外担保的内部控制、</w:t>
      </w:r>
      <w:r>
        <w:rPr>
          <w:spacing w:val="-96"/>
        </w:rPr>
        <w:t> </w:t>
      </w:r>
      <w:r>
        <w:rPr>
          <w:spacing w:val="-96"/>
        </w:rPr>
      </w:r>
      <w:r>
        <w:rPr/>
        <w:t>对募集资金使用的内部控制以及对重大投资的内部控制等。公司于</w:t>
      </w:r>
      <w:r>
        <w:rPr>
          <w:spacing w:val="-78"/>
        </w:rPr>
        <w:t> </w:t>
      </w:r>
      <w:r>
        <w:rPr/>
        <w:t>2010</w:t>
      </w:r>
      <w:r>
        <w:rPr>
          <w:spacing w:val="-74"/>
        </w:rPr>
        <w:t> </w:t>
      </w:r>
      <w:r>
        <w:rPr/>
        <w:t>年</w:t>
      </w:r>
      <w:r>
        <w:rPr>
          <w:spacing w:val="-76"/>
        </w:rPr>
        <w:t> </w:t>
      </w:r>
      <w:r>
        <w:rPr/>
        <w:t>3</w:t>
      </w:r>
      <w:r>
        <w:rPr>
          <w:spacing w:val="-76"/>
        </w:rPr>
        <w:t> </w:t>
      </w:r>
      <w:r>
        <w:rPr/>
        <w:t>月</w:t>
      </w:r>
      <w:r>
        <w:rPr>
          <w:spacing w:val="-76"/>
        </w:rPr>
        <w:t> </w:t>
      </w:r>
      <w:r>
        <w:rPr/>
        <w:t>，</w:t>
      </w:r>
      <w:r>
        <w:rPr>
          <w:w w:val="75"/>
        </w:rPr>
        <w:t> </w:t>
      </w:r>
      <w:r>
        <w:rPr/>
        <w:t>在对公司内部控制制度检查的基础上出具公司董事会</w:t>
      </w:r>
      <w:r>
        <w:rPr>
          <w:spacing w:val="-89"/>
        </w:rPr>
        <w:t> </w:t>
      </w:r>
      <w:r>
        <w:rPr/>
        <w:t>2009</w:t>
      </w:r>
      <w:r>
        <w:rPr>
          <w:spacing w:val="-92"/>
        </w:rPr>
        <w:t> </w:t>
      </w:r>
      <w:r>
        <w:rPr/>
        <w:t>年度内部控制自我评估</w:t>
      </w:r>
      <w:r>
        <w:rPr/>
        <w:t> 报告。</w:t>
      </w:r>
    </w:p>
    <w:p>
      <w:pPr>
        <w:pStyle w:val="BodyText"/>
        <w:spacing w:line="240" w:lineRule="auto"/>
        <w:ind w:left="780" w:right="0"/>
        <w:jc w:val="left"/>
      </w:pPr>
      <w:r>
        <w:rPr/>
        <w:t>4、2009</w:t>
      </w:r>
      <w:r>
        <w:rPr>
          <w:spacing w:val="-60"/>
        </w:rPr>
        <w:t> </w:t>
      </w:r>
      <w:r>
        <w:rPr/>
        <w:t>年年报相关工作</w:t>
      </w:r>
    </w:p>
    <w:p>
      <w:pPr>
        <w:pStyle w:val="BodyText"/>
        <w:spacing w:line="357" w:lineRule="auto" w:before="154"/>
        <w:ind w:right="229" w:firstLine="480"/>
        <w:jc w:val="both"/>
      </w:pPr>
      <w:r>
        <w:rPr/>
        <w:t>（1）认真审阅了公司</w:t>
      </w:r>
      <w:r>
        <w:rPr>
          <w:spacing w:val="-49"/>
        </w:rPr>
        <w:t> </w:t>
      </w:r>
      <w:r>
        <w:rPr/>
        <w:t>2009</w:t>
      </w:r>
      <w:r>
        <w:rPr>
          <w:spacing w:val="-49"/>
        </w:rPr>
        <w:t> </w:t>
      </w:r>
      <w:r>
        <w:rPr/>
        <w:t>年度审计工作计划及相关资料，与负责公司年度</w:t>
      </w:r>
      <w:r>
        <w:rPr/>
        <w:t> 审计工作的深圳南方民和会计师事务所有限责任公司注册会计师协商确定了公司</w:t>
      </w:r>
      <w:r>
        <w:rPr>
          <w:spacing w:val="-91"/>
        </w:rPr>
        <w:t> </w:t>
      </w:r>
      <w:r>
        <w:rPr>
          <w:spacing w:val="-91"/>
        </w:rPr>
      </w:r>
      <w:r>
        <w:rPr/>
        <w:t>2009</w:t>
      </w:r>
      <w:r>
        <w:rPr>
          <w:spacing w:val="-60"/>
        </w:rPr>
        <w:t> </w:t>
      </w:r>
      <w:r>
        <w:rPr/>
        <w:t>年度财务报告审计工作的时间安排；</w:t>
      </w:r>
    </w:p>
    <w:p>
      <w:pPr>
        <w:pStyle w:val="BodyText"/>
        <w:spacing w:line="357" w:lineRule="auto"/>
        <w:ind w:right="205" w:firstLine="460"/>
        <w:jc w:val="both"/>
      </w:pPr>
      <w:r>
        <w:rPr>
          <w:spacing w:val="-2"/>
        </w:rPr>
        <w:t>（2）在年审注册会计师进场前认真审阅了公司初步编制的财务会计报表，并</w:t>
      </w:r>
      <w:r>
        <w:rPr/>
        <w:t> 出具了书面审议意见；</w:t>
      </w:r>
    </w:p>
    <w:p>
      <w:pPr>
        <w:pStyle w:val="BodyText"/>
        <w:spacing w:line="357" w:lineRule="auto"/>
        <w:ind w:right="205" w:firstLine="460"/>
        <w:jc w:val="both"/>
      </w:pPr>
      <w:r>
        <w:rPr>
          <w:spacing w:val="-2"/>
        </w:rPr>
        <w:t>（3）公司年审注册会计师进场后，董事会审计委员会与公司年审注册会计师</w:t>
      </w:r>
      <w:r>
        <w:rPr/>
        <w:t> 就审计过程中发现的问题以及审计报告提交的时间进行了沟通和交流；</w:t>
      </w:r>
    </w:p>
    <w:p>
      <w:pPr>
        <w:pStyle w:val="BodyText"/>
        <w:spacing w:line="357" w:lineRule="auto"/>
        <w:ind w:right="205" w:firstLine="460"/>
        <w:jc w:val="both"/>
      </w:pPr>
      <w:r>
        <w:rPr>
          <w:spacing w:val="-1"/>
          <w:w w:val="95"/>
        </w:rPr>
        <w:t>（4）审计委员会在注册会计师提交审计报告初稿前，以书面形式督促会计师</w:t>
      </w:r>
      <w:r>
        <w:rPr/>
        <w:t> 事务所按照既定的年审工作进度推进，尽快提交初稿。</w:t>
      </w:r>
    </w:p>
    <w:p>
      <w:pPr>
        <w:pStyle w:val="BodyText"/>
        <w:spacing w:line="357" w:lineRule="auto"/>
        <w:ind w:right="205" w:firstLine="460"/>
        <w:jc w:val="both"/>
      </w:pPr>
      <w:r>
        <w:rPr>
          <w:spacing w:val="-2"/>
        </w:rPr>
        <w:t>（5）公司年审注册会计师出具初步审计意见后，董事会审计委员会再一次审</w:t>
      </w:r>
      <w:r>
        <w:rPr/>
        <w:t> 阅了公司</w:t>
      </w:r>
      <w:r>
        <w:rPr>
          <w:spacing w:val="-60"/>
        </w:rPr>
        <w:t> </w:t>
      </w:r>
      <w:r>
        <w:rPr/>
        <w:t>2009</w:t>
      </w:r>
      <w:r>
        <w:rPr>
          <w:spacing w:val="-60"/>
        </w:rPr>
        <w:t> </w:t>
      </w:r>
      <w:r>
        <w:rPr/>
        <w:t>年度财务会计报表，并形成书面审议意见；</w:t>
      </w:r>
    </w:p>
    <w:p>
      <w:pPr>
        <w:pStyle w:val="BodyText"/>
        <w:spacing w:line="357" w:lineRule="auto"/>
        <w:ind w:right="201" w:firstLine="451"/>
        <w:jc w:val="both"/>
      </w:pPr>
      <w:r>
        <w:rPr>
          <w:w w:val="95"/>
        </w:rPr>
        <w:t>（6）在深圳南方民和会计师事务所有限责任公司出具 2009</w:t>
      </w:r>
      <w:r>
        <w:rPr>
          <w:spacing w:val="12"/>
          <w:w w:val="95"/>
        </w:rPr>
        <w:t> </w:t>
      </w:r>
      <w:r>
        <w:rPr>
          <w:w w:val="95"/>
        </w:rPr>
        <w:t>年度审计报告后，</w:t>
      </w:r>
      <w:r>
        <w:rPr>
          <w:w w:val="51"/>
        </w:rPr>
        <w:t> </w:t>
      </w:r>
      <w:r>
        <w:rPr/>
        <w:t>董事会审计委员会召开会议，对深圳南方民和会计师事务所有限责任公司从事本</w:t>
      </w:r>
      <w:r>
        <w:rPr>
          <w:spacing w:val="-91"/>
        </w:rPr>
        <w:t> </w:t>
      </w:r>
      <w:r>
        <w:rPr>
          <w:spacing w:val="-91"/>
        </w:rPr>
      </w:r>
      <w:r>
        <w:rPr/>
        <w:t>年度公司的审计工作进行了总结，并就公司年度财务会计报表以及关于下年度聘</w:t>
      </w:r>
    </w:p>
    <w:p>
      <w:pPr>
        <w:pStyle w:val="BodyText"/>
        <w:spacing w:line="240" w:lineRule="auto"/>
        <w:ind w:right="0"/>
        <w:jc w:val="left"/>
      </w:pPr>
      <w:r>
        <w:rPr/>
        <w:t>请会计师事务所的议案进行表决并形成决议。</w:t>
      </w:r>
    </w:p>
    <w:p>
      <w:pPr>
        <w:spacing w:after="0" w:line="240" w:lineRule="auto"/>
        <w:jc w:val="left"/>
        <w:sectPr>
          <w:headerReference w:type="default" r:id="rId115"/>
          <w:footerReference w:type="default" r:id="rId116"/>
          <w:pgSz w:w="11910" w:h="16840"/>
          <w:pgMar w:header="0" w:footer="1095" w:top="1100" w:bottom="1280" w:left="1680" w:right="1260"/>
          <w:pgNumType w:start="61"/>
        </w:sectPr>
      </w:pPr>
    </w:p>
    <w:p>
      <w:pPr>
        <w:pStyle w:val="BodyText"/>
        <w:spacing w:line="357" w:lineRule="auto" w:before="13"/>
        <w:ind w:right="205" w:firstLine="439"/>
        <w:jc w:val="both"/>
      </w:pPr>
      <w:r>
        <w:rPr>
          <w:spacing w:val="-5"/>
        </w:rPr>
        <w:t>（二）审计委员会</w:t>
      </w:r>
      <w:r>
        <w:rPr>
          <w:spacing w:val="-60"/>
        </w:rPr>
        <w:t> </w:t>
      </w:r>
      <w:r>
        <w:rPr/>
        <w:t>2009</w:t>
      </w:r>
      <w:r>
        <w:rPr>
          <w:spacing w:val="-60"/>
        </w:rPr>
        <w:t> </w:t>
      </w:r>
      <w:r>
        <w:rPr>
          <w:spacing w:val="-3"/>
        </w:rPr>
        <w:t>年年报相关审阅意见、2009</w:t>
      </w:r>
      <w:r>
        <w:rPr>
          <w:spacing w:val="-60"/>
        </w:rPr>
        <w:t> </w:t>
      </w:r>
      <w:r>
        <w:rPr/>
        <w:t>年度审计工作总结报告及</w:t>
      </w:r>
      <w:r>
        <w:rPr/>
        <w:t> 相关决议</w:t>
      </w:r>
    </w:p>
    <w:p>
      <w:pPr>
        <w:pStyle w:val="BodyText"/>
        <w:spacing w:line="357" w:lineRule="auto"/>
        <w:ind w:right="235" w:firstLine="480"/>
        <w:jc w:val="both"/>
      </w:pPr>
      <w:r>
        <w:rPr/>
        <w:t>1、审计委员会关于</w:t>
      </w:r>
      <w:r>
        <w:rPr>
          <w:spacing w:val="-47"/>
        </w:rPr>
        <w:t> </w:t>
      </w:r>
      <w:r>
        <w:rPr/>
        <w:t>2009</w:t>
      </w:r>
      <w:r>
        <w:rPr>
          <w:spacing w:val="-52"/>
        </w:rPr>
        <w:t> </w:t>
      </w:r>
      <w:r>
        <w:rPr/>
        <w:t>年年审注册会计师进场前公司出具的财务会计报表</w:t>
      </w:r>
      <w:r>
        <w:rPr/>
        <w:t> 的审阅意见</w:t>
      </w:r>
    </w:p>
    <w:p>
      <w:pPr>
        <w:pStyle w:val="BodyText"/>
        <w:spacing w:line="240" w:lineRule="auto"/>
        <w:ind w:left="780" w:right="0"/>
        <w:jc w:val="left"/>
      </w:pPr>
      <w:r>
        <w:rPr/>
        <w:t>公司董事会：</w:t>
      </w:r>
    </w:p>
    <w:p>
      <w:pPr>
        <w:pStyle w:val="BodyText"/>
        <w:spacing w:line="240" w:lineRule="auto" w:before="154"/>
        <w:ind w:left="780" w:right="0"/>
        <w:jc w:val="left"/>
      </w:pPr>
      <w:r>
        <w:rPr/>
        <w:t>我们审阅了公司计财部</w:t>
      </w:r>
      <w:r>
        <w:rPr>
          <w:spacing w:val="-60"/>
        </w:rPr>
        <w:t> </w:t>
      </w:r>
      <w:r>
        <w:rPr/>
        <w:t>2010</w:t>
      </w:r>
      <w:r>
        <w:rPr>
          <w:spacing w:val="-60"/>
        </w:rPr>
        <w:t> </w:t>
      </w:r>
      <w:r>
        <w:rPr/>
        <w:t>年</w:t>
      </w:r>
      <w:r>
        <w:rPr>
          <w:spacing w:val="-60"/>
        </w:rPr>
        <w:t> </w:t>
      </w:r>
      <w:r>
        <w:rPr/>
        <w:t>1</w:t>
      </w:r>
      <w:r>
        <w:rPr>
          <w:spacing w:val="-60"/>
        </w:rPr>
        <w:t> </w:t>
      </w:r>
      <w:r>
        <w:rPr/>
        <w:t>月</w:t>
      </w:r>
      <w:r>
        <w:rPr>
          <w:spacing w:val="-60"/>
        </w:rPr>
        <w:t> </w:t>
      </w:r>
      <w:r>
        <w:rPr/>
        <w:t>29</w:t>
      </w:r>
      <w:r>
        <w:rPr>
          <w:spacing w:val="-60"/>
        </w:rPr>
        <w:t> </w:t>
      </w:r>
      <w:r>
        <w:rPr>
          <w:spacing w:val="-5"/>
        </w:rPr>
        <w:t>日提交的财务会计报表，包括</w:t>
      </w:r>
      <w:r>
        <w:rPr>
          <w:spacing w:val="-63"/>
        </w:rPr>
        <w:t> </w:t>
      </w:r>
      <w:r>
        <w:rPr/>
        <w:t>2009</w:t>
      </w:r>
      <w:r>
        <w:rPr>
          <w:spacing w:val="-60"/>
        </w:rPr>
        <w:t> </w:t>
      </w:r>
      <w:r>
        <w:rPr/>
        <w:t>年</w:t>
      </w:r>
    </w:p>
    <w:p>
      <w:pPr>
        <w:pStyle w:val="BodyText"/>
        <w:spacing w:line="357" w:lineRule="auto" w:before="154"/>
        <w:ind w:right="224"/>
        <w:jc w:val="left"/>
      </w:pPr>
      <w:r>
        <w:rPr/>
        <w:t>12</w:t>
      </w:r>
      <w:r>
        <w:rPr>
          <w:spacing w:val="-55"/>
        </w:rPr>
        <w:t> </w:t>
      </w:r>
      <w:r>
        <w:rPr/>
        <w:t>月</w:t>
      </w:r>
      <w:r>
        <w:rPr>
          <w:spacing w:val="-53"/>
        </w:rPr>
        <w:t> </w:t>
      </w:r>
      <w:r>
        <w:rPr/>
        <w:t>31</w:t>
      </w:r>
      <w:r>
        <w:rPr>
          <w:spacing w:val="-55"/>
        </w:rPr>
        <w:t> </w:t>
      </w:r>
      <w:r>
        <w:rPr/>
        <w:t>日的资产负债表，2009</w:t>
      </w:r>
      <w:r>
        <w:rPr>
          <w:spacing w:val="-55"/>
        </w:rPr>
        <w:t> </w:t>
      </w:r>
      <w:r>
        <w:rPr/>
        <w:t>年年度的利润表、所有者权益变动表和现金流量</w:t>
      </w:r>
      <w:r>
        <w:rPr/>
        <w:t> 表以及财务会计报表附注资料。</w:t>
      </w:r>
    </w:p>
    <w:p>
      <w:pPr>
        <w:pStyle w:val="BodyText"/>
        <w:spacing w:line="357" w:lineRule="auto"/>
        <w:ind w:right="205" w:firstLine="480"/>
        <w:jc w:val="both"/>
      </w:pPr>
      <w:r>
        <w:rPr>
          <w:spacing w:val="-5"/>
          <w:w w:val="96"/>
        </w:rPr>
        <w:t>我们按照《企业会计准则--基本准则》、《企业会计准则第</w:t>
      </w:r>
      <w:r>
        <w:rPr>
          <w:w w:val="96"/>
        </w:rPr>
        <w:t> </w:t>
      </w:r>
      <w:r>
        <w:rPr/>
        <w:t>1 </w:t>
      </w:r>
      <w:r>
        <w:rPr>
          <w:spacing w:val="-3"/>
        </w:rPr>
        <w:t>号--存货》等</w:t>
      </w:r>
      <w:r>
        <w:rPr>
          <w:spacing w:val="-77"/>
        </w:rPr>
        <w:t> </w:t>
      </w:r>
      <w:r>
        <w:rPr/>
        <w:t>38</w:t>
      </w:r>
      <w:r>
        <w:rPr/>
        <w:t> 项具体准则以及公司有关财务制度规定，对会计资料的真实性、完整性，财务会</w:t>
      </w:r>
      <w:r>
        <w:rPr>
          <w:spacing w:val="-91"/>
        </w:rPr>
        <w:t> </w:t>
      </w:r>
      <w:r>
        <w:rPr>
          <w:spacing w:val="-91"/>
        </w:rPr>
      </w:r>
      <w:r>
        <w:rPr/>
        <w:t>计报表是否严格按照新企业会计准则及公司有关财务制度规定编制予以了重点关</w:t>
      </w:r>
      <w:r>
        <w:rPr>
          <w:spacing w:val="-91"/>
        </w:rPr>
        <w:t> </w:t>
      </w:r>
      <w:r>
        <w:rPr>
          <w:spacing w:val="-91"/>
        </w:rPr>
      </w:r>
      <w:r>
        <w:rPr/>
        <w:t>注。</w:t>
      </w:r>
    </w:p>
    <w:p>
      <w:pPr>
        <w:pStyle w:val="BodyText"/>
        <w:spacing w:line="240" w:lineRule="auto"/>
        <w:ind w:left="780" w:right="0"/>
        <w:jc w:val="left"/>
      </w:pPr>
      <w:r>
        <w:rPr/>
        <w:t>现将涉及</w:t>
      </w:r>
      <w:r>
        <w:rPr>
          <w:spacing w:val="-60"/>
        </w:rPr>
        <w:t> </w:t>
      </w:r>
      <w:r>
        <w:rPr/>
        <w:t>2009</w:t>
      </w:r>
      <w:r>
        <w:rPr>
          <w:spacing w:val="-60"/>
        </w:rPr>
        <w:t> </w:t>
      </w:r>
      <w:r>
        <w:rPr/>
        <w:t>年度财务会计报表需重点关注的事项列示如下：</w:t>
      </w:r>
    </w:p>
    <w:p>
      <w:pPr>
        <w:pStyle w:val="BodyText"/>
        <w:spacing w:line="240" w:lineRule="auto" w:before="154"/>
        <w:ind w:left="780" w:right="0"/>
        <w:jc w:val="left"/>
      </w:pPr>
      <w:r>
        <w:rPr/>
        <w:t>（1）资产负负债表同比变化较大项目</w:t>
      </w:r>
    </w:p>
    <w:p>
      <w:pPr>
        <w:pStyle w:val="BodyText"/>
        <w:spacing w:line="240" w:lineRule="auto" w:before="154"/>
        <w:ind w:left="780" w:right="0"/>
        <w:jc w:val="left"/>
      </w:pPr>
      <w:r>
        <w:rPr/>
        <w:t>（2）损益表同比变化较大项目</w:t>
      </w:r>
    </w:p>
    <w:p>
      <w:pPr>
        <w:pStyle w:val="BodyText"/>
        <w:spacing w:line="357" w:lineRule="auto" w:before="154"/>
        <w:ind w:left="780" w:right="0"/>
        <w:jc w:val="left"/>
      </w:pPr>
      <w:r>
        <w:rPr/>
        <w:t>（3）关于募集资金补充流动资金的有关情况 为提高资金使用效率，降低财务费用支出，在保证募集资金项目建设的资金</w:t>
      </w:r>
    </w:p>
    <w:p>
      <w:pPr>
        <w:pStyle w:val="BodyText"/>
        <w:spacing w:line="240" w:lineRule="auto"/>
        <w:ind w:right="0"/>
        <w:jc w:val="left"/>
      </w:pPr>
      <w:r>
        <w:rPr>
          <w:spacing w:val="-7"/>
        </w:rPr>
        <w:t>需求的前提下，公司于</w:t>
      </w:r>
      <w:r>
        <w:rPr>
          <w:spacing w:val="-59"/>
        </w:rPr>
        <w:t> </w:t>
      </w:r>
      <w:r>
        <w:rPr/>
        <w:t>2008</w:t>
      </w:r>
      <w:r>
        <w:rPr>
          <w:spacing w:val="-59"/>
        </w:rPr>
        <w:t> </w:t>
      </w:r>
      <w:r>
        <w:rPr/>
        <w:t>年</w:t>
      </w:r>
      <w:r>
        <w:rPr>
          <w:spacing w:val="-59"/>
        </w:rPr>
        <w:t> </w:t>
      </w:r>
      <w:r>
        <w:rPr/>
        <w:t>11</w:t>
      </w:r>
      <w:r>
        <w:rPr>
          <w:spacing w:val="-59"/>
        </w:rPr>
        <w:t> </w:t>
      </w:r>
      <w:r>
        <w:rPr/>
        <w:t>月和</w:t>
      </w:r>
      <w:r>
        <w:rPr>
          <w:spacing w:val="-59"/>
        </w:rPr>
        <w:t> </w:t>
      </w:r>
      <w:r>
        <w:rPr/>
        <w:t>2009</w:t>
      </w:r>
      <w:r>
        <w:rPr>
          <w:spacing w:val="-59"/>
        </w:rPr>
        <w:t> </w:t>
      </w:r>
      <w:r>
        <w:rPr/>
        <w:t>年</w:t>
      </w:r>
      <w:r>
        <w:rPr>
          <w:spacing w:val="-59"/>
        </w:rPr>
        <w:t> </w:t>
      </w:r>
      <w:r>
        <w:rPr/>
        <w:t>6</w:t>
      </w:r>
      <w:r>
        <w:rPr>
          <w:spacing w:val="-59"/>
        </w:rPr>
        <w:t> </w:t>
      </w:r>
      <w:r>
        <w:rPr/>
        <w:t>月两次分别从募集资金专户转出</w:t>
      </w:r>
    </w:p>
    <w:p>
      <w:pPr>
        <w:pStyle w:val="BodyText"/>
        <w:spacing w:line="357" w:lineRule="auto" w:before="154"/>
        <w:ind w:right="0"/>
        <w:jc w:val="left"/>
      </w:pPr>
      <w:r>
        <w:rPr/>
        <w:t>5</w:t>
      </w:r>
      <w:r>
        <w:rPr>
          <w:spacing w:val="-60"/>
        </w:rPr>
        <w:t> </w:t>
      </w:r>
      <w:r>
        <w:rPr/>
        <w:t>亿元用于补充流动资金，使用期限均为半年，截止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日已全部归</w:t>
      </w:r>
      <w:r>
        <w:rPr/>
        <w:t> </w:t>
      </w:r>
      <w:r>
        <w:rPr>
          <w:spacing w:val="3"/>
        </w:rPr>
        <w:t>还。募集资金投向的临时变更，经过股东大会批准同意，完全符合公司《章程》</w:t>
      </w:r>
      <w:r>
        <w:rPr>
          <w:spacing w:val="-96"/>
        </w:rPr>
        <w:t> </w:t>
      </w:r>
      <w:r>
        <w:rPr>
          <w:spacing w:val="-96"/>
        </w:rPr>
      </w:r>
      <w:r>
        <w:rPr/>
        <w:t>和中国证监会的相关规定。</w:t>
      </w:r>
    </w:p>
    <w:p>
      <w:pPr>
        <w:pStyle w:val="BodyText"/>
        <w:spacing w:line="357" w:lineRule="auto"/>
        <w:ind w:left="780" w:right="0"/>
        <w:jc w:val="left"/>
      </w:pPr>
      <w:r>
        <w:rPr/>
        <w:t>（4）提请公司特别关注的其他事项 由于年度内鲲鹏公司配送业务增加了营业收入，占公司合并营业收入的比重</w:t>
      </w:r>
    </w:p>
    <w:p>
      <w:pPr>
        <w:pStyle w:val="BodyText"/>
        <w:spacing w:line="357" w:lineRule="auto"/>
        <w:ind w:right="0"/>
        <w:jc w:val="left"/>
      </w:pPr>
      <w:r>
        <w:rPr>
          <w:spacing w:val="3"/>
        </w:rPr>
        <w:t>较大比重，特提请公司重点关注并系统分析鲲鹏公司配送业务的收入确认事项，</w:t>
      </w:r>
      <w:r>
        <w:rPr>
          <w:spacing w:val="-96"/>
        </w:rPr>
        <w:t> </w:t>
      </w:r>
      <w:r>
        <w:rPr>
          <w:spacing w:val="-96"/>
        </w:rPr>
      </w:r>
      <w:r>
        <w:rPr/>
        <w:t>并在</w:t>
      </w:r>
      <w:r>
        <w:rPr>
          <w:spacing w:val="-60"/>
        </w:rPr>
        <w:t> </w:t>
      </w:r>
      <w:r>
        <w:rPr/>
        <w:t>2</w:t>
      </w:r>
      <w:r>
        <w:rPr>
          <w:spacing w:val="-60"/>
        </w:rPr>
        <w:t> </w:t>
      </w:r>
      <w:r>
        <w:rPr/>
        <w:t>月底前与年审注册会计师沟通并形成统一的会计处理意见。</w:t>
      </w:r>
    </w:p>
    <w:p>
      <w:pPr>
        <w:pStyle w:val="BodyText"/>
        <w:spacing w:line="357" w:lineRule="auto"/>
        <w:ind w:right="229" w:firstLine="480"/>
        <w:jc w:val="both"/>
      </w:pPr>
      <w:r>
        <w:rPr/>
        <w:t>基于本次财务报表的审阅时间距离审计报告日及财务会计报表报出日尚有一 段期间，提请公司重点关注并严格按照新企业会计准则处理好资产负债日期后事</w:t>
      </w:r>
      <w:r>
        <w:rPr>
          <w:spacing w:val="-91"/>
        </w:rPr>
        <w:t> </w:t>
      </w:r>
      <w:r>
        <w:rPr>
          <w:spacing w:val="-91"/>
        </w:rPr>
      </w:r>
      <w:r>
        <w:rPr/>
        <w:t>项，以保证财务会计报表的公允性、真实性及完整性。同时提请公司积极做好与</w:t>
      </w:r>
      <w:r>
        <w:rPr>
          <w:spacing w:val="-91"/>
        </w:rPr>
        <w:t> </w:t>
      </w:r>
      <w:r>
        <w:rPr>
          <w:spacing w:val="-91"/>
        </w:rPr>
      </w:r>
      <w:r>
        <w:rPr/>
        <w:t>年审注册会计师的配合和沟通工作。</w:t>
      </w:r>
    </w:p>
    <w:p>
      <w:pPr>
        <w:pStyle w:val="BodyText"/>
        <w:spacing w:line="240" w:lineRule="auto"/>
        <w:ind w:left="780" w:right="0"/>
        <w:jc w:val="left"/>
      </w:pPr>
      <w:r>
        <w:rPr/>
        <w:t>通过询问公司有关管理人员及财务人员、查阅股东会、董事会、监事会及相</w:t>
      </w:r>
    </w:p>
    <w:p>
      <w:pPr>
        <w:pStyle w:val="BodyText"/>
        <w:spacing w:line="240" w:lineRule="auto" w:before="154"/>
        <w:ind w:right="0"/>
        <w:jc w:val="left"/>
      </w:pPr>
      <w:r>
        <w:rPr>
          <w:spacing w:val="3"/>
        </w:rPr>
        <w:t>关委员会会议纪要、公司相关账册及凭证、以及对重大财务数据实施分析程序，</w:t>
      </w:r>
    </w:p>
    <w:p>
      <w:pPr>
        <w:spacing w:after="0" w:line="240" w:lineRule="auto"/>
        <w:jc w:val="left"/>
        <w:sectPr>
          <w:headerReference w:type="default" r:id="rId117"/>
          <w:footerReference w:type="default" r:id="rId118"/>
          <w:pgSz w:w="11910" w:h="16840"/>
          <w:pgMar w:header="0" w:footer="1095" w:top="1100" w:bottom="1280" w:left="1680" w:right="1260"/>
          <w:pgNumType w:start="62"/>
        </w:sectPr>
      </w:pPr>
    </w:p>
    <w:p>
      <w:pPr>
        <w:pStyle w:val="BodyText"/>
        <w:spacing w:line="357" w:lineRule="auto" w:before="13"/>
        <w:ind w:right="209"/>
        <w:jc w:val="both"/>
      </w:pPr>
      <w:r>
        <w:rPr/>
        <w:t>我们认为：公司所有交易均已记录，交易事项真实，资料完整，会计政策选用恰</w:t>
      </w:r>
      <w:r>
        <w:rPr>
          <w:spacing w:val="-91"/>
        </w:rPr>
        <w:t> </w:t>
      </w:r>
      <w:r>
        <w:rPr>
          <w:spacing w:val="-91"/>
        </w:rPr>
      </w:r>
      <w:r>
        <w:rPr/>
        <w:t>当，会计估计合理，未发现有重大错报、漏报情况；未发现有大股东占用公司资</w:t>
      </w:r>
      <w:r>
        <w:rPr>
          <w:spacing w:val="-91"/>
        </w:rPr>
        <w:t> </w:t>
      </w:r>
      <w:r>
        <w:rPr>
          <w:spacing w:val="-91"/>
        </w:rPr>
      </w:r>
      <w:r>
        <w:rPr/>
        <w:t>金情况；未发现公司有对外违规担保情况及异常关联交易情况。</w:t>
      </w:r>
    </w:p>
    <w:p>
      <w:pPr>
        <w:pStyle w:val="BodyText"/>
        <w:spacing w:line="357" w:lineRule="auto"/>
        <w:ind w:left="780" w:right="6226"/>
        <w:jc w:val="left"/>
      </w:pPr>
      <w:r>
        <w:rPr/>
        <w:t>董事会审计委员会 2010</w:t>
      </w:r>
      <w:r>
        <w:rPr>
          <w:spacing w:val="-60"/>
        </w:rPr>
        <w:t> </w:t>
      </w:r>
      <w:r>
        <w:rPr/>
        <w:t>年</w:t>
      </w:r>
      <w:r>
        <w:rPr>
          <w:spacing w:val="-60"/>
        </w:rPr>
        <w:t> </w:t>
      </w:r>
      <w:r>
        <w:rPr/>
        <w:t>2</w:t>
      </w:r>
      <w:r>
        <w:rPr>
          <w:spacing w:val="-60"/>
        </w:rPr>
        <w:t> </w:t>
      </w:r>
      <w:r>
        <w:rPr/>
        <w:t>月</w:t>
      </w:r>
      <w:r>
        <w:rPr>
          <w:spacing w:val="-60"/>
        </w:rPr>
        <w:t> </w:t>
      </w:r>
      <w:r>
        <w:rPr/>
        <w:t>8</w:t>
      </w:r>
      <w:r>
        <w:rPr>
          <w:spacing w:val="-60"/>
        </w:rPr>
        <w:t> </w:t>
      </w:r>
      <w:r>
        <w:rPr/>
        <w:t>日</w:t>
      </w:r>
    </w:p>
    <w:p>
      <w:pPr>
        <w:pStyle w:val="BodyText"/>
        <w:spacing w:line="357" w:lineRule="auto"/>
        <w:ind w:right="174" w:firstLine="480"/>
        <w:jc w:val="left"/>
      </w:pPr>
      <w:r>
        <w:rPr>
          <w:spacing w:val="-2"/>
        </w:rPr>
        <w:t>2、审计委员会关于年审注册会计师出具初步审计意见后的公司财务会计报表</w:t>
      </w:r>
      <w:r>
        <w:rPr/>
        <w:t> 的审阅意见</w:t>
      </w:r>
    </w:p>
    <w:p>
      <w:pPr>
        <w:pStyle w:val="BodyText"/>
        <w:spacing w:line="240" w:lineRule="auto"/>
        <w:ind w:left="780" w:right="0"/>
        <w:jc w:val="left"/>
      </w:pPr>
      <w:r>
        <w:rPr/>
        <w:t>公司董事会：</w:t>
      </w:r>
    </w:p>
    <w:p>
      <w:pPr>
        <w:pStyle w:val="BodyText"/>
        <w:spacing w:line="240" w:lineRule="auto" w:before="154"/>
        <w:ind w:left="780" w:right="0"/>
        <w:jc w:val="left"/>
      </w:pPr>
      <w:r>
        <w:rPr/>
        <w:t>我们审阅了公司计财部</w:t>
      </w:r>
      <w:r>
        <w:rPr>
          <w:spacing w:val="-59"/>
        </w:rPr>
        <w:t> </w:t>
      </w:r>
      <w:r>
        <w:rPr/>
        <w:t>2010</w:t>
      </w:r>
      <w:r>
        <w:rPr>
          <w:spacing w:val="-59"/>
        </w:rPr>
        <w:t> </w:t>
      </w:r>
      <w:r>
        <w:rPr/>
        <w:t>年</w:t>
      </w:r>
      <w:r>
        <w:rPr>
          <w:spacing w:val="-59"/>
        </w:rPr>
        <w:t> </w:t>
      </w:r>
      <w:r>
        <w:rPr/>
        <w:t>4</w:t>
      </w:r>
      <w:r>
        <w:rPr>
          <w:spacing w:val="-59"/>
        </w:rPr>
        <w:t> </w:t>
      </w:r>
      <w:r>
        <w:rPr/>
        <w:t>月</w:t>
      </w:r>
      <w:r>
        <w:rPr>
          <w:spacing w:val="-59"/>
        </w:rPr>
        <w:t> </w:t>
      </w:r>
      <w:r>
        <w:rPr/>
        <w:t>9</w:t>
      </w:r>
      <w:r>
        <w:rPr>
          <w:spacing w:val="-59"/>
        </w:rPr>
        <w:t> </w:t>
      </w:r>
      <w:r>
        <w:rPr>
          <w:spacing w:val="-4"/>
        </w:rPr>
        <w:t>日提交的、经年审注册会计师出具初步</w:t>
      </w:r>
    </w:p>
    <w:p>
      <w:pPr>
        <w:pStyle w:val="BodyText"/>
        <w:spacing w:line="240" w:lineRule="auto" w:before="154"/>
        <w:ind w:right="0"/>
        <w:jc w:val="both"/>
      </w:pPr>
      <w:r>
        <w:rPr>
          <w:spacing w:val="-3"/>
        </w:rPr>
        <w:t>审计意见后、公司出具的财务会计报表，包括</w:t>
      </w:r>
      <w:r>
        <w:rPr>
          <w:spacing w:val="-77"/>
        </w:rPr>
        <w:t> </w:t>
      </w:r>
      <w:r>
        <w:rPr/>
        <w:t>2009</w:t>
      </w:r>
      <w:r>
        <w:rPr>
          <w:spacing w:val="-75"/>
        </w:rPr>
        <w:t> </w:t>
      </w:r>
      <w:r>
        <w:rPr/>
        <w:t>年</w:t>
      </w:r>
      <w:r>
        <w:rPr>
          <w:spacing w:val="-75"/>
        </w:rPr>
        <w:t> </w:t>
      </w:r>
      <w:r>
        <w:rPr/>
        <w:t>12</w:t>
      </w:r>
      <w:r>
        <w:rPr>
          <w:spacing w:val="-30"/>
        </w:rPr>
        <w:t> </w:t>
      </w:r>
      <w:r>
        <w:rPr/>
        <w:t>月</w:t>
      </w:r>
      <w:r>
        <w:rPr>
          <w:spacing w:val="-75"/>
        </w:rPr>
        <w:t> </w:t>
      </w:r>
      <w:r>
        <w:rPr/>
        <w:t>31</w:t>
      </w:r>
      <w:r>
        <w:rPr>
          <w:spacing w:val="-30"/>
        </w:rPr>
        <w:t> </w:t>
      </w:r>
      <w:r>
        <w:rPr/>
        <w:t>日的资产负债表，</w:t>
      </w:r>
    </w:p>
    <w:p>
      <w:pPr>
        <w:pStyle w:val="BodyText"/>
        <w:spacing w:line="240" w:lineRule="auto" w:before="154"/>
        <w:ind w:right="0"/>
        <w:jc w:val="both"/>
      </w:pPr>
      <w:r>
        <w:rPr/>
        <w:t>2009</w:t>
      </w:r>
      <w:r>
        <w:rPr>
          <w:spacing w:val="-60"/>
        </w:rPr>
        <w:t> </w:t>
      </w:r>
      <w:r>
        <w:rPr/>
        <w:t>年度的利润表、所有者权益变动表和现金流量表以及财务报表附注。我们按</w:t>
      </w:r>
    </w:p>
    <w:p>
      <w:pPr>
        <w:pStyle w:val="BodyText"/>
        <w:spacing w:line="357" w:lineRule="auto" w:before="154"/>
        <w:ind w:right="185"/>
        <w:jc w:val="both"/>
      </w:pPr>
      <w:r>
        <w:rPr>
          <w:spacing w:val="-5"/>
          <w:w w:val="95"/>
        </w:rPr>
        <w:t>照《企业会计准则--基本准则》、《企业会计准则第</w:t>
      </w:r>
      <w:r>
        <w:rPr>
          <w:spacing w:val="-47"/>
          <w:w w:val="95"/>
        </w:rPr>
        <w:t> </w:t>
      </w:r>
      <w:r>
        <w:rPr/>
        <w:t>1</w:t>
      </w:r>
      <w:r>
        <w:rPr>
          <w:spacing w:val="5"/>
        </w:rPr>
        <w:t> </w:t>
      </w:r>
      <w:r>
        <w:rPr>
          <w:spacing w:val="-6"/>
        </w:rPr>
        <w:t>号--存货》等</w:t>
      </w:r>
      <w:r>
        <w:rPr>
          <w:spacing w:val="-63"/>
        </w:rPr>
        <w:t> </w:t>
      </w:r>
      <w:r>
        <w:rPr/>
        <w:t>38</w:t>
      </w:r>
      <w:r>
        <w:rPr>
          <w:spacing w:val="-58"/>
        </w:rPr>
        <w:t> </w:t>
      </w:r>
      <w:r>
        <w:rPr/>
        <w:t>项具体准则</w:t>
      </w:r>
      <w:r>
        <w:rPr/>
        <w:t> 以及公司有关财务制度规定，对会计资料的真实性、完整性，财务会计报表是否</w:t>
      </w:r>
      <w:r>
        <w:rPr>
          <w:spacing w:val="-91"/>
        </w:rPr>
        <w:t> </w:t>
      </w:r>
      <w:r>
        <w:rPr>
          <w:spacing w:val="-91"/>
        </w:rPr>
      </w:r>
      <w:r>
        <w:rPr/>
        <w:t>严格按照新企业会计准则和公司有关财务制度规定编制以及资产负债表日期后事</w:t>
      </w:r>
      <w:r>
        <w:rPr>
          <w:spacing w:val="-91"/>
        </w:rPr>
        <w:t> </w:t>
      </w:r>
      <w:r>
        <w:rPr>
          <w:spacing w:val="-91"/>
        </w:rPr>
      </w:r>
      <w:r>
        <w:rPr/>
        <w:t>项予以了重点关注。</w:t>
      </w:r>
    </w:p>
    <w:p>
      <w:pPr>
        <w:pStyle w:val="BodyText"/>
        <w:spacing w:line="357" w:lineRule="auto"/>
        <w:ind w:right="181" w:firstLine="480"/>
        <w:jc w:val="both"/>
      </w:pPr>
      <w:r>
        <w:rPr/>
        <w:t>通过与年审注册会计师沟通初步审计意见后、以及对有关账册及凭证补充审 </w:t>
      </w:r>
      <w:r>
        <w:rPr>
          <w:spacing w:val="-2"/>
          <w:w w:val="95"/>
        </w:rPr>
        <w:t>阅后，我们认为：公司已严格按照新企业会计准则处理了资产负债表日期后事项，</w:t>
      </w:r>
      <w:r>
        <w:rPr>
          <w:spacing w:val="96"/>
          <w:w w:val="95"/>
        </w:rPr>
        <w:t> </w:t>
      </w:r>
      <w:r>
        <w:rPr>
          <w:spacing w:val="96"/>
          <w:w w:val="95"/>
        </w:rPr>
      </w:r>
      <w:r>
        <w:rPr/>
        <w:t>公司财务会计报表已经按照新企业会计准则及公司有关财务制度的规定编制，在</w:t>
      </w:r>
      <w:r>
        <w:rPr>
          <w:spacing w:val="-91"/>
        </w:rPr>
        <w:t> </w:t>
      </w:r>
      <w:r>
        <w:rPr>
          <w:spacing w:val="-91"/>
        </w:rPr>
      </w:r>
      <w:r>
        <w:rPr/>
        <w:t>所有重大方面公允反映了公司</w:t>
      </w:r>
      <w:r>
        <w:rPr>
          <w:spacing w:val="-70"/>
        </w:rPr>
        <w:t> </w:t>
      </w:r>
      <w:r>
        <w:rPr/>
        <w:t>2009</w:t>
      </w:r>
      <w:r>
        <w:rPr>
          <w:spacing w:val="-70"/>
        </w:rPr>
        <w:t> </w:t>
      </w:r>
      <w:r>
        <w:rPr/>
        <w:t>年</w:t>
      </w:r>
      <w:r>
        <w:rPr>
          <w:spacing w:val="-70"/>
        </w:rPr>
        <w:t> </w:t>
      </w:r>
      <w:r>
        <w:rPr/>
        <w:t>12 月</w:t>
      </w:r>
      <w:r>
        <w:rPr>
          <w:spacing w:val="-72"/>
        </w:rPr>
        <w:t> </w:t>
      </w:r>
      <w:r>
        <w:rPr/>
        <w:t>31 日的财务状况以及</w:t>
      </w:r>
      <w:r>
        <w:rPr>
          <w:spacing w:val="-70"/>
        </w:rPr>
        <w:t> </w:t>
      </w:r>
      <w:r>
        <w:rPr/>
        <w:t>2009</w:t>
      </w:r>
      <w:r>
        <w:rPr>
          <w:spacing w:val="-70"/>
        </w:rPr>
        <w:t> </w:t>
      </w:r>
      <w:r>
        <w:rPr/>
        <w:t>年度的经</w:t>
      </w:r>
      <w:r>
        <w:rPr/>
        <w:t> 营成果和现金流量。</w:t>
      </w:r>
    </w:p>
    <w:p>
      <w:pPr>
        <w:pStyle w:val="BodyText"/>
        <w:spacing w:line="357" w:lineRule="auto"/>
        <w:ind w:left="780" w:right="6226"/>
        <w:jc w:val="left"/>
      </w:pPr>
      <w:r>
        <w:rPr/>
        <w:t>董事会审计委员会 2010</w:t>
      </w:r>
      <w:r>
        <w:rPr>
          <w:spacing w:val="-60"/>
        </w:rPr>
        <w:t> </w:t>
      </w:r>
      <w:r>
        <w:rPr/>
        <w:t>年</w:t>
      </w:r>
      <w:r>
        <w:rPr>
          <w:spacing w:val="-60"/>
        </w:rPr>
        <w:t> </w:t>
      </w:r>
      <w:r>
        <w:rPr/>
        <w:t>4</w:t>
      </w:r>
      <w:r>
        <w:rPr>
          <w:spacing w:val="-60"/>
        </w:rPr>
        <w:t> </w:t>
      </w:r>
      <w:r>
        <w:rPr/>
        <w:t>月</w:t>
      </w:r>
      <w:r>
        <w:rPr>
          <w:spacing w:val="-60"/>
        </w:rPr>
        <w:t> </w:t>
      </w:r>
      <w:r>
        <w:rPr/>
        <w:t>9</w:t>
      </w:r>
      <w:r>
        <w:rPr>
          <w:spacing w:val="-60"/>
        </w:rPr>
        <w:t> </w:t>
      </w:r>
      <w:r>
        <w:rPr/>
        <w:t>日</w:t>
      </w:r>
    </w:p>
    <w:p>
      <w:pPr>
        <w:pStyle w:val="BodyText"/>
        <w:spacing w:line="357" w:lineRule="auto"/>
        <w:ind w:right="174" w:firstLine="480"/>
        <w:jc w:val="left"/>
      </w:pPr>
      <w:r>
        <w:rPr>
          <w:spacing w:val="-2"/>
        </w:rPr>
        <w:t>3、审计委员会关于深圳南方民和会计师事务所有限责任公司从事本年度审计</w:t>
      </w:r>
      <w:r>
        <w:rPr/>
        <w:t> 工作的总结报告</w:t>
      </w:r>
    </w:p>
    <w:p>
      <w:pPr>
        <w:pStyle w:val="BodyText"/>
        <w:spacing w:line="240" w:lineRule="auto"/>
        <w:ind w:left="780" w:right="0"/>
        <w:jc w:val="left"/>
      </w:pPr>
      <w:r>
        <w:rPr/>
        <w:t>公司董事会：</w:t>
      </w:r>
    </w:p>
    <w:p>
      <w:pPr>
        <w:pStyle w:val="BodyText"/>
        <w:spacing w:line="240" w:lineRule="auto" w:before="154"/>
        <w:ind w:left="780" w:right="0"/>
        <w:jc w:val="left"/>
      </w:pPr>
      <w:r>
        <w:rPr/>
        <w:t>我们审阅了公司计财部</w:t>
      </w:r>
      <w:r>
        <w:rPr>
          <w:spacing w:val="-60"/>
        </w:rPr>
        <w:t> </w:t>
      </w:r>
      <w:r>
        <w:rPr/>
        <w:t>2009</w:t>
      </w:r>
      <w:r>
        <w:rPr>
          <w:spacing w:val="-60"/>
        </w:rPr>
        <w:t> </w:t>
      </w:r>
      <w:r>
        <w:rPr/>
        <w:t>年</w:t>
      </w:r>
      <w:r>
        <w:rPr>
          <w:spacing w:val="-60"/>
        </w:rPr>
        <w:t> </w:t>
      </w:r>
      <w:r>
        <w:rPr/>
        <w:t>12 月</w:t>
      </w:r>
      <w:r>
        <w:rPr>
          <w:spacing w:val="-60"/>
        </w:rPr>
        <w:t> </w:t>
      </w:r>
      <w:r>
        <w:rPr/>
        <w:t>10</w:t>
      </w:r>
      <w:r>
        <w:rPr>
          <w:spacing w:val="-60"/>
        </w:rPr>
        <w:t> </w:t>
      </w:r>
      <w:r>
        <w:rPr/>
        <w:t>日提交的“农产品</w:t>
      </w:r>
      <w:r>
        <w:rPr>
          <w:spacing w:val="-60"/>
        </w:rPr>
        <w:t> </w:t>
      </w:r>
      <w:r>
        <w:rPr/>
        <w:t>2009</w:t>
      </w:r>
      <w:r>
        <w:rPr>
          <w:spacing w:val="-60"/>
        </w:rPr>
        <w:t> </w:t>
      </w:r>
      <w:r>
        <w:rPr/>
        <w:t>年度报表审</w:t>
      </w:r>
    </w:p>
    <w:p>
      <w:pPr>
        <w:pStyle w:val="BodyText"/>
        <w:spacing w:line="357" w:lineRule="auto" w:before="154"/>
        <w:ind w:right="185"/>
        <w:jc w:val="both"/>
      </w:pPr>
      <w:r>
        <w:rPr>
          <w:spacing w:val="-7"/>
        </w:rPr>
        <w:t>计初步安排”后，于</w:t>
      </w:r>
      <w:r>
        <w:rPr>
          <w:spacing w:val="-72"/>
        </w:rPr>
        <w:t> </w:t>
      </w:r>
      <w:r>
        <w:rPr/>
        <w:t>2009</w:t>
      </w:r>
      <w:r>
        <w:rPr>
          <w:spacing w:val="-68"/>
        </w:rPr>
        <w:t> </w:t>
      </w:r>
      <w:r>
        <w:rPr/>
        <w:t>年</w:t>
      </w:r>
      <w:r>
        <w:rPr>
          <w:spacing w:val="-68"/>
        </w:rPr>
        <w:t> </w:t>
      </w:r>
      <w:r>
        <w:rPr/>
        <w:t>12</w:t>
      </w:r>
      <w:r>
        <w:rPr>
          <w:spacing w:val="-16"/>
        </w:rPr>
        <w:t> </w:t>
      </w:r>
      <w:r>
        <w:rPr/>
        <w:t>月</w:t>
      </w:r>
      <w:r>
        <w:rPr>
          <w:spacing w:val="-68"/>
        </w:rPr>
        <w:t> </w:t>
      </w:r>
      <w:r>
        <w:rPr/>
        <w:t>13</w:t>
      </w:r>
      <w:r>
        <w:rPr>
          <w:spacing w:val="-68"/>
        </w:rPr>
        <w:t> </w:t>
      </w:r>
      <w:r>
        <w:rPr/>
        <w:t>日就上述审计工作计划与深圳南方民和会计</w:t>
      </w:r>
      <w:r>
        <w:rPr/>
        <w:t> 师事务所有限责任公司项目负责人作了充分沟通，并达成一致意见，认为该计划</w:t>
      </w:r>
      <w:r>
        <w:rPr>
          <w:spacing w:val="-91"/>
        </w:rPr>
        <w:t> </w:t>
      </w:r>
      <w:r>
        <w:rPr>
          <w:spacing w:val="-91"/>
        </w:rPr>
      </w:r>
      <w:r>
        <w:rPr/>
        <w:t>制订较详细、责任到人，可保障</w:t>
      </w:r>
      <w:r>
        <w:rPr>
          <w:spacing w:val="-60"/>
        </w:rPr>
        <w:t> </w:t>
      </w:r>
      <w:r>
        <w:rPr/>
        <w:t>2009</w:t>
      </w:r>
      <w:r>
        <w:rPr>
          <w:spacing w:val="-60"/>
        </w:rPr>
        <w:t> </w:t>
      </w:r>
      <w:r>
        <w:rPr/>
        <w:t>年度审计工作的顺利完成。</w:t>
      </w:r>
    </w:p>
    <w:p>
      <w:pPr>
        <w:pStyle w:val="BodyText"/>
        <w:spacing w:line="240" w:lineRule="auto"/>
        <w:ind w:left="780" w:right="0"/>
        <w:jc w:val="left"/>
      </w:pPr>
      <w:r>
        <w:rPr>
          <w:w w:val="95"/>
        </w:rPr>
        <w:t>深圳南方民和会计师事务所有限责任公司审计人员共  14</w:t>
      </w:r>
      <w:r>
        <w:rPr>
          <w:spacing w:val="64"/>
          <w:w w:val="95"/>
        </w:rPr>
        <w:t> </w:t>
      </w:r>
      <w:r>
        <w:rPr>
          <w:spacing w:val="12"/>
          <w:w w:val="95"/>
        </w:rPr>
        <w:t>人（含项目负责人）</w:t>
      </w:r>
      <w:r>
        <w:rPr>
          <w:spacing w:val="12"/>
        </w:rPr>
      </w:r>
    </w:p>
    <w:p>
      <w:pPr>
        <w:pStyle w:val="BodyText"/>
        <w:spacing w:line="240" w:lineRule="auto" w:before="154"/>
        <w:ind w:right="0"/>
        <w:jc w:val="both"/>
      </w:pPr>
      <w:r>
        <w:rPr>
          <w:spacing w:val="-4"/>
        </w:rPr>
        <w:t>按照上述审计工作计划约定，于</w:t>
      </w:r>
      <w:r>
        <w:rPr>
          <w:spacing w:val="-64"/>
        </w:rPr>
        <w:t> </w:t>
      </w:r>
      <w:r>
        <w:rPr/>
        <w:t>2009</w:t>
      </w:r>
      <w:r>
        <w:rPr>
          <w:spacing w:val="-59"/>
        </w:rPr>
        <w:t> </w:t>
      </w:r>
      <w:r>
        <w:rPr/>
        <w:t>年</w:t>
      </w:r>
      <w:r>
        <w:rPr>
          <w:spacing w:val="-59"/>
        </w:rPr>
        <w:t> </w:t>
      </w:r>
      <w:r>
        <w:rPr/>
        <w:t>12</w:t>
      </w:r>
      <w:r>
        <w:rPr>
          <w:spacing w:val="2"/>
        </w:rPr>
        <w:t> </w:t>
      </w:r>
      <w:r>
        <w:rPr/>
        <w:t>月</w:t>
      </w:r>
      <w:r>
        <w:rPr>
          <w:spacing w:val="-59"/>
        </w:rPr>
        <w:t> </w:t>
      </w:r>
      <w:r>
        <w:rPr/>
        <w:t>14</w:t>
      </w:r>
      <w:r>
        <w:rPr>
          <w:spacing w:val="-59"/>
        </w:rPr>
        <w:t> </w:t>
      </w:r>
      <w:r>
        <w:rPr>
          <w:spacing w:val="-5"/>
        </w:rPr>
        <w:t>日起陆续开展审计外勤工作，并</w:t>
      </w:r>
    </w:p>
    <w:p>
      <w:pPr>
        <w:spacing w:after="0" w:line="240" w:lineRule="auto"/>
        <w:jc w:val="both"/>
        <w:sectPr>
          <w:headerReference w:type="default" r:id="rId119"/>
          <w:footerReference w:type="default" r:id="rId120"/>
          <w:pgSz w:w="11910" w:h="16840"/>
          <w:pgMar w:header="0" w:footer="1095" w:top="1100" w:bottom="1280" w:left="1680" w:right="1280"/>
          <w:pgNumType w:start="63"/>
        </w:sectPr>
      </w:pPr>
    </w:p>
    <w:p>
      <w:pPr>
        <w:pStyle w:val="BodyText"/>
        <w:spacing w:line="240" w:lineRule="auto" w:before="13"/>
        <w:ind w:right="0"/>
        <w:jc w:val="left"/>
      </w:pPr>
      <w:r>
        <w:rPr/>
        <w:t>于</w:t>
      </w:r>
      <w:r>
        <w:rPr>
          <w:spacing w:val="-60"/>
        </w:rPr>
        <w:t> </w:t>
      </w:r>
      <w:r>
        <w:rPr/>
        <w:t>2010</w:t>
      </w:r>
      <w:r>
        <w:rPr>
          <w:spacing w:val="-60"/>
        </w:rPr>
        <w:t> </w:t>
      </w:r>
      <w:r>
        <w:rPr/>
        <w:t>年</w:t>
      </w:r>
      <w:r>
        <w:rPr>
          <w:spacing w:val="-60"/>
        </w:rPr>
        <w:t> </w:t>
      </w:r>
      <w:r>
        <w:rPr/>
        <w:t>2</w:t>
      </w:r>
      <w:r>
        <w:rPr>
          <w:spacing w:val="-60"/>
        </w:rPr>
        <w:t> </w:t>
      </w:r>
      <w:r>
        <w:rPr/>
        <w:t>月</w:t>
      </w:r>
      <w:r>
        <w:rPr>
          <w:spacing w:val="-60"/>
        </w:rPr>
        <w:t> </w:t>
      </w:r>
      <w:r>
        <w:rPr/>
        <w:t>22</w:t>
      </w:r>
      <w:r>
        <w:rPr>
          <w:spacing w:val="-60"/>
        </w:rPr>
        <w:t> </w:t>
      </w:r>
      <w:r>
        <w:rPr/>
        <w:t>日进入公司本部审计。其中，5</w:t>
      </w:r>
      <w:r>
        <w:rPr>
          <w:spacing w:val="-60"/>
        </w:rPr>
        <w:t> </w:t>
      </w:r>
      <w:r>
        <w:rPr/>
        <w:t>位审计人员参与公司本部审计，</w:t>
      </w:r>
    </w:p>
    <w:p>
      <w:pPr>
        <w:pStyle w:val="BodyText"/>
        <w:spacing w:line="357" w:lineRule="auto" w:before="154"/>
        <w:ind w:right="242"/>
        <w:jc w:val="left"/>
      </w:pPr>
      <w:r>
        <w:rPr/>
        <w:t>并于</w:t>
      </w:r>
      <w:r>
        <w:rPr>
          <w:spacing w:val="-55"/>
        </w:rPr>
        <w:t> </w:t>
      </w:r>
      <w:r>
        <w:rPr/>
        <w:t>2010</w:t>
      </w:r>
      <w:r>
        <w:rPr>
          <w:spacing w:val="-57"/>
        </w:rPr>
        <w:t> </w:t>
      </w:r>
      <w:r>
        <w:rPr/>
        <w:t>年</w:t>
      </w:r>
      <w:r>
        <w:rPr>
          <w:spacing w:val="-55"/>
        </w:rPr>
        <w:t> </w:t>
      </w:r>
      <w:r>
        <w:rPr/>
        <w:t>3</w:t>
      </w:r>
      <w:r>
        <w:rPr>
          <w:spacing w:val="-57"/>
        </w:rPr>
        <w:t> </w:t>
      </w:r>
      <w:r>
        <w:rPr/>
        <w:t>月</w:t>
      </w:r>
      <w:r>
        <w:rPr>
          <w:spacing w:val="-55"/>
        </w:rPr>
        <w:t> </w:t>
      </w:r>
      <w:r>
        <w:rPr/>
        <w:t>15</w:t>
      </w:r>
      <w:r>
        <w:rPr>
          <w:spacing w:val="-57"/>
        </w:rPr>
        <w:t> </w:t>
      </w:r>
      <w:r>
        <w:rPr/>
        <w:t>日完成纳入合并报表范围的各公司的现场审计工作。年审工</w:t>
      </w:r>
      <w:r>
        <w:rPr/>
        <w:t> 作有序开展。</w:t>
      </w:r>
    </w:p>
    <w:p>
      <w:pPr>
        <w:pStyle w:val="BodyText"/>
        <w:spacing w:line="357" w:lineRule="auto"/>
        <w:ind w:right="225" w:firstLine="480"/>
        <w:jc w:val="both"/>
      </w:pPr>
      <w:r>
        <w:rPr/>
        <w:t>在年审注册会计师现场审计期间，审计委员会各委员高度关注审计过程中发 </w:t>
      </w:r>
      <w:r>
        <w:rPr>
          <w:spacing w:val="-3"/>
        </w:rPr>
        <w:t>现的问题，以电话及见面会形式，就以下几点作了重点沟通：（1）所有交易是否</w:t>
      </w:r>
      <w:r>
        <w:rPr>
          <w:spacing w:val="-107"/>
        </w:rPr>
        <w:t> </w:t>
      </w:r>
      <w:r>
        <w:rPr>
          <w:spacing w:val="-107"/>
        </w:rPr>
      </w:r>
      <w:r>
        <w:rPr>
          <w:spacing w:val="-3"/>
        </w:rPr>
        <w:t>均已记录，交易事项是否真实、资料是否完整；（2）财务会计报表是否按照新企</w:t>
      </w:r>
      <w:r>
        <w:rPr>
          <w:spacing w:val="-105"/>
        </w:rPr>
        <w:t> </w:t>
      </w:r>
      <w:r>
        <w:rPr>
          <w:spacing w:val="-105"/>
        </w:rPr>
      </w:r>
      <w:r>
        <w:rPr/>
        <w:t>业会计准则、证券监管部门的要求及公司财务制度规定编制；</w:t>
      </w:r>
      <w:r>
        <w:rPr>
          <w:spacing w:val="20"/>
        </w:rPr>
        <w:t> </w:t>
      </w:r>
      <w:r>
        <w:rPr/>
        <w:t>（3）公司年度盘</w:t>
      </w:r>
      <w:r>
        <w:rPr>
          <w:spacing w:val="-115"/>
        </w:rPr>
        <w:t> </w:t>
      </w:r>
      <w:r>
        <w:rPr>
          <w:spacing w:val="-115"/>
        </w:rPr>
      </w:r>
      <w:r>
        <w:rPr>
          <w:spacing w:val="-3"/>
        </w:rPr>
        <w:t>点工作能否顺利实施，盘点结论是否充分反映了资产质量；（4）财务部门对法律</w:t>
      </w:r>
      <w:r>
        <w:rPr>
          <w:spacing w:val="-107"/>
        </w:rPr>
        <w:t> </w:t>
      </w:r>
      <w:r>
        <w:rPr>
          <w:spacing w:val="-107"/>
        </w:rPr>
      </w:r>
      <w:r>
        <w:rPr>
          <w:spacing w:val="-3"/>
        </w:rPr>
        <w:t>法规、其他外部要求以及管理层政策、指示和其他内部要求的遵守情况；（5）公</w:t>
      </w:r>
      <w:r>
        <w:rPr>
          <w:spacing w:val="-105"/>
        </w:rPr>
        <w:t> </w:t>
      </w:r>
      <w:r>
        <w:rPr>
          <w:spacing w:val="-105"/>
        </w:rPr>
      </w:r>
      <w:r>
        <w:rPr>
          <w:spacing w:val="-3"/>
        </w:rPr>
        <w:t>司内部会计控制制度是否建立健全；（6）公司重大资产处置和股权转让收入的确</w:t>
      </w:r>
      <w:r>
        <w:rPr>
          <w:spacing w:val="-105"/>
        </w:rPr>
        <w:t> </w:t>
      </w:r>
      <w:r>
        <w:rPr>
          <w:spacing w:val="-105"/>
        </w:rPr>
      </w:r>
      <w:r>
        <w:rPr>
          <w:spacing w:val="-3"/>
        </w:rPr>
        <w:t>认是否符合相关规定；（7）公司各部门是否配合注册会计师获取其审计所需的充</w:t>
      </w:r>
      <w:r>
        <w:rPr>
          <w:spacing w:val="-104"/>
        </w:rPr>
        <w:t> </w:t>
      </w:r>
      <w:r>
        <w:rPr>
          <w:spacing w:val="-104"/>
        </w:rPr>
      </w:r>
      <w:r>
        <w:rPr>
          <w:spacing w:val="-8"/>
        </w:rPr>
        <w:t>分、适当的证据。年审注册会计师就以上几点问题均给予了积极的肯定，并于</w:t>
      </w:r>
      <w:r>
        <w:rPr>
          <w:spacing w:val="-31"/>
        </w:rPr>
        <w:t> </w:t>
      </w:r>
      <w:r>
        <w:rPr/>
        <w:t>2010</w:t>
      </w:r>
    </w:p>
    <w:p>
      <w:pPr>
        <w:pStyle w:val="BodyText"/>
        <w:spacing w:line="357" w:lineRule="auto"/>
        <w:ind w:left="780" w:right="86" w:hanging="480"/>
        <w:jc w:val="left"/>
      </w:pPr>
      <w:r>
        <w:rPr/>
        <w:t>年</w:t>
      </w:r>
      <w:r>
        <w:rPr>
          <w:spacing w:val="-60"/>
        </w:rPr>
        <w:t> </w:t>
      </w:r>
      <w:r>
        <w:rPr/>
        <w:t>4</w:t>
      </w:r>
      <w:r>
        <w:rPr>
          <w:spacing w:val="-60"/>
        </w:rPr>
        <w:t> </w:t>
      </w:r>
      <w:r>
        <w:rPr/>
        <w:t>月</w:t>
      </w:r>
      <w:r>
        <w:rPr>
          <w:spacing w:val="-60"/>
        </w:rPr>
        <w:t> </w:t>
      </w:r>
      <w:r>
        <w:rPr/>
        <w:t>20</w:t>
      </w:r>
      <w:r>
        <w:rPr>
          <w:spacing w:val="-60"/>
        </w:rPr>
        <w:t> </w:t>
      </w:r>
      <w:r>
        <w:rPr/>
        <w:t>日出具了带强调事项段无保留审计意见的审计报告。</w:t>
      </w:r>
      <w:r>
        <w:rPr/>
        <w:t> 我们认为，年审注册会计师已严格按照中国注册会计师独立审计准则的规定</w:t>
      </w:r>
    </w:p>
    <w:p>
      <w:pPr>
        <w:pStyle w:val="BodyText"/>
        <w:spacing w:line="357" w:lineRule="auto"/>
        <w:ind w:right="86"/>
        <w:jc w:val="left"/>
      </w:pPr>
      <w:r>
        <w:rPr/>
        <w:t>执行了审计工作，审计时间充分，审计人员配置合理、执业能力胜任，出具的审</w:t>
      </w:r>
      <w:r>
        <w:rPr>
          <w:spacing w:val="-91"/>
        </w:rPr>
        <w:t> </w:t>
      </w:r>
      <w:r>
        <w:rPr>
          <w:spacing w:val="-91"/>
        </w:rPr>
      </w:r>
      <w:r>
        <w:rPr/>
        <w:t>计结论基本符合公司的实际情况。</w:t>
      </w:r>
    </w:p>
    <w:p>
      <w:pPr>
        <w:pStyle w:val="BodyText"/>
        <w:spacing w:line="357" w:lineRule="auto"/>
        <w:ind w:left="780" w:right="6266"/>
        <w:jc w:val="left"/>
      </w:pPr>
      <w:r>
        <w:rPr/>
        <w:t>董事会审计委员会 2010</w:t>
      </w:r>
      <w:r>
        <w:rPr>
          <w:spacing w:val="-60"/>
        </w:rPr>
        <w:t> </w:t>
      </w:r>
      <w:r>
        <w:rPr/>
        <w:t>年</w:t>
      </w:r>
      <w:r>
        <w:rPr>
          <w:spacing w:val="-60"/>
        </w:rPr>
        <w:t> </w:t>
      </w:r>
      <w:r>
        <w:rPr/>
        <w:t>4</w:t>
      </w:r>
      <w:r>
        <w:rPr>
          <w:spacing w:val="-60"/>
        </w:rPr>
        <w:t> </w:t>
      </w:r>
      <w:r>
        <w:rPr/>
        <w:t>月</w:t>
      </w:r>
      <w:r>
        <w:rPr>
          <w:spacing w:val="-60"/>
        </w:rPr>
        <w:t> </w:t>
      </w:r>
      <w:r>
        <w:rPr/>
        <w:t>20</w:t>
      </w:r>
      <w:r>
        <w:rPr>
          <w:spacing w:val="-60"/>
        </w:rPr>
        <w:t> </w:t>
      </w:r>
      <w:r>
        <w:rPr/>
        <w:t>日</w:t>
      </w:r>
    </w:p>
    <w:p>
      <w:pPr>
        <w:pStyle w:val="BodyText"/>
        <w:spacing w:line="357" w:lineRule="auto"/>
        <w:ind w:left="780" w:right="3626"/>
        <w:jc w:val="left"/>
      </w:pPr>
      <w:r>
        <w:rPr/>
        <w:t>4、关于聘任</w:t>
      </w:r>
      <w:r>
        <w:rPr>
          <w:spacing w:val="-60"/>
        </w:rPr>
        <w:t> </w:t>
      </w:r>
      <w:r>
        <w:rPr/>
        <w:t>2010</w:t>
      </w:r>
      <w:r>
        <w:rPr>
          <w:spacing w:val="-60"/>
        </w:rPr>
        <w:t> </w:t>
      </w:r>
      <w:r>
        <w:rPr/>
        <w:t>年度会计师事务所的议案</w:t>
      </w:r>
      <w:r>
        <w:rPr/>
        <w:t> 公司董事会：</w:t>
      </w:r>
    </w:p>
    <w:p>
      <w:pPr>
        <w:pStyle w:val="BodyText"/>
        <w:spacing w:line="357" w:lineRule="auto"/>
        <w:ind w:right="225" w:firstLine="480"/>
        <w:jc w:val="both"/>
      </w:pPr>
      <w:r>
        <w:rPr/>
        <w:t>鉴于深圳南方民和会计师事务所有限责任公司</w:t>
      </w:r>
      <w:r>
        <w:rPr>
          <w:spacing w:val="-70"/>
        </w:rPr>
        <w:t> </w:t>
      </w:r>
      <w:r>
        <w:rPr/>
        <w:t>2000</w:t>
      </w:r>
      <w:r>
        <w:rPr>
          <w:spacing w:val="-70"/>
        </w:rPr>
        <w:t> </w:t>
      </w:r>
      <w:r>
        <w:rPr/>
        <w:t>年至</w:t>
      </w:r>
      <w:r>
        <w:rPr>
          <w:spacing w:val="-70"/>
        </w:rPr>
        <w:t> </w:t>
      </w:r>
      <w:r>
        <w:rPr/>
        <w:t>2009</w:t>
      </w:r>
      <w:r>
        <w:rPr>
          <w:spacing w:val="-72"/>
        </w:rPr>
        <w:t> </w:t>
      </w:r>
      <w:r>
        <w:rPr/>
        <w:t>年连续</w:t>
      </w:r>
      <w:r>
        <w:rPr>
          <w:spacing w:val="-70"/>
        </w:rPr>
        <w:t> </w:t>
      </w:r>
      <w:r>
        <w:rPr/>
        <w:t>10</w:t>
      </w:r>
      <w:r>
        <w:rPr>
          <w:spacing w:val="-70"/>
        </w:rPr>
        <w:t> </w:t>
      </w:r>
      <w:r>
        <w:rPr/>
        <w:t>年为</w:t>
      </w:r>
      <w:r>
        <w:rPr/>
        <w:t> 公司聘任的会计师事务所，为公司提供年度审计服务，且该事务所在公司近几年</w:t>
      </w:r>
      <w:r>
        <w:rPr>
          <w:spacing w:val="-91"/>
        </w:rPr>
        <w:t> </w:t>
      </w:r>
      <w:r>
        <w:rPr>
          <w:spacing w:val="-91"/>
        </w:rPr>
      </w:r>
      <w:r>
        <w:rPr/>
        <w:t>来审计工作中表现出的执业能力及勤勉、尽责的工作精神，受到公司董事会一致</w:t>
      </w:r>
      <w:r>
        <w:rPr>
          <w:spacing w:val="-91"/>
        </w:rPr>
        <w:t> </w:t>
      </w:r>
      <w:r>
        <w:rPr>
          <w:spacing w:val="-91"/>
        </w:rPr>
      </w:r>
      <w:r>
        <w:rPr/>
        <w:t>认可。</w:t>
      </w:r>
    </w:p>
    <w:p>
      <w:pPr>
        <w:pStyle w:val="BodyText"/>
        <w:spacing w:line="357" w:lineRule="auto"/>
        <w:ind w:right="221" w:firstLine="480"/>
        <w:jc w:val="both"/>
      </w:pPr>
      <w:r>
        <w:rPr/>
        <w:t>2010</w:t>
      </w:r>
      <w:r>
        <w:rPr>
          <w:spacing w:val="-60"/>
        </w:rPr>
        <w:t> </w:t>
      </w:r>
      <w:r>
        <w:rPr/>
        <w:t>年，深圳南方民和会计师事务所有限责任公司将与中审国际会计师事务</w:t>
      </w:r>
      <w:r>
        <w:rPr/>
        <w:t> </w:t>
      </w:r>
      <w:r>
        <w:rPr>
          <w:w w:val="95"/>
        </w:rPr>
        <w:t>所有限公司实施合并，合并后事务所名称为“中审国际会计师事务所有限公司”，</w:t>
      </w:r>
      <w:r>
        <w:rPr>
          <w:spacing w:val="25"/>
          <w:w w:val="95"/>
        </w:rPr>
        <w:t> </w:t>
      </w:r>
      <w:r>
        <w:rPr>
          <w:spacing w:val="25"/>
          <w:w w:val="95"/>
        </w:rPr>
      </w:r>
      <w:r>
        <w:rPr/>
        <w:t>原深圳南方民和会计师事务所有限责任公司所有的审计、验资等注册会计师法定</w:t>
      </w:r>
      <w:r>
        <w:rPr>
          <w:spacing w:val="-95"/>
        </w:rPr>
        <w:t> </w:t>
      </w:r>
      <w:r>
        <w:rPr>
          <w:spacing w:val="-95"/>
        </w:rPr>
      </w:r>
      <w:r>
        <w:rPr/>
        <w:t>业务及其他业务将转由中审国际继续承办，目前正在办理相关手续。深圳南方民</w:t>
      </w:r>
      <w:r>
        <w:rPr>
          <w:spacing w:val="-93"/>
        </w:rPr>
        <w:t> </w:t>
      </w:r>
      <w:r>
        <w:rPr>
          <w:spacing w:val="-93"/>
        </w:rPr>
      </w:r>
      <w:r>
        <w:rPr/>
        <w:t>和会计师事务所有限责任公司承诺，为保证对公司的审计服务质量，其审计服务</w:t>
      </w:r>
      <w:r>
        <w:rPr>
          <w:spacing w:val="-91"/>
        </w:rPr>
        <w:t> </w:t>
      </w:r>
      <w:r>
        <w:rPr>
          <w:spacing w:val="-91"/>
        </w:rPr>
      </w:r>
      <w:r>
        <w:rPr/>
        <w:t>团队人员将会保持稳定。</w:t>
      </w:r>
    </w:p>
    <w:p>
      <w:pPr>
        <w:pStyle w:val="BodyText"/>
        <w:spacing w:line="240" w:lineRule="auto"/>
        <w:ind w:left="780" w:right="86"/>
        <w:jc w:val="left"/>
      </w:pPr>
      <w:r>
        <w:rPr/>
        <w:t>为保证审计工作的连续性，经公司董事会审计委员会提议，拟聘请中审国际</w:t>
      </w:r>
    </w:p>
    <w:p>
      <w:pPr>
        <w:spacing w:after="0" w:line="240" w:lineRule="auto"/>
        <w:jc w:val="left"/>
        <w:sectPr>
          <w:headerReference w:type="default" r:id="rId121"/>
          <w:footerReference w:type="default" r:id="rId122"/>
          <w:pgSz w:w="11910" w:h="16840"/>
          <w:pgMar w:header="0" w:footer="1095" w:top="1100" w:bottom="1280" w:left="1680" w:right="1240"/>
          <w:pgNumType w:start="64"/>
        </w:sectPr>
      </w:pPr>
    </w:p>
    <w:p>
      <w:pPr>
        <w:pStyle w:val="BodyText"/>
        <w:spacing w:line="357" w:lineRule="auto" w:before="13"/>
        <w:ind w:left="780" w:right="92" w:hanging="480"/>
        <w:jc w:val="left"/>
      </w:pPr>
      <w:r>
        <w:rPr/>
        <w:t>会计师事务所有限公司为公司</w:t>
      </w:r>
      <w:r>
        <w:rPr>
          <w:spacing w:val="-74"/>
        </w:rPr>
        <w:t> </w:t>
      </w:r>
      <w:r>
        <w:rPr/>
        <w:t>2010</w:t>
      </w:r>
      <w:r>
        <w:rPr>
          <w:spacing w:val="-74"/>
        </w:rPr>
        <w:t> </w:t>
      </w:r>
      <w:r>
        <w:rPr>
          <w:spacing w:val="-8"/>
        </w:rPr>
        <w:t>年度审计机构，审计报酬约为人民币</w:t>
      </w:r>
      <w:r>
        <w:rPr>
          <w:spacing w:val="-76"/>
        </w:rPr>
        <w:t> </w:t>
      </w:r>
      <w:r>
        <w:rPr/>
        <w:t>100</w:t>
      </w:r>
      <w:r>
        <w:rPr>
          <w:spacing w:val="-74"/>
        </w:rPr>
        <w:t> </w:t>
      </w:r>
      <w:r>
        <w:rPr>
          <w:w w:val="87"/>
        </w:rPr>
        <w:t>万元</w:t>
      </w:r>
      <w:r>
        <w:rPr>
          <w:spacing w:val="-45"/>
          <w:w w:val="87"/>
        </w:rPr>
        <w:t> </w:t>
      </w:r>
      <w:r>
        <w:rPr>
          <w:w w:val="75"/>
        </w:rPr>
        <w:t>。</w:t>
      </w:r>
      <w:r>
        <w:rPr>
          <w:w w:val="75"/>
        </w:rPr>
        <w:t> </w:t>
      </w:r>
      <w:r>
        <w:rPr/>
        <w:t>审计委员会同意聘任中审国际会计师事务所有限公司为公司</w:t>
      </w:r>
      <w:r>
        <w:rPr>
          <w:spacing w:val="-89"/>
        </w:rPr>
        <w:t> </w:t>
      </w:r>
      <w:r>
        <w:rPr/>
        <w:t>2010</w:t>
      </w:r>
      <w:r>
        <w:rPr>
          <w:spacing w:val="-92"/>
        </w:rPr>
        <w:t> </w:t>
      </w:r>
      <w:r>
        <w:rPr/>
        <w:t>年度度审计</w:t>
      </w:r>
    </w:p>
    <w:p>
      <w:pPr>
        <w:pStyle w:val="BodyText"/>
        <w:spacing w:line="357" w:lineRule="auto"/>
        <w:ind w:left="780" w:right="4046" w:hanging="480"/>
        <w:jc w:val="left"/>
      </w:pPr>
      <w:r>
        <w:rPr/>
        <w:t>机构，并提交公司董事会和股东大会审议。 董事会审计委员会</w:t>
      </w:r>
    </w:p>
    <w:p>
      <w:pPr>
        <w:pStyle w:val="BodyText"/>
        <w:spacing w:line="240" w:lineRule="auto"/>
        <w:ind w:left="780" w:right="92"/>
        <w:jc w:val="left"/>
      </w:pPr>
      <w:r>
        <w:rPr/>
        <w:t>2010</w:t>
      </w:r>
      <w:r>
        <w:rPr>
          <w:spacing w:val="-60"/>
        </w:rPr>
        <w:t> </w:t>
      </w:r>
      <w:r>
        <w:rPr/>
        <w:t>年</w:t>
      </w:r>
      <w:r>
        <w:rPr>
          <w:spacing w:val="-60"/>
        </w:rPr>
        <w:t> </w:t>
      </w:r>
      <w:r>
        <w:rPr/>
        <w:t>4</w:t>
      </w:r>
      <w:r>
        <w:rPr>
          <w:spacing w:val="-60"/>
        </w:rPr>
        <w:t> </w:t>
      </w:r>
      <w:r>
        <w:rPr/>
        <w:t>月</w:t>
      </w:r>
      <w:r>
        <w:rPr>
          <w:spacing w:val="-60"/>
        </w:rPr>
        <w:t> </w:t>
      </w:r>
      <w:r>
        <w:rPr/>
        <w:t>20</w:t>
      </w:r>
      <w:r>
        <w:rPr>
          <w:spacing w:val="-60"/>
        </w:rPr>
        <w:t> </w:t>
      </w:r>
      <w:r>
        <w:rPr/>
        <w:t>日</w:t>
      </w:r>
    </w:p>
    <w:p>
      <w:pPr>
        <w:pStyle w:val="BodyText"/>
        <w:spacing w:line="357" w:lineRule="auto" w:before="154"/>
        <w:ind w:left="780" w:right="146"/>
        <w:jc w:val="left"/>
      </w:pPr>
      <w:r>
        <w:rPr/>
        <w:t>5、第六届董事会审计委员会第四次会议决议 深圳市农产品股份有限公司第六届董事会审计委员会第四次会议于</w:t>
      </w:r>
      <w:r>
        <w:rPr>
          <w:spacing w:val="-60"/>
        </w:rPr>
        <w:t> </w:t>
      </w:r>
      <w:r>
        <w:rPr/>
        <w:t>2010</w:t>
      </w:r>
      <w:r>
        <w:rPr>
          <w:spacing w:val="-60"/>
        </w:rPr>
        <w:t> </w:t>
      </w:r>
      <w:r>
        <w:rPr/>
        <w:t>年</w:t>
      </w:r>
      <w:r>
        <w:rPr>
          <w:spacing w:val="-60"/>
        </w:rPr>
        <w:t> </w:t>
      </w:r>
      <w:r>
        <w:rPr/>
        <w:t>4</w:t>
      </w:r>
    </w:p>
    <w:p>
      <w:pPr>
        <w:pStyle w:val="BodyText"/>
        <w:spacing w:line="357" w:lineRule="auto"/>
        <w:ind w:right="190"/>
        <w:jc w:val="left"/>
      </w:pPr>
      <w:r>
        <w:rPr/>
        <w:t>月</w:t>
      </w:r>
      <w:r>
        <w:rPr>
          <w:spacing w:val="-60"/>
        </w:rPr>
        <w:t> </w:t>
      </w:r>
      <w:r>
        <w:rPr/>
        <w:t>20</w:t>
      </w:r>
      <w:r>
        <w:rPr>
          <w:spacing w:val="-58"/>
        </w:rPr>
        <w:t> </w:t>
      </w:r>
      <w:r>
        <w:rPr/>
        <w:t>日下午</w:t>
      </w:r>
      <w:r>
        <w:rPr>
          <w:spacing w:val="-58"/>
        </w:rPr>
        <w:t> </w:t>
      </w:r>
      <w:r>
        <w:rPr/>
        <w:t>2</w:t>
      </w:r>
      <w:r>
        <w:rPr>
          <w:spacing w:val="-58"/>
        </w:rPr>
        <w:t> </w:t>
      </w:r>
      <w:r>
        <w:rPr/>
        <w:t>点在公司</w:t>
      </w:r>
      <w:r>
        <w:rPr>
          <w:spacing w:val="-58"/>
        </w:rPr>
        <w:t> </w:t>
      </w:r>
      <w:r>
        <w:rPr/>
        <w:t>22</w:t>
      </w:r>
      <w:r>
        <w:rPr>
          <w:spacing w:val="-58"/>
        </w:rPr>
        <w:t> </w:t>
      </w:r>
      <w:r>
        <w:rPr/>
        <w:t>层会议室召开。会议应到</w:t>
      </w:r>
      <w:r>
        <w:rPr>
          <w:spacing w:val="-60"/>
        </w:rPr>
        <w:t> </w:t>
      </w:r>
      <w:r>
        <w:rPr/>
        <w:t>4</w:t>
      </w:r>
      <w:r>
        <w:rPr>
          <w:spacing w:val="-58"/>
        </w:rPr>
        <w:t> </w:t>
      </w:r>
      <w:r>
        <w:rPr/>
        <w:t>人，实到</w:t>
      </w:r>
      <w:r>
        <w:rPr>
          <w:spacing w:val="-58"/>
        </w:rPr>
        <w:t> </w:t>
      </w:r>
      <w:r>
        <w:rPr/>
        <w:t>4</w:t>
      </w:r>
      <w:r>
        <w:rPr>
          <w:spacing w:val="-58"/>
        </w:rPr>
        <w:t> </w:t>
      </w:r>
      <w:r>
        <w:rPr/>
        <w:t>人。审计委员</w:t>
      </w:r>
      <w:r>
        <w:rPr/>
        <w:t> 会全体委员一致同意并通过了以下议案：</w:t>
      </w:r>
    </w:p>
    <w:p>
      <w:pPr>
        <w:pStyle w:val="BodyText"/>
        <w:spacing w:line="240" w:lineRule="auto"/>
        <w:ind w:left="780" w:right="92"/>
        <w:jc w:val="left"/>
      </w:pPr>
      <w:r>
        <w:rPr/>
        <w:t>（1）审核《关于计提资产减值准备的议案</w:t>
      </w:r>
      <w:r>
        <w:rPr>
          <w:spacing w:val="-118"/>
        </w:rPr>
        <w:t>》</w:t>
      </w:r>
      <w:r>
        <w:rPr/>
        <w:t>；</w:t>
      </w:r>
    </w:p>
    <w:p>
      <w:pPr>
        <w:pStyle w:val="BodyText"/>
        <w:spacing w:line="357" w:lineRule="auto" w:before="154"/>
        <w:ind w:right="92" w:firstLine="460"/>
        <w:jc w:val="left"/>
      </w:pPr>
      <w:r>
        <w:rPr>
          <w:spacing w:val="-2"/>
        </w:rPr>
        <w:t>（2）审核《关于对公司为深圳市民润农产品配送连锁商业有限公司向银行贷</w:t>
      </w:r>
      <w:r>
        <w:rPr/>
        <w:t> </w:t>
      </w:r>
      <w:r>
        <w:rPr>
          <w:spacing w:val="-7"/>
        </w:rPr>
        <w:t>款所提供担保计提预计负债的议案》；</w:t>
      </w:r>
    </w:p>
    <w:p>
      <w:pPr>
        <w:pStyle w:val="BodyText"/>
        <w:spacing w:line="357" w:lineRule="auto"/>
        <w:ind w:right="92" w:firstLine="465"/>
        <w:jc w:val="left"/>
      </w:pPr>
      <w:r>
        <w:rPr>
          <w:spacing w:val="-2"/>
        </w:rPr>
        <w:t>（3）审核《关于云南鲲鹏食糖配送有限公司委托代销、代购业务会计处理调</w:t>
      </w:r>
      <w:r>
        <w:rPr/>
        <w:t> </w:t>
      </w:r>
      <w:r>
        <w:rPr>
          <w:spacing w:val="17"/>
          <w:w w:val="91"/>
        </w:rPr>
        <w:t>整的议案</w:t>
      </w:r>
      <w:r>
        <w:rPr>
          <w:spacing w:val="-83"/>
          <w:w w:val="91"/>
        </w:rPr>
        <w:t> </w:t>
      </w:r>
      <w:r>
        <w:rPr>
          <w:spacing w:val="-54"/>
          <w:w w:val="91"/>
        </w:rPr>
        <w:t>》；</w:t>
      </w:r>
      <w:r>
        <w:rPr>
          <w:spacing w:val="-54"/>
        </w:rPr>
      </w:r>
    </w:p>
    <w:p>
      <w:pPr>
        <w:pStyle w:val="BodyText"/>
        <w:spacing w:line="240" w:lineRule="auto"/>
        <w:ind w:left="780" w:right="92"/>
        <w:jc w:val="left"/>
      </w:pPr>
      <w:r>
        <w:rPr/>
        <w:t>（4）审核《公司</w:t>
      </w:r>
      <w:r>
        <w:rPr>
          <w:spacing w:val="-60"/>
        </w:rPr>
        <w:t> </w:t>
      </w:r>
      <w:r>
        <w:rPr/>
        <w:t>2009</w:t>
      </w:r>
      <w:r>
        <w:rPr>
          <w:spacing w:val="-60"/>
        </w:rPr>
        <w:t> </w:t>
      </w:r>
      <w:r>
        <w:rPr>
          <w:spacing w:val="17"/>
          <w:w w:val="93"/>
        </w:rPr>
        <w:t>年度财务报告</w:t>
      </w:r>
      <w:r>
        <w:rPr>
          <w:spacing w:val="-101"/>
          <w:w w:val="93"/>
        </w:rPr>
        <w:t>》</w:t>
      </w:r>
      <w:r>
        <w:rPr>
          <w:w w:val="93"/>
        </w:rPr>
        <w:t>；</w:t>
      </w:r>
      <w:r>
        <w:rPr/>
      </w:r>
    </w:p>
    <w:p>
      <w:pPr>
        <w:pStyle w:val="BodyText"/>
        <w:spacing w:line="357" w:lineRule="auto" w:before="154"/>
        <w:ind w:right="185" w:firstLine="480"/>
        <w:jc w:val="left"/>
      </w:pPr>
      <w:r>
        <w:rPr/>
        <w:t>（5）审核《关于对公司</w:t>
      </w:r>
      <w:r>
        <w:rPr>
          <w:spacing w:val="-48"/>
        </w:rPr>
        <w:t> </w:t>
      </w:r>
      <w:r>
        <w:rPr/>
        <w:t>2009</w:t>
      </w:r>
      <w:r>
        <w:rPr>
          <w:spacing w:val="-51"/>
        </w:rPr>
        <w:t> </w:t>
      </w:r>
      <w:r>
        <w:rPr/>
        <w:t>年度审计报告带强调事项段无保留审计意见涉</w:t>
      </w:r>
      <w:r>
        <w:rPr/>
        <w:t> </w:t>
      </w:r>
      <w:r>
        <w:rPr>
          <w:w w:val="94"/>
        </w:rPr>
        <w:t>及事项的专项说明》；</w:t>
      </w:r>
      <w:r>
        <w:rPr/>
      </w:r>
    </w:p>
    <w:p>
      <w:pPr>
        <w:pStyle w:val="BodyText"/>
        <w:spacing w:line="240" w:lineRule="auto"/>
        <w:ind w:left="780" w:right="92"/>
        <w:jc w:val="left"/>
      </w:pPr>
      <w:r>
        <w:rPr/>
        <w:t>（6）审核《公司</w:t>
      </w:r>
      <w:r>
        <w:rPr>
          <w:spacing w:val="-60"/>
        </w:rPr>
        <w:t> </w:t>
      </w:r>
      <w:r>
        <w:rPr/>
        <w:t>2009</w:t>
      </w:r>
      <w:r>
        <w:rPr>
          <w:spacing w:val="-60"/>
        </w:rPr>
        <w:t> </w:t>
      </w:r>
      <w:r>
        <w:rPr/>
        <w:t>年度内部控制自我评估报告</w:t>
      </w:r>
      <w:r>
        <w:rPr>
          <w:spacing w:val="-118"/>
        </w:rPr>
        <w:t>》</w:t>
      </w:r>
      <w:r>
        <w:rPr/>
        <w:t>；</w:t>
      </w:r>
    </w:p>
    <w:p>
      <w:pPr>
        <w:pStyle w:val="BodyText"/>
        <w:spacing w:line="240" w:lineRule="auto" w:before="154"/>
        <w:ind w:left="780" w:right="92"/>
        <w:jc w:val="left"/>
      </w:pPr>
      <w:r>
        <w:rPr/>
        <w:t>（7）审核《公司</w:t>
      </w:r>
      <w:r>
        <w:rPr>
          <w:spacing w:val="-60"/>
        </w:rPr>
        <w:t> </w:t>
      </w:r>
      <w:r>
        <w:rPr/>
        <w:t>2009</w:t>
      </w:r>
      <w:r>
        <w:rPr>
          <w:spacing w:val="-60"/>
        </w:rPr>
        <w:t> </w:t>
      </w:r>
      <w:r>
        <w:rPr/>
        <w:t>年度募集资金存放及使用情况的专项说明</w:t>
      </w:r>
      <w:r>
        <w:rPr>
          <w:spacing w:val="-118"/>
        </w:rPr>
        <w:t>》</w:t>
      </w:r>
      <w:r>
        <w:rPr/>
        <w:t>；</w:t>
      </w:r>
    </w:p>
    <w:p>
      <w:pPr>
        <w:pStyle w:val="BodyText"/>
        <w:spacing w:line="240" w:lineRule="auto" w:before="154"/>
        <w:ind w:left="780" w:right="92"/>
        <w:jc w:val="left"/>
      </w:pPr>
      <w:r>
        <w:rPr/>
        <w:t>（8）审核《公司</w:t>
      </w:r>
      <w:r>
        <w:rPr>
          <w:spacing w:val="-60"/>
        </w:rPr>
        <w:t> </w:t>
      </w:r>
      <w:r>
        <w:rPr/>
        <w:t>2009</w:t>
      </w:r>
      <w:r>
        <w:rPr>
          <w:spacing w:val="-60"/>
        </w:rPr>
        <w:t> </w:t>
      </w:r>
      <w:r>
        <w:rPr>
          <w:spacing w:val="13"/>
          <w:w w:val="94"/>
        </w:rPr>
        <w:t>年度利润分配预案</w:t>
      </w:r>
      <w:r>
        <w:rPr>
          <w:spacing w:val="-104"/>
          <w:w w:val="94"/>
        </w:rPr>
        <w:t>》</w:t>
      </w:r>
      <w:r>
        <w:rPr>
          <w:w w:val="94"/>
        </w:rPr>
        <w:t>；</w:t>
      </w:r>
      <w:r>
        <w:rPr/>
      </w:r>
    </w:p>
    <w:p>
      <w:pPr>
        <w:pStyle w:val="BodyText"/>
        <w:spacing w:line="357" w:lineRule="auto" w:before="154"/>
        <w:ind w:right="92" w:firstLine="460"/>
        <w:jc w:val="left"/>
      </w:pPr>
      <w:r>
        <w:rPr>
          <w:spacing w:val="-2"/>
        </w:rPr>
        <w:t>（9）审核《关于深圳南方民和会计师事务所有限责任公司从事本年度审计工</w:t>
      </w:r>
      <w:r>
        <w:rPr/>
        <w:t> </w:t>
      </w:r>
      <w:r>
        <w:rPr>
          <w:w w:val="93"/>
        </w:rPr>
        <w:t>作的总结报告》；</w:t>
      </w:r>
      <w:r>
        <w:rPr/>
      </w:r>
    </w:p>
    <w:p>
      <w:pPr>
        <w:pStyle w:val="BodyText"/>
        <w:spacing w:line="240" w:lineRule="auto"/>
        <w:ind w:left="780" w:right="92"/>
        <w:jc w:val="left"/>
      </w:pPr>
      <w:r>
        <w:rPr/>
        <w:t>（10）审核《关于聘任</w:t>
      </w:r>
      <w:r>
        <w:rPr>
          <w:spacing w:val="-60"/>
        </w:rPr>
        <w:t> </w:t>
      </w:r>
      <w:r>
        <w:rPr/>
        <w:t>2010</w:t>
      </w:r>
      <w:r>
        <w:rPr>
          <w:spacing w:val="-60"/>
        </w:rPr>
        <w:t> </w:t>
      </w:r>
      <w:r>
        <w:rPr>
          <w:spacing w:val="13"/>
          <w:w w:val="94"/>
        </w:rPr>
        <w:t>年度会计师事务所</w:t>
      </w:r>
      <w:r>
        <w:rPr>
          <w:spacing w:val="-104"/>
          <w:w w:val="94"/>
        </w:rPr>
        <w:t>》</w:t>
      </w:r>
      <w:r>
        <w:rPr>
          <w:w w:val="94"/>
        </w:rPr>
        <w:t>；</w:t>
      </w:r>
      <w:r>
        <w:rPr/>
      </w:r>
    </w:p>
    <w:p>
      <w:pPr>
        <w:pStyle w:val="BodyText"/>
        <w:spacing w:line="240" w:lineRule="auto" w:before="154"/>
        <w:ind w:left="780" w:right="92"/>
        <w:jc w:val="left"/>
      </w:pPr>
      <w:r>
        <w:rPr/>
        <w:t>（11）审核《关于将部分暂未使用的募集资金继续补充流动资金的议案</w:t>
      </w:r>
      <w:r>
        <w:rPr>
          <w:spacing w:val="-118"/>
        </w:rPr>
        <w:t>》</w:t>
      </w:r>
      <w:r>
        <w:rPr/>
        <w:t>；</w:t>
      </w:r>
    </w:p>
    <w:p>
      <w:pPr>
        <w:pStyle w:val="BodyText"/>
        <w:spacing w:line="240" w:lineRule="auto" w:before="154"/>
        <w:ind w:left="780" w:right="92"/>
        <w:jc w:val="left"/>
      </w:pPr>
      <w:r>
        <w:rPr/>
        <w:t>（12)审核《公司年报信息披露重大差错责任追究制度</w:t>
      </w:r>
      <w:r>
        <w:rPr>
          <w:spacing w:val="-118"/>
        </w:rPr>
        <w:t>》</w:t>
      </w:r>
      <w:r>
        <w:rPr/>
        <w:t>；</w:t>
      </w:r>
    </w:p>
    <w:p>
      <w:pPr>
        <w:pStyle w:val="BodyText"/>
        <w:spacing w:line="240" w:lineRule="auto" w:before="154"/>
        <w:ind w:left="780" w:right="92"/>
        <w:jc w:val="left"/>
      </w:pPr>
      <w:r>
        <w:rPr/>
        <w:t>（13）审核《公司</w:t>
      </w:r>
      <w:r>
        <w:rPr>
          <w:spacing w:val="-60"/>
        </w:rPr>
        <w:t> </w:t>
      </w:r>
      <w:r>
        <w:rPr/>
        <w:t>2010</w:t>
      </w:r>
      <w:r>
        <w:rPr>
          <w:spacing w:val="-60"/>
        </w:rPr>
        <w:t> </w:t>
      </w:r>
      <w:r>
        <w:rPr/>
        <w:t>年第一季度财务报告</w:t>
      </w:r>
      <w:r>
        <w:rPr>
          <w:spacing w:val="-118"/>
        </w:rPr>
        <w:t>》</w:t>
      </w:r>
      <w:r>
        <w:rPr/>
        <w:t>；</w:t>
      </w:r>
    </w:p>
    <w:p>
      <w:pPr>
        <w:pStyle w:val="BodyText"/>
        <w:spacing w:line="357" w:lineRule="auto" w:before="154"/>
        <w:ind w:left="780" w:right="92"/>
        <w:jc w:val="left"/>
      </w:pPr>
      <w:r>
        <w:rPr>
          <w:spacing w:val="-5"/>
        </w:rPr>
        <w:t>（14）审议《公司财务会计基础工作专项活动的工作方案》。</w:t>
      </w:r>
      <w:r>
        <w:rPr>
          <w:spacing w:val="-98"/>
        </w:rPr>
        <w:t> </w:t>
      </w:r>
      <w:r>
        <w:rPr>
          <w:spacing w:val="-98"/>
        </w:rPr>
      </w:r>
      <w:r>
        <w:rPr/>
        <w:t>上述议案须提交公司董事会审议。</w:t>
      </w:r>
    </w:p>
    <w:p>
      <w:pPr>
        <w:pStyle w:val="BodyText"/>
        <w:spacing w:line="357" w:lineRule="auto"/>
        <w:ind w:left="780" w:right="6206"/>
        <w:jc w:val="left"/>
      </w:pPr>
      <w:r>
        <w:rPr/>
        <w:t>董事会审计委员会 2010</w:t>
      </w:r>
      <w:r>
        <w:rPr>
          <w:spacing w:val="-60"/>
        </w:rPr>
        <w:t> </w:t>
      </w:r>
      <w:r>
        <w:rPr/>
        <w:t>年</w:t>
      </w:r>
      <w:r>
        <w:rPr>
          <w:spacing w:val="-60"/>
        </w:rPr>
        <w:t> </w:t>
      </w:r>
      <w:r>
        <w:rPr/>
        <w:t>4</w:t>
      </w:r>
      <w:r>
        <w:rPr>
          <w:spacing w:val="-60"/>
        </w:rPr>
        <w:t> </w:t>
      </w:r>
      <w:r>
        <w:rPr/>
        <w:t>月</w:t>
      </w:r>
      <w:r>
        <w:rPr>
          <w:spacing w:val="-60"/>
        </w:rPr>
        <w:t> </w:t>
      </w:r>
      <w:r>
        <w:rPr/>
        <w:t>20</w:t>
      </w:r>
      <w:r>
        <w:rPr>
          <w:spacing w:val="-60"/>
        </w:rPr>
        <w:t> </w:t>
      </w:r>
      <w:r>
        <w:rPr/>
        <w:t>日</w:t>
      </w:r>
    </w:p>
    <w:p>
      <w:pPr>
        <w:pStyle w:val="Heading5"/>
        <w:spacing w:line="378" w:lineRule="exact"/>
        <w:ind w:right="92"/>
        <w:jc w:val="left"/>
        <w:rPr>
          <w:b w:val="0"/>
          <w:bCs w:val="0"/>
        </w:rPr>
      </w:pPr>
      <w:r>
        <w:rPr/>
        <w:t>四、公司董事会薪酬与考核委员会履职情况</w:t>
      </w:r>
      <w:r>
        <w:rPr>
          <w:b w:val="0"/>
          <w:bCs w:val="0"/>
        </w:rPr>
      </w:r>
    </w:p>
    <w:p>
      <w:pPr>
        <w:spacing w:after="0" w:line="378" w:lineRule="exact"/>
        <w:jc w:val="left"/>
        <w:sectPr>
          <w:headerReference w:type="default" r:id="rId123"/>
          <w:footerReference w:type="default" r:id="rId124"/>
          <w:pgSz w:w="11910" w:h="16840"/>
          <w:pgMar w:header="0" w:footer="1095" w:top="1100" w:bottom="1280" w:left="1680" w:right="1300"/>
          <w:pgNumType w:start="65"/>
        </w:sectPr>
      </w:pPr>
    </w:p>
    <w:p>
      <w:pPr>
        <w:pStyle w:val="BodyText"/>
        <w:spacing w:line="357" w:lineRule="auto" w:before="13"/>
        <w:ind w:right="0" w:firstLine="480"/>
        <w:jc w:val="left"/>
      </w:pPr>
      <w:r>
        <w:rPr/>
        <w:t>董事会薪酬与考核委员会是董事会设立的专门工作机构，委员会是董事会设 </w:t>
      </w:r>
      <w:r>
        <w:rPr>
          <w:spacing w:val="3"/>
        </w:rPr>
        <w:t>立的专门工作机构，主要负责制订公司董事及经理人员的考核标准并进行考核；</w:t>
      </w:r>
      <w:r>
        <w:rPr>
          <w:spacing w:val="-96"/>
        </w:rPr>
        <w:t> </w:t>
      </w:r>
      <w:r>
        <w:rPr>
          <w:spacing w:val="-96"/>
        </w:rPr>
      </w:r>
      <w:r>
        <w:rPr/>
        <w:t>负责制定、审查公司董事及经理人员的薪酬政策与方案，对董事会负责。董事会</w:t>
      </w:r>
      <w:r>
        <w:rPr>
          <w:spacing w:val="-91"/>
        </w:rPr>
        <w:t> </w:t>
      </w:r>
      <w:r>
        <w:rPr>
          <w:spacing w:val="-91"/>
        </w:rPr>
      </w:r>
      <w:r>
        <w:rPr/>
        <w:t>薪酬与考核委员会成员由</w:t>
      </w:r>
      <w:r>
        <w:rPr>
          <w:spacing w:val="-55"/>
        </w:rPr>
        <w:t> </w:t>
      </w:r>
      <w:r>
        <w:rPr/>
        <w:t>6</w:t>
      </w:r>
      <w:r>
        <w:rPr>
          <w:spacing w:val="-57"/>
        </w:rPr>
        <w:t> </w:t>
      </w:r>
      <w:r>
        <w:rPr/>
        <w:t>名董事组成，其中</w:t>
      </w:r>
      <w:r>
        <w:rPr>
          <w:spacing w:val="-55"/>
        </w:rPr>
        <w:t> </w:t>
      </w:r>
      <w:r>
        <w:rPr/>
        <w:t>3</w:t>
      </w:r>
      <w:r>
        <w:rPr>
          <w:spacing w:val="-55"/>
        </w:rPr>
        <w:t> </w:t>
      </w:r>
      <w:r>
        <w:rPr/>
        <w:t>名为独立董事，主任委员由独立</w:t>
      </w:r>
      <w:r>
        <w:rPr>
          <w:spacing w:val="-113"/>
        </w:rPr>
        <w:t> </w:t>
      </w:r>
      <w:r>
        <w:rPr>
          <w:spacing w:val="-113"/>
        </w:rPr>
      </w:r>
      <w:r>
        <w:rPr/>
        <w:t>董事孙雄先生担任。</w:t>
      </w:r>
    </w:p>
    <w:p>
      <w:pPr>
        <w:pStyle w:val="BodyText"/>
        <w:spacing w:line="357" w:lineRule="auto"/>
        <w:ind w:right="205" w:firstLine="480"/>
        <w:jc w:val="both"/>
      </w:pPr>
      <w:r>
        <w:rPr/>
        <w:t>报告期内，董事会薪酬与考核委员会依据公司年度主要财务指标和经营目标 完成情况，公司董事和高管人员分管工作范围及主要职责，公司董事会与董事和</w:t>
      </w:r>
      <w:r>
        <w:rPr>
          <w:spacing w:val="-91"/>
        </w:rPr>
        <w:t> </w:t>
      </w:r>
      <w:r>
        <w:rPr>
          <w:spacing w:val="-91"/>
        </w:rPr>
      </w:r>
      <w:r>
        <w:rPr/>
        <w:t>高管人员签署《年度经营业绩责任书》（2009</w:t>
      </w:r>
      <w:r>
        <w:rPr>
          <w:spacing w:val="-60"/>
        </w:rPr>
        <w:t> </w:t>
      </w:r>
      <w:r>
        <w:rPr/>
        <w:t>年度）履行情况，董事和高管人员</w:t>
      </w:r>
      <w:r>
        <w:rPr/>
        <w:t> 的业务创新能力和创利能力的经营绩效情况，按照绩效评价标准和程序，对董事</w:t>
      </w:r>
      <w:r>
        <w:rPr>
          <w:spacing w:val="-91"/>
        </w:rPr>
        <w:t> </w:t>
      </w:r>
      <w:r>
        <w:rPr>
          <w:spacing w:val="-91"/>
        </w:rPr>
      </w:r>
      <w:r>
        <w:rPr>
          <w:spacing w:val="-4"/>
        </w:rPr>
        <w:t>和高管人员进行绩效评价。2010</w:t>
      </w:r>
      <w:r>
        <w:rPr>
          <w:spacing w:val="-58"/>
        </w:rPr>
        <w:t> </w:t>
      </w:r>
      <w:r>
        <w:rPr/>
        <w:t>年</w:t>
      </w:r>
      <w:r>
        <w:rPr>
          <w:spacing w:val="-58"/>
        </w:rPr>
        <w:t> </w:t>
      </w:r>
      <w:r>
        <w:rPr/>
        <w:t>3</w:t>
      </w:r>
      <w:r>
        <w:rPr>
          <w:spacing w:val="-58"/>
        </w:rPr>
        <w:t> </w:t>
      </w:r>
      <w:r>
        <w:rPr/>
        <w:t>月</w:t>
      </w:r>
      <w:r>
        <w:rPr>
          <w:spacing w:val="-58"/>
        </w:rPr>
        <w:t> </w:t>
      </w:r>
      <w:r>
        <w:rPr/>
        <w:t>26</w:t>
      </w:r>
      <w:r>
        <w:rPr>
          <w:spacing w:val="-58"/>
        </w:rPr>
        <w:t> </w:t>
      </w:r>
      <w:r>
        <w:rPr>
          <w:spacing w:val="-4"/>
        </w:rPr>
        <w:t>日，公司第六届董事会薪酬与考核委员</w:t>
      </w:r>
      <w:r>
        <w:rPr/>
        <w:t> 会第一次会议召开会议听取公司高管人员述职报告并对其进行年度考评，根据岗</w:t>
      </w:r>
      <w:r>
        <w:rPr>
          <w:spacing w:val="-91"/>
        </w:rPr>
        <w:t> </w:t>
      </w:r>
      <w:r>
        <w:rPr>
          <w:spacing w:val="-91"/>
        </w:rPr>
      </w:r>
      <w:r>
        <w:rPr/>
        <w:t>位绩效评价结果及薪酬分配政策提出董事和高管人员的绩效工资数额，提交公司</w:t>
      </w:r>
      <w:r>
        <w:rPr>
          <w:spacing w:val="-91"/>
        </w:rPr>
        <w:t> </w:t>
      </w:r>
      <w:r>
        <w:rPr>
          <w:spacing w:val="-91"/>
        </w:rPr>
      </w:r>
      <w:r>
        <w:rPr/>
        <w:t>董事会审议。</w:t>
      </w:r>
    </w:p>
    <w:p>
      <w:pPr>
        <w:pStyle w:val="BodyText"/>
        <w:spacing w:line="357" w:lineRule="auto"/>
        <w:ind w:right="187" w:firstLine="480"/>
        <w:jc w:val="left"/>
      </w:pPr>
      <w:r>
        <w:rPr/>
        <w:t>董事会薪酬与考核委员会对公司董事和高管人员所披露</w:t>
      </w:r>
      <w:r>
        <w:rPr>
          <w:spacing w:val="-89"/>
        </w:rPr>
        <w:t> </w:t>
      </w:r>
      <w:r>
        <w:rPr/>
        <w:t>2009</w:t>
      </w:r>
      <w:r>
        <w:rPr>
          <w:spacing w:val="-92"/>
        </w:rPr>
        <w:t> </w:t>
      </w:r>
      <w:r>
        <w:rPr/>
        <w:t>年度薪酬情况进</w:t>
      </w:r>
      <w:r>
        <w:rPr/>
        <w:t> 行了审核，并出具了核实意见。</w:t>
      </w:r>
    </w:p>
    <w:p>
      <w:pPr>
        <w:pStyle w:val="BodyText"/>
        <w:spacing w:line="357" w:lineRule="auto"/>
        <w:ind w:right="205" w:firstLine="480"/>
        <w:jc w:val="both"/>
      </w:pPr>
      <w:r>
        <w:rPr/>
        <w:t>根据中国证监会、深交所有关法律、法规和公司内部控制制度、公司《董事 </w:t>
      </w:r>
      <w:r>
        <w:rPr>
          <w:spacing w:val="-5"/>
        </w:rPr>
        <w:t>会薪酬与考核委员会实施细则》的有关规定，薪酬与考核委员会对 </w:t>
      </w:r>
      <w:r>
        <w:rPr/>
        <w:t>2009</w:t>
      </w:r>
      <w:r>
        <w:rPr>
          <w:spacing w:val="-33"/>
        </w:rPr>
        <w:t> </w:t>
      </w:r>
      <w:r>
        <w:rPr/>
        <w:t>年度公司</w:t>
      </w:r>
      <w:r>
        <w:rPr/>
        <w:t> 董事和高管人员所披露的薪酬情况进行了审核并发表审核意见如下：</w:t>
      </w:r>
    </w:p>
    <w:p>
      <w:pPr>
        <w:pStyle w:val="BodyText"/>
        <w:spacing w:line="357" w:lineRule="auto"/>
        <w:ind w:right="0" w:firstLine="480"/>
        <w:jc w:val="left"/>
      </w:pPr>
      <w:r>
        <w:rPr/>
        <w:t>公司董事会薪酬与考核委员会根据董事和高管人员管理岗位的主要范围、职 </w:t>
      </w:r>
      <w:r>
        <w:rPr>
          <w:spacing w:val="3"/>
        </w:rPr>
        <w:t>责、重要性及行业相关岗位的薪酬水平，负责制定、审查公司薪酬计划或方案，</w:t>
      </w:r>
      <w:r>
        <w:rPr>
          <w:spacing w:val="-96"/>
        </w:rPr>
        <w:t> </w:t>
      </w:r>
      <w:r>
        <w:rPr>
          <w:spacing w:val="-96"/>
        </w:rPr>
      </w:r>
      <w:r>
        <w:rPr>
          <w:w w:val="95"/>
        </w:rPr>
        <w:t>主要包括绩效评价标准、程序及主要评价体系，奖励和惩罚的主要方案和制度等；</w:t>
      </w:r>
      <w:r>
        <w:rPr>
          <w:spacing w:val="24"/>
          <w:w w:val="95"/>
        </w:rPr>
        <w:t> </w:t>
      </w:r>
      <w:r>
        <w:rPr>
          <w:spacing w:val="24"/>
          <w:w w:val="95"/>
        </w:rPr>
      </w:r>
      <w:r>
        <w:rPr/>
        <w:t>制定公司董事（不含独立董事）和高管人员的考核标准，审查公司董事及经理人</w:t>
      </w:r>
      <w:r>
        <w:rPr>
          <w:spacing w:val="-91"/>
        </w:rPr>
        <w:t> </w:t>
      </w:r>
      <w:r>
        <w:rPr>
          <w:spacing w:val="-91"/>
        </w:rPr>
      </w:r>
      <w:r>
        <w:rPr/>
        <w:t>员履行职责的情况并对其进行年度绩效考评，并对公司薪酬制度执行情况进行监</w:t>
      </w:r>
      <w:r>
        <w:rPr>
          <w:spacing w:val="-91"/>
        </w:rPr>
        <w:t> </w:t>
      </w:r>
      <w:r>
        <w:rPr>
          <w:spacing w:val="-91"/>
        </w:rPr>
      </w:r>
      <w:r>
        <w:rPr/>
        <w:t>督。公司董事会根据公司统一的薪资管理制度及董事会薪酬与考核委员会年度绩</w:t>
      </w:r>
      <w:r>
        <w:rPr>
          <w:spacing w:val="-91"/>
        </w:rPr>
        <w:t> </w:t>
      </w:r>
      <w:r>
        <w:rPr>
          <w:spacing w:val="-91"/>
        </w:rPr>
      </w:r>
      <w:r>
        <w:rPr/>
        <w:t>效考核情况，确定本年度在公司受薪的董事和高级管理人员报酬标准。</w:t>
      </w:r>
    </w:p>
    <w:p>
      <w:pPr>
        <w:pStyle w:val="BodyText"/>
        <w:spacing w:line="357" w:lineRule="auto"/>
        <w:ind w:right="186" w:firstLine="480"/>
        <w:jc w:val="left"/>
      </w:pPr>
      <w:r>
        <w:rPr/>
        <w:t>2009</w:t>
      </w:r>
      <w:r>
        <w:rPr>
          <w:spacing w:val="-60"/>
        </w:rPr>
        <w:t> </w:t>
      </w:r>
      <w:r>
        <w:rPr/>
        <w:t>年度，公司董事和高管人员披露的薪酬情况符合公司薪资管理制度，未</w:t>
      </w:r>
      <w:r>
        <w:rPr/>
        <w:t> 有违反公司薪资管理制度及与公司薪资管理制度不一致的情形发生。</w:t>
      </w:r>
    </w:p>
    <w:p>
      <w:pPr>
        <w:pStyle w:val="Heading5"/>
        <w:spacing w:line="378" w:lineRule="exact"/>
        <w:ind w:right="0"/>
        <w:jc w:val="left"/>
        <w:rPr>
          <w:b w:val="0"/>
          <w:bCs w:val="0"/>
        </w:rPr>
      </w:pPr>
      <w:r>
        <w:rPr/>
        <w:t>五、董事会战略管理委员会履职情况</w:t>
      </w:r>
      <w:r>
        <w:rPr>
          <w:b w:val="0"/>
          <w:bCs w:val="0"/>
        </w:rPr>
      </w:r>
    </w:p>
    <w:p>
      <w:pPr>
        <w:pStyle w:val="BodyText"/>
        <w:spacing w:line="357" w:lineRule="auto" w:before="126"/>
        <w:ind w:right="217" w:firstLine="480"/>
        <w:jc w:val="left"/>
      </w:pPr>
      <w:r>
        <w:rPr/>
        <w:t>董事会战略管理委员会是董事会设立的专门工作机构，主要负责对公司长期 发展战略和重大投资决策进行研究并提出建议。董事会战略管理委员会成员由</w:t>
      </w:r>
      <w:r>
        <w:rPr>
          <w:spacing w:val="29"/>
        </w:rPr>
        <w:t> </w:t>
      </w:r>
      <w:r>
        <w:rPr/>
        <w:t>5</w:t>
      </w:r>
    </w:p>
    <w:p>
      <w:pPr>
        <w:pStyle w:val="BodyText"/>
        <w:spacing w:line="240" w:lineRule="auto"/>
        <w:ind w:right="0"/>
        <w:jc w:val="left"/>
      </w:pPr>
      <w:r>
        <w:rPr/>
        <w:t>名董事组成，其中</w:t>
      </w:r>
      <w:r>
        <w:rPr>
          <w:spacing w:val="-60"/>
        </w:rPr>
        <w:t> </w:t>
      </w:r>
      <w:r>
        <w:rPr/>
        <w:t>2</w:t>
      </w:r>
      <w:r>
        <w:rPr>
          <w:spacing w:val="-60"/>
        </w:rPr>
        <w:t> </w:t>
      </w:r>
      <w:r>
        <w:rPr/>
        <w:t>名为独立董事，主任委员由董事长陈少群先生担任。</w:t>
      </w:r>
    </w:p>
    <w:p>
      <w:pPr>
        <w:spacing w:after="0" w:line="240" w:lineRule="auto"/>
        <w:jc w:val="left"/>
        <w:sectPr>
          <w:headerReference w:type="default" r:id="rId125"/>
          <w:footerReference w:type="default" r:id="rId126"/>
          <w:pgSz w:w="11910" w:h="16840"/>
          <w:pgMar w:header="0" w:footer="1095" w:top="1100" w:bottom="1280" w:left="1680" w:right="1260"/>
          <w:pgNumType w:start="66"/>
        </w:sectPr>
      </w:pPr>
    </w:p>
    <w:p>
      <w:pPr>
        <w:pStyle w:val="BodyText"/>
        <w:spacing w:line="357" w:lineRule="auto" w:before="0"/>
        <w:ind w:right="289" w:firstLine="480"/>
        <w:jc w:val="both"/>
      </w:pPr>
      <w:r>
        <w:rPr/>
        <w:t>报告期内，董事会战略管理委员会重点对“网络化”发展战略积极推进过程 中的若干对外投资行为予以审核，对符合公司完善全国性农产品批发市场网络体</w:t>
      </w:r>
      <w:r>
        <w:rPr>
          <w:spacing w:val="-91"/>
        </w:rPr>
        <w:t> </w:t>
      </w:r>
      <w:r>
        <w:rPr>
          <w:spacing w:val="-91"/>
        </w:rPr>
      </w:r>
      <w:r>
        <w:rPr/>
        <w:t>系发展战略的项目，同意将其提交公司董事会会议审议，为实现“网络化”发展</w:t>
      </w:r>
      <w:r>
        <w:rPr>
          <w:spacing w:val="-93"/>
        </w:rPr>
        <w:t> </w:t>
      </w:r>
      <w:r>
        <w:rPr>
          <w:spacing w:val="-93"/>
        </w:rPr>
      </w:r>
      <w:r>
        <w:rPr/>
        <w:t>战略把好第一关。</w:t>
      </w:r>
    </w:p>
    <w:p>
      <w:pPr>
        <w:spacing w:line="312" w:lineRule="auto" w:before="36"/>
        <w:ind w:left="780"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六、董事会提名委员会履职情况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董事会提名委员会是董事会设立的专门工作机构，主要负责对公司董事和经</w:t>
      </w:r>
    </w:p>
    <w:p>
      <w:pPr>
        <w:pStyle w:val="BodyText"/>
        <w:spacing w:line="240" w:lineRule="auto" w:before="82"/>
        <w:ind w:right="0"/>
        <w:jc w:val="left"/>
      </w:pPr>
      <w:r>
        <w:rPr>
          <w:spacing w:val="-4"/>
        </w:rPr>
        <w:t>理人员的人选、选择标准和程序进行确定并提出建议。董事会提名委员会成员由</w:t>
      </w:r>
      <w:r>
        <w:rPr>
          <w:spacing w:val="-42"/>
        </w:rPr>
        <w:t> </w:t>
      </w:r>
      <w:r>
        <w:rPr/>
        <w:t>6</w:t>
      </w:r>
    </w:p>
    <w:p>
      <w:pPr>
        <w:pStyle w:val="BodyText"/>
        <w:spacing w:line="357" w:lineRule="auto" w:before="154"/>
        <w:ind w:left="780" w:right="0" w:hanging="480"/>
        <w:jc w:val="left"/>
      </w:pPr>
      <w:r>
        <w:rPr/>
        <w:t>名董事组成，其中</w:t>
      </w:r>
      <w:r>
        <w:rPr>
          <w:spacing w:val="-60"/>
        </w:rPr>
        <w:t> </w:t>
      </w:r>
      <w:r>
        <w:rPr/>
        <w:t>5</w:t>
      </w:r>
      <w:r>
        <w:rPr>
          <w:spacing w:val="-60"/>
        </w:rPr>
        <w:t> </w:t>
      </w:r>
      <w:r>
        <w:rPr/>
        <w:t>名为独立董事，主任委员由独立董事孙良媛女士担任。</w:t>
      </w:r>
      <w:r>
        <w:rPr/>
        <w:t> 报告期内，正值公司董事会换届及聘任新一届高级管理人员，董事会提名委</w:t>
      </w:r>
    </w:p>
    <w:p>
      <w:pPr>
        <w:pStyle w:val="BodyText"/>
        <w:spacing w:line="357" w:lineRule="auto"/>
        <w:ind w:right="0"/>
        <w:jc w:val="left"/>
      </w:pPr>
      <w:r>
        <w:rPr>
          <w:spacing w:val="-2"/>
          <w:w w:val="95"/>
        </w:rPr>
        <w:t>员会对董事候选人、总经理人选及其他高级管理人员的选聘进行审查并提出建议，</w:t>
      </w:r>
      <w:r>
        <w:rPr>
          <w:spacing w:val="97"/>
          <w:w w:val="95"/>
        </w:rPr>
        <w:t> </w:t>
      </w:r>
      <w:r>
        <w:rPr>
          <w:spacing w:val="97"/>
          <w:w w:val="95"/>
        </w:rPr>
      </w:r>
      <w:r>
        <w:rPr/>
        <w:t>保证公司董事会换届工作合规进行，为公司管理层招贤纳士提出了积极意见。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bookmarkStart w:name="第七节公司最近三年现金分红情况表" w:id="20"/>
      <w:bookmarkEnd w:id="20"/>
      <w:r>
        <w:rPr>
          <w:b w:val="0"/>
          <w:bCs w:val="0"/>
        </w:rPr>
      </w:r>
      <w:r>
        <w:rPr/>
        <w:t>第七节 </w:t>
      </w:r>
      <w:r>
        <w:rPr>
          <w:spacing w:val="13"/>
        </w:rPr>
        <w:t> </w:t>
      </w:r>
      <w:r>
        <w:rPr/>
        <w:t>公司最近三年现金分红情况表</w:t>
      </w:r>
      <w:r>
        <w:rPr>
          <w:b w:val="0"/>
          <w:bCs w:val="0"/>
        </w:rPr>
      </w:r>
    </w:p>
    <w:p>
      <w:pPr>
        <w:spacing w:line="240" w:lineRule="auto" w:before="16"/>
        <w:rPr>
          <w:rFonts w:ascii="Microsoft JhengHei" w:hAnsi="Microsoft JhengHei" w:cs="Microsoft JhengHei" w:eastAsia="Microsoft JhengHei" w:hint="default"/>
          <w:b/>
          <w:bCs/>
          <w:sz w:val="4"/>
          <w:szCs w:val="4"/>
        </w:rPr>
      </w:pPr>
    </w:p>
    <w:tbl>
      <w:tblPr>
        <w:tblW w:w="0" w:type="auto"/>
        <w:jc w:val="left"/>
        <w:tblInd w:w="655" w:type="dxa"/>
        <w:tblLayout w:type="fixed"/>
        <w:tblCellMar>
          <w:top w:w="0" w:type="dxa"/>
          <w:left w:w="0" w:type="dxa"/>
          <w:bottom w:w="0" w:type="dxa"/>
          <w:right w:w="0" w:type="dxa"/>
        </w:tblCellMar>
        <w:tblLook w:val="01E0"/>
      </w:tblPr>
      <w:tblGrid>
        <w:gridCol w:w="1464"/>
        <w:gridCol w:w="1956"/>
        <w:gridCol w:w="2407"/>
        <w:gridCol w:w="2381"/>
      </w:tblGrid>
      <w:tr>
        <w:trPr>
          <w:trHeight w:val="946" w:hRule="exact"/>
        </w:trPr>
        <w:tc>
          <w:tcPr>
            <w:tcW w:w="1464" w:type="dxa"/>
            <w:tcBorders>
              <w:top w:val="single" w:sz="4" w:space="0" w:color="000008"/>
              <w:left w:val="single" w:sz="4" w:space="0" w:color="000008"/>
              <w:bottom w:val="single" w:sz="4" w:space="0" w:color="000008"/>
              <w:right w:val="single" w:sz="4" w:space="0" w:color="000008"/>
            </w:tcBorders>
            <w:shd w:val="clear" w:color="auto" w:fill="CCCCCC"/>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right="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分红年度</w:t>
            </w:r>
            <w:r>
              <w:rPr>
                <w:rFonts w:ascii="Microsoft JhengHei" w:hAnsi="Microsoft JhengHei" w:cs="Microsoft JhengHei" w:eastAsia="Microsoft JhengHei" w:hint="default"/>
                <w:sz w:val="18"/>
                <w:szCs w:val="18"/>
              </w:rPr>
            </w:r>
          </w:p>
        </w:tc>
        <w:tc>
          <w:tcPr>
            <w:tcW w:w="1956" w:type="dxa"/>
            <w:tcBorders>
              <w:top w:val="single" w:sz="4" w:space="0" w:color="000008"/>
              <w:left w:val="single" w:sz="4" w:space="0" w:color="000008"/>
              <w:bottom w:val="single" w:sz="4" w:space="0" w:color="000008"/>
              <w:right w:val="single" w:sz="4" w:space="0" w:color="000008"/>
            </w:tcBorders>
            <w:shd w:val="clear" w:color="auto" w:fill="CCCCCC"/>
          </w:tcPr>
          <w:p>
            <w:pPr>
              <w:pStyle w:val="TableParagraph"/>
              <w:spacing w:line="313" w:lineRule="exact" w:before="111"/>
              <w:ind w:right="88"/>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现金分红金额</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含税</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313" w:lineRule="exact"/>
              <w:ind w:right="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407" w:type="dxa"/>
            <w:tcBorders>
              <w:top w:val="single" w:sz="4" w:space="0" w:color="000008"/>
              <w:left w:val="single" w:sz="4" w:space="0" w:color="000008"/>
              <w:bottom w:val="single" w:sz="4" w:space="0" w:color="000008"/>
              <w:right w:val="single" w:sz="4" w:space="0" w:color="000008"/>
            </w:tcBorders>
            <w:shd w:val="clear" w:color="auto" w:fill="CCCCCC"/>
          </w:tcPr>
          <w:p>
            <w:pPr>
              <w:pStyle w:val="TableParagraph"/>
              <w:spacing w:line="268" w:lineRule="exact"/>
              <w:ind w:right="9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分红年度合并报表中归属</w:t>
            </w:r>
            <w:r>
              <w:rPr>
                <w:rFonts w:ascii="Microsoft JhengHei" w:hAnsi="Microsoft JhengHei" w:cs="Microsoft JhengHei" w:eastAsia="Microsoft JhengHei" w:hint="default"/>
                <w:sz w:val="18"/>
                <w:szCs w:val="18"/>
              </w:rPr>
            </w:r>
          </w:p>
          <w:p>
            <w:pPr>
              <w:pStyle w:val="TableParagraph"/>
              <w:spacing w:line="312" w:lineRule="exact"/>
              <w:ind w:right="9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于上市公司股东的净利润</w:t>
            </w:r>
            <w:r>
              <w:rPr>
                <w:rFonts w:ascii="Microsoft JhengHei" w:hAnsi="Microsoft JhengHei" w:cs="Microsoft JhengHei" w:eastAsia="Microsoft JhengHei" w:hint="default"/>
                <w:sz w:val="18"/>
                <w:szCs w:val="18"/>
              </w:rPr>
            </w:r>
          </w:p>
          <w:p>
            <w:pPr>
              <w:pStyle w:val="TableParagraph"/>
              <w:spacing w:line="313" w:lineRule="exact"/>
              <w:ind w:left="8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381" w:type="dxa"/>
            <w:tcBorders>
              <w:top w:val="single" w:sz="4" w:space="0" w:color="000008"/>
              <w:left w:val="single" w:sz="4" w:space="0" w:color="000008"/>
              <w:bottom w:val="single" w:sz="4" w:space="0" w:color="000008"/>
              <w:right w:val="single" w:sz="4" w:space="0" w:color="000008"/>
            </w:tcBorders>
            <w:shd w:val="clear" w:color="auto" w:fill="CCCCCC"/>
          </w:tcPr>
          <w:p>
            <w:pPr>
              <w:pStyle w:val="TableParagraph"/>
              <w:spacing w:line="268" w:lineRule="exact"/>
              <w:ind w:right="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占合并报表中归属于上市</w:t>
            </w:r>
            <w:r>
              <w:rPr>
                <w:rFonts w:ascii="Microsoft JhengHei" w:hAnsi="Microsoft JhengHei" w:cs="Microsoft JhengHei" w:eastAsia="Microsoft JhengHei" w:hint="default"/>
                <w:sz w:val="18"/>
                <w:szCs w:val="18"/>
              </w:rPr>
            </w:r>
          </w:p>
          <w:p>
            <w:pPr>
              <w:pStyle w:val="TableParagraph"/>
              <w:spacing w:line="312" w:lineRule="exact"/>
              <w:ind w:right="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公司股东的净利润的比率</w:t>
            </w:r>
            <w:r>
              <w:rPr>
                <w:rFonts w:ascii="Microsoft JhengHei" w:hAnsi="Microsoft JhengHei" w:cs="Microsoft JhengHei" w:eastAsia="Microsoft JhengHei" w:hint="default"/>
                <w:sz w:val="18"/>
                <w:szCs w:val="18"/>
              </w:rPr>
            </w:r>
          </w:p>
          <w:p>
            <w:pPr>
              <w:pStyle w:val="TableParagraph"/>
              <w:spacing w:line="313" w:lineRule="exact"/>
              <w:ind w:right="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326" w:hRule="exact"/>
        </w:trPr>
        <w:tc>
          <w:tcPr>
            <w:tcW w:w="1464" w:type="dxa"/>
            <w:tcBorders>
              <w:top w:val="single" w:sz="4" w:space="0" w:color="000008"/>
              <w:left w:val="single" w:sz="4" w:space="0" w:color="000008"/>
              <w:bottom w:val="single" w:sz="6" w:space="0" w:color="7D7D85"/>
              <w:right w:val="single" w:sz="4" w:space="0" w:color="000008"/>
            </w:tcBorders>
          </w:tcPr>
          <w:p>
            <w:pPr>
              <w:pStyle w:val="TableParagraph"/>
              <w:spacing w:line="240" w:lineRule="auto" w:before="13"/>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6" w:type="dxa"/>
            <w:tcBorders>
              <w:top w:val="single" w:sz="4" w:space="0" w:color="000008"/>
              <w:left w:val="single" w:sz="4" w:space="0" w:color="000008"/>
              <w:bottom w:val="single" w:sz="6" w:space="0" w:color="7D7D85"/>
              <w:right w:val="single" w:sz="4" w:space="0" w:color="000008"/>
            </w:tcBorders>
          </w:tcPr>
          <w:p>
            <w:pPr>
              <w:pStyle w:val="TableParagraph"/>
              <w:spacing w:line="240" w:lineRule="auto" w:before="55"/>
              <w:ind w:right="92"/>
              <w:jc w:val="center"/>
              <w:rPr>
                <w:rFonts w:ascii="Times New Roman" w:hAnsi="Times New Roman" w:cs="Times New Roman" w:eastAsia="Times New Roman" w:hint="default"/>
                <w:sz w:val="18"/>
                <w:szCs w:val="18"/>
              </w:rPr>
            </w:pPr>
            <w:r>
              <w:rPr>
                <w:rFonts w:ascii="Times New Roman"/>
                <w:sz w:val="18"/>
              </w:rPr>
              <w:t>0</w:t>
            </w:r>
          </w:p>
        </w:tc>
        <w:tc>
          <w:tcPr>
            <w:tcW w:w="2407" w:type="dxa"/>
            <w:tcBorders>
              <w:top w:val="single" w:sz="4" w:space="0" w:color="000008"/>
              <w:left w:val="single" w:sz="4" w:space="0" w:color="000008"/>
              <w:bottom w:val="single" w:sz="6" w:space="0" w:color="7D7D85"/>
              <w:right w:val="single" w:sz="4" w:space="0" w:color="000008"/>
            </w:tcBorders>
          </w:tcPr>
          <w:p>
            <w:pPr>
              <w:pStyle w:val="TableParagraph"/>
              <w:spacing w:line="240" w:lineRule="auto" w:before="55"/>
              <w:ind w:right="930"/>
              <w:jc w:val="right"/>
              <w:rPr>
                <w:rFonts w:ascii="Times New Roman" w:hAnsi="Times New Roman" w:cs="Times New Roman" w:eastAsia="Times New Roman" w:hint="default"/>
                <w:sz w:val="18"/>
                <w:szCs w:val="18"/>
              </w:rPr>
            </w:pPr>
            <w:r>
              <w:rPr>
                <w:rFonts w:ascii="Times New Roman"/>
                <w:spacing w:val="-1"/>
                <w:sz w:val="18"/>
              </w:rPr>
              <w:t>5,704.66</w:t>
            </w:r>
          </w:p>
        </w:tc>
        <w:tc>
          <w:tcPr>
            <w:tcW w:w="2381" w:type="dxa"/>
            <w:tcBorders>
              <w:top w:val="single" w:sz="4" w:space="0" w:color="000008"/>
              <w:left w:val="single" w:sz="4" w:space="0" w:color="000008"/>
              <w:bottom w:val="single" w:sz="6" w:space="0" w:color="7D7D85"/>
              <w:right w:val="single" w:sz="4" w:space="0" w:color="000008"/>
            </w:tcBorders>
          </w:tcPr>
          <w:p>
            <w:pPr>
              <w:pStyle w:val="TableParagraph"/>
              <w:spacing w:line="240" w:lineRule="auto" w:before="55"/>
              <w:ind w:right="95"/>
              <w:jc w:val="center"/>
              <w:rPr>
                <w:rFonts w:ascii="Times New Roman" w:hAnsi="Times New Roman" w:cs="Times New Roman" w:eastAsia="Times New Roman" w:hint="default"/>
                <w:sz w:val="18"/>
                <w:szCs w:val="18"/>
              </w:rPr>
            </w:pPr>
            <w:r>
              <w:rPr>
                <w:rFonts w:ascii="Times New Roman"/>
                <w:sz w:val="18"/>
              </w:rPr>
              <w:t>0</w:t>
            </w:r>
          </w:p>
        </w:tc>
      </w:tr>
      <w:tr>
        <w:trPr>
          <w:trHeight w:val="326" w:hRule="exact"/>
        </w:trPr>
        <w:tc>
          <w:tcPr>
            <w:tcW w:w="1464" w:type="dxa"/>
            <w:tcBorders>
              <w:top w:val="single" w:sz="6" w:space="0" w:color="7D7D85"/>
              <w:left w:val="single" w:sz="4" w:space="0" w:color="000008"/>
              <w:bottom w:val="single" w:sz="6" w:space="0" w:color="7D7D85"/>
              <w:right w:val="single" w:sz="4" w:space="0" w:color="000008"/>
            </w:tcBorders>
          </w:tcPr>
          <w:p>
            <w:pPr>
              <w:pStyle w:val="TableParagraph"/>
              <w:spacing w:line="240" w:lineRule="auto" w:before="10"/>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6" w:type="dxa"/>
            <w:tcBorders>
              <w:top w:val="single" w:sz="6" w:space="0" w:color="7D7D85"/>
              <w:left w:val="single" w:sz="4" w:space="0" w:color="000008"/>
              <w:bottom w:val="single" w:sz="6" w:space="0" w:color="7D7D85"/>
              <w:right w:val="single" w:sz="4" w:space="0" w:color="000008"/>
            </w:tcBorders>
          </w:tcPr>
          <w:p>
            <w:pPr>
              <w:pStyle w:val="TableParagraph"/>
              <w:spacing w:line="240" w:lineRule="auto" w:before="50"/>
              <w:ind w:right="95"/>
              <w:jc w:val="center"/>
              <w:rPr>
                <w:rFonts w:ascii="Times New Roman" w:hAnsi="Times New Roman" w:cs="Times New Roman" w:eastAsia="Times New Roman" w:hint="default"/>
                <w:sz w:val="18"/>
                <w:szCs w:val="18"/>
              </w:rPr>
            </w:pPr>
            <w:r>
              <w:rPr>
                <w:rFonts w:ascii="Times New Roman"/>
                <w:sz w:val="18"/>
              </w:rPr>
              <w:t>3,876.63</w:t>
            </w:r>
          </w:p>
        </w:tc>
        <w:tc>
          <w:tcPr>
            <w:tcW w:w="2407" w:type="dxa"/>
            <w:tcBorders>
              <w:top w:val="single" w:sz="6" w:space="0" w:color="7D7D85"/>
              <w:left w:val="single" w:sz="4" w:space="0" w:color="000008"/>
              <w:bottom w:val="single" w:sz="6" w:space="0" w:color="7D7D85"/>
              <w:right w:val="single" w:sz="4" w:space="0" w:color="000008"/>
            </w:tcBorders>
          </w:tcPr>
          <w:p>
            <w:pPr>
              <w:pStyle w:val="TableParagraph"/>
              <w:spacing w:line="240" w:lineRule="auto" w:before="50"/>
              <w:ind w:right="887"/>
              <w:jc w:val="right"/>
              <w:rPr>
                <w:rFonts w:ascii="Times New Roman" w:hAnsi="Times New Roman" w:cs="Times New Roman" w:eastAsia="Times New Roman" w:hint="default"/>
                <w:sz w:val="18"/>
                <w:szCs w:val="18"/>
              </w:rPr>
            </w:pPr>
            <w:r>
              <w:rPr>
                <w:rFonts w:ascii="Times New Roman"/>
                <w:spacing w:val="-1"/>
                <w:sz w:val="18"/>
              </w:rPr>
              <w:t>17,066.93</w:t>
            </w:r>
          </w:p>
        </w:tc>
        <w:tc>
          <w:tcPr>
            <w:tcW w:w="2381" w:type="dxa"/>
            <w:tcBorders>
              <w:top w:val="single" w:sz="6" w:space="0" w:color="7D7D85"/>
              <w:left w:val="single" w:sz="4" w:space="0" w:color="000008"/>
              <w:bottom w:val="single" w:sz="6" w:space="0" w:color="7D7D85"/>
              <w:right w:val="single" w:sz="4" w:space="0" w:color="000008"/>
            </w:tcBorders>
          </w:tcPr>
          <w:p>
            <w:pPr>
              <w:pStyle w:val="TableParagraph"/>
              <w:spacing w:line="240" w:lineRule="auto" w:before="50"/>
              <w:ind w:right="97"/>
              <w:jc w:val="center"/>
              <w:rPr>
                <w:rFonts w:ascii="Times New Roman" w:hAnsi="Times New Roman" w:cs="Times New Roman" w:eastAsia="Times New Roman" w:hint="default"/>
                <w:sz w:val="18"/>
                <w:szCs w:val="18"/>
              </w:rPr>
            </w:pPr>
            <w:r>
              <w:rPr>
                <w:rFonts w:ascii="Times New Roman"/>
                <w:sz w:val="18"/>
              </w:rPr>
              <w:t>22.71</w:t>
            </w:r>
          </w:p>
        </w:tc>
      </w:tr>
      <w:tr>
        <w:trPr>
          <w:trHeight w:val="326" w:hRule="exact"/>
        </w:trPr>
        <w:tc>
          <w:tcPr>
            <w:tcW w:w="1464" w:type="dxa"/>
            <w:tcBorders>
              <w:top w:val="single" w:sz="6" w:space="0" w:color="7D7D85"/>
              <w:left w:val="single" w:sz="4" w:space="0" w:color="000008"/>
              <w:bottom w:val="single" w:sz="6" w:space="0" w:color="7D7D85"/>
              <w:right w:val="single" w:sz="4" w:space="0" w:color="000008"/>
            </w:tcBorders>
          </w:tcPr>
          <w:p>
            <w:pPr>
              <w:pStyle w:val="TableParagraph"/>
              <w:spacing w:line="240" w:lineRule="auto" w:before="10"/>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6" w:type="dxa"/>
            <w:tcBorders>
              <w:top w:val="single" w:sz="6" w:space="0" w:color="7D7D85"/>
              <w:left w:val="single" w:sz="4" w:space="0" w:color="000008"/>
              <w:bottom w:val="single" w:sz="6" w:space="0" w:color="7D7D85"/>
              <w:right w:val="single" w:sz="4" w:space="0" w:color="000008"/>
            </w:tcBorders>
          </w:tcPr>
          <w:p>
            <w:pPr>
              <w:pStyle w:val="TableParagraph"/>
              <w:spacing w:line="240" w:lineRule="auto" w:before="52"/>
              <w:ind w:right="95"/>
              <w:jc w:val="center"/>
              <w:rPr>
                <w:rFonts w:ascii="Times New Roman" w:hAnsi="Times New Roman" w:cs="Times New Roman" w:eastAsia="Times New Roman" w:hint="default"/>
                <w:sz w:val="18"/>
                <w:szCs w:val="18"/>
              </w:rPr>
            </w:pPr>
            <w:r>
              <w:rPr>
                <w:rFonts w:ascii="Times New Roman"/>
                <w:sz w:val="18"/>
              </w:rPr>
              <w:t>6,780.95</w:t>
            </w:r>
          </w:p>
        </w:tc>
        <w:tc>
          <w:tcPr>
            <w:tcW w:w="2407" w:type="dxa"/>
            <w:tcBorders>
              <w:top w:val="single" w:sz="6" w:space="0" w:color="7D7D85"/>
              <w:left w:val="single" w:sz="4" w:space="0" w:color="000008"/>
              <w:bottom w:val="single" w:sz="6" w:space="0" w:color="7D7D85"/>
              <w:right w:val="single" w:sz="4" w:space="0" w:color="000008"/>
            </w:tcBorders>
          </w:tcPr>
          <w:p>
            <w:pPr>
              <w:pStyle w:val="TableParagraph"/>
              <w:spacing w:line="240" w:lineRule="auto" w:before="52"/>
              <w:ind w:right="930"/>
              <w:jc w:val="right"/>
              <w:rPr>
                <w:rFonts w:ascii="Times New Roman" w:hAnsi="Times New Roman" w:cs="Times New Roman" w:eastAsia="Times New Roman" w:hint="default"/>
                <w:sz w:val="18"/>
                <w:szCs w:val="18"/>
              </w:rPr>
            </w:pPr>
            <w:r>
              <w:rPr>
                <w:rFonts w:ascii="Times New Roman"/>
                <w:spacing w:val="-1"/>
                <w:sz w:val="18"/>
              </w:rPr>
              <w:t>5,306.79</w:t>
            </w:r>
          </w:p>
        </w:tc>
        <w:tc>
          <w:tcPr>
            <w:tcW w:w="2381" w:type="dxa"/>
            <w:tcBorders>
              <w:top w:val="single" w:sz="6" w:space="0" w:color="7D7D85"/>
              <w:left w:val="single" w:sz="4" w:space="0" w:color="000008"/>
              <w:bottom w:val="single" w:sz="6" w:space="0" w:color="7D7D85"/>
              <w:right w:val="single" w:sz="4" w:space="0" w:color="000008"/>
            </w:tcBorders>
          </w:tcPr>
          <w:p>
            <w:pPr>
              <w:pStyle w:val="TableParagraph"/>
              <w:spacing w:line="240" w:lineRule="auto" w:before="52"/>
              <w:ind w:right="97"/>
              <w:jc w:val="center"/>
              <w:rPr>
                <w:rFonts w:ascii="Times New Roman" w:hAnsi="Times New Roman" w:cs="Times New Roman" w:eastAsia="Times New Roman" w:hint="default"/>
                <w:sz w:val="18"/>
                <w:szCs w:val="18"/>
              </w:rPr>
            </w:pPr>
            <w:r>
              <w:rPr>
                <w:rFonts w:ascii="Times New Roman"/>
                <w:sz w:val="18"/>
              </w:rPr>
              <w:t>127.78</w:t>
            </w:r>
          </w:p>
        </w:tc>
      </w:tr>
      <w:tr>
        <w:trPr>
          <w:trHeight w:val="638" w:hRule="exact"/>
        </w:trPr>
        <w:tc>
          <w:tcPr>
            <w:tcW w:w="3420" w:type="dxa"/>
            <w:gridSpan w:val="2"/>
            <w:tcBorders>
              <w:top w:val="single" w:sz="6" w:space="0" w:color="7D7D85"/>
              <w:left w:val="single" w:sz="4" w:space="0" w:color="000008"/>
              <w:bottom w:val="single" w:sz="6" w:space="0" w:color="BDBDC4"/>
              <w:right w:val="single" w:sz="4" w:space="0" w:color="000008"/>
            </w:tcBorders>
          </w:tcPr>
          <w:p>
            <w:pPr>
              <w:pStyle w:val="TableParagraph"/>
              <w:spacing w:line="268" w:lineRule="exact"/>
              <w:ind w:right="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最近三年累计现金分红金额</w:t>
            </w:r>
            <w:r>
              <w:rPr>
                <w:rFonts w:ascii="Microsoft JhengHei" w:hAnsi="Microsoft JhengHei" w:cs="Microsoft JhengHei" w:eastAsia="Microsoft JhengHei" w:hint="default"/>
                <w:sz w:val="18"/>
                <w:szCs w:val="18"/>
              </w:rPr>
            </w:r>
          </w:p>
          <w:p>
            <w:pPr>
              <w:pStyle w:val="TableParagraph"/>
              <w:spacing w:line="313" w:lineRule="exact"/>
              <w:ind w:right="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占最近年均净利润的比例（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4788" w:type="dxa"/>
            <w:gridSpan w:val="2"/>
            <w:tcBorders>
              <w:top w:val="single" w:sz="6" w:space="0" w:color="7D7D85"/>
              <w:left w:val="single" w:sz="4" w:space="0" w:color="000008"/>
              <w:bottom w:val="single" w:sz="6" w:space="0" w:color="BDBDC4"/>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97"/>
              <w:jc w:val="center"/>
              <w:rPr>
                <w:rFonts w:ascii="Times New Roman" w:hAnsi="Times New Roman" w:cs="Times New Roman" w:eastAsia="Times New Roman" w:hint="default"/>
                <w:sz w:val="18"/>
                <w:szCs w:val="18"/>
              </w:rPr>
            </w:pPr>
            <w:r>
              <w:rPr>
                <w:rFonts w:ascii="Times New Roman"/>
                <w:sz w:val="18"/>
              </w:rPr>
              <w:t>113.87</w:t>
            </w:r>
          </w:p>
        </w:tc>
      </w:tr>
    </w:tbl>
    <w:p>
      <w:pPr>
        <w:spacing w:line="240" w:lineRule="auto" w:before="1"/>
        <w:rPr>
          <w:rFonts w:ascii="Microsoft JhengHei" w:hAnsi="Microsoft JhengHei" w:cs="Microsoft JhengHei" w:eastAsia="Microsoft JhengHei" w:hint="default"/>
          <w:b/>
          <w:bCs/>
          <w:sz w:val="16"/>
          <w:szCs w:val="16"/>
        </w:rPr>
      </w:pPr>
    </w:p>
    <w:p>
      <w:pPr>
        <w:spacing w:before="0"/>
        <w:ind w:left="780" w:right="0" w:firstLine="0"/>
        <w:jc w:val="left"/>
        <w:rPr>
          <w:rFonts w:ascii="Microsoft JhengHei" w:hAnsi="Microsoft JhengHei" w:cs="Microsoft JhengHei" w:eastAsia="Microsoft JhengHei" w:hint="default"/>
          <w:sz w:val="24"/>
          <w:szCs w:val="24"/>
        </w:rPr>
      </w:pPr>
      <w:bookmarkStart w:name="第八节2009年度利润分配预案" w:id="21"/>
      <w:bookmarkEnd w:id="21"/>
      <w:r>
        <w:rPr/>
      </w:r>
      <w:r>
        <w:rPr>
          <w:rFonts w:ascii="Microsoft JhengHei" w:hAnsi="Microsoft JhengHei" w:cs="Microsoft JhengHei" w:eastAsia="Microsoft JhengHei" w:hint="default"/>
          <w:b/>
          <w:bCs/>
          <w:sz w:val="24"/>
          <w:szCs w:val="24"/>
        </w:rPr>
        <w:t>第八节 2009</w:t>
      </w:r>
      <w:r>
        <w:rPr>
          <w:rFonts w:ascii="Microsoft JhengHei" w:hAnsi="Microsoft JhengHei" w:cs="Microsoft JhengHei" w:eastAsia="Microsoft JhengHei" w:hint="default"/>
          <w:b/>
          <w:bCs/>
          <w:spacing w:val="-20"/>
          <w:sz w:val="24"/>
          <w:szCs w:val="24"/>
        </w:rPr>
        <w:t> </w:t>
      </w:r>
      <w:r>
        <w:rPr>
          <w:rFonts w:ascii="Microsoft JhengHei" w:hAnsi="Microsoft JhengHei" w:cs="Microsoft JhengHei" w:eastAsia="Microsoft JhengHei" w:hint="default"/>
          <w:b/>
          <w:bCs/>
          <w:sz w:val="24"/>
          <w:szCs w:val="24"/>
        </w:rPr>
        <w:t>年度利润分配预案</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4"/>
          <w:szCs w:val="14"/>
        </w:rPr>
      </w:pPr>
    </w:p>
    <w:p>
      <w:pPr>
        <w:pStyle w:val="BodyText"/>
        <w:spacing w:line="427" w:lineRule="auto" w:before="0"/>
        <w:ind w:left="191" w:right="110" w:firstLine="580"/>
        <w:jc w:val="both"/>
      </w:pPr>
      <w:r>
        <w:rPr/>
        <w:t>公司自</w:t>
      </w:r>
      <w:r>
        <w:rPr>
          <w:spacing w:val="-57"/>
        </w:rPr>
        <w:t> </w:t>
      </w:r>
      <w:r>
        <w:rPr/>
        <w:t>2007</w:t>
      </w:r>
      <w:r>
        <w:rPr>
          <w:spacing w:val="5"/>
        </w:rPr>
        <w:t> </w:t>
      </w:r>
      <w:r>
        <w:rPr/>
        <w:t>年</w:t>
      </w:r>
      <w:r>
        <w:rPr>
          <w:spacing w:val="-59"/>
        </w:rPr>
        <w:t> </w:t>
      </w:r>
      <w:r>
        <w:rPr/>
        <w:t>1</w:t>
      </w:r>
      <w:r>
        <w:rPr>
          <w:spacing w:val="5"/>
        </w:rPr>
        <w:t> </w:t>
      </w:r>
      <w:r>
        <w:rPr/>
        <w:t>月</w:t>
      </w:r>
      <w:r>
        <w:rPr>
          <w:spacing w:val="-59"/>
        </w:rPr>
        <w:t> </w:t>
      </w:r>
      <w:r>
        <w:rPr/>
        <w:t>1</w:t>
      </w:r>
      <w:r>
        <w:rPr>
          <w:spacing w:val="3"/>
        </w:rPr>
        <w:t> </w:t>
      </w:r>
      <w:r>
        <w:rPr>
          <w:spacing w:val="-5"/>
        </w:rPr>
        <w:t>日起，开始执行新《企业会计准则》。根据新的会计准</w:t>
      </w:r>
      <w:r>
        <w:rPr/>
        <w:t> 则，对子公司的投资采用成本法核算，下属企业未宣布分红派息的利润暂不能纳入</w:t>
      </w:r>
      <w:r>
        <w:rPr>
          <w:spacing w:val="-55"/>
        </w:rPr>
        <w:t> </w:t>
      </w:r>
      <w:r>
        <w:rPr>
          <w:spacing w:val="-55"/>
        </w:rPr>
      </w:r>
      <w:r>
        <w:rPr>
          <w:spacing w:val="-2"/>
        </w:rPr>
        <w:t>母公司利润,因此，母公司利润和合并利润存在差异。根据《公司法》规定，进行利</w:t>
      </w:r>
      <w:r>
        <w:rPr>
          <w:spacing w:val="-89"/>
        </w:rPr>
        <w:t> </w:t>
      </w:r>
      <w:r>
        <w:rPr>
          <w:spacing w:val="-89"/>
        </w:rPr>
      </w:r>
      <w:r>
        <w:rPr/>
        <w:t>润分配应以母公司为主体。</w:t>
      </w:r>
    </w:p>
    <w:p>
      <w:pPr>
        <w:pStyle w:val="BodyText"/>
        <w:spacing w:line="427" w:lineRule="auto" w:before="58"/>
        <w:ind w:right="261" w:firstLine="480"/>
        <w:jc w:val="both"/>
      </w:pPr>
      <w:r>
        <w:rPr>
          <w:spacing w:val="-6"/>
        </w:rPr>
        <w:t>按母公司报表，2009</w:t>
      </w:r>
      <w:r>
        <w:rPr>
          <w:spacing w:val="-81"/>
        </w:rPr>
        <w:t> </w:t>
      </w:r>
      <w:r>
        <w:rPr/>
        <w:t>年度实现净利润</w:t>
      </w:r>
      <w:r>
        <w:rPr>
          <w:spacing w:val="-81"/>
        </w:rPr>
        <w:t> </w:t>
      </w:r>
      <w:r>
        <w:rPr/>
        <w:t>113,720,931.63</w:t>
      </w:r>
      <w:r>
        <w:rPr>
          <w:spacing w:val="-81"/>
        </w:rPr>
        <w:t> </w:t>
      </w:r>
      <w:r>
        <w:rPr>
          <w:spacing w:val="-11"/>
        </w:rPr>
        <w:t>元，每股收益</w:t>
      </w:r>
      <w:r>
        <w:rPr>
          <w:spacing w:val="-81"/>
        </w:rPr>
        <w:t> </w:t>
      </w:r>
      <w:r>
        <w:rPr/>
        <w:t>0.15</w:t>
      </w:r>
      <w:r>
        <w:rPr>
          <w:spacing w:val="-81"/>
        </w:rPr>
        <w:t> </w:t>
      </w:r>
      <w:r>
        <w:rPr/>
        <w:t>元，</w:t>
      </w:r>
      <w:r>
        <w:rPr>
          <w:w w:val="51"/>
        </w:rPr>
        <w:t> </w:t>
      </w:r>
      <w:r>
        <w:rPr/>
        <w:t>按净利润的</w:t>
      </w:r>
      <w:r>
        <w:rPr>
          <w:spacing w:val="-49"/>
        </w:rPr>
        <w:t> </w:t>
      </w:r>
      <w:r>
        <w:rPr/>
        <w:t>10%计提法定盈余公积</w:t>
      </w:r>
      <w:r>
        <w:rPr>
          <w:spacing w:val="-49"/>
        </w:rPr>
        <w:t> </w:t>
      </w:r>
      <w:r>
        <w:rPr/>
        <w:t>11,372,093.16</w:t>
      </w:r>
      <w:r>
        <w:rPr>
          <w:spacing w:val="-49"/>
        </w:rPr>
        <w:t> </w:t>
      </w:r>
      <w:r>
        <w:rPr/>
        <w:t>元后，可供股东分配的利润为</w:t>
      </w:r>
      <w:r>
        <w:rPr>
          <w:spacing w:val="-108"/>
        </w:rPr>
        <w:t> </w:t>
      </w:r>
      <w:r>
        <w:rPr>
          <w:spacing w:val="-108"/>
        </w:rPr>
      </w:r>
      <w:r>
        <w:rPr/>
        <w:t>161,412,343.16 元。</w:t>
      </w:r>
    </w:p>
    <w:p>
      <w:pPr>
        <w:pStyle w:val="BodyText"/>
        <w:spacing w:line="240" w:lineRule="auto" w:before="58"/>
        <w:ind w:left="780" w:right="0"/>
        <w:jc w:val="left"/>
      </w:pPr>
      <w:r>
        <w:rPr/>
        <w:t>2009</w:t>
      </w:r>
      <w:r>
        <w:rPr>
          <w:spacing w:val="-59"/>
        </w:rPr>
        <w:t> </w:t>
      </w:r>
      <w:r>
        <w:rPr>
          <w:spacing w:val="-6"/>
        </w:rPr>
        <w:t>年度利润分配预案：以</w:t>
      </w:r>
      <w:r>
        <w:rPr>
          <w:spacing w:val="-64"/>
        </w:rPr>
        <w:t> </w:t>
      </w:r>
      <w:r>
        <w:rPr/>
        <w:t>2009</w:t>
      </w:r>
      <w:r>
        <w:rPr>
          <w:spacing w:val="-59"/>
        </w:rPr>
        <w:t> </w:t>
      </w:r>
      <w:r>
        <w:rPr/>
        <w:t>年末总股本</w:t>
      </w:r>
      <w:r>
        <w:rPr>
          <w:spacing w:val="-59"/>
        </w:rPr>
        <w:t> </w:t>
      </w:r>
      <w:r>
        <w:rPr/>
        <w:t>768,507,851</w:t>
      </w:r>
      <w:r>
        <w:rPr>
          <w:spacing w:val="-59"/>
        </w:rPr>
        <w:t> </w:t>
      </w:r>
      <w:r>
        <w:rPr>
          <w:spacing w:val="-8"/>
        </w:rPr>
        <w:t>股为基数，向全体</w:t>
      </w:r>
    </w:p>
    <w:p>
      <w:pPr>
        <w:spacing w:after="0" w:line="240" w:lineRule="auto"/>
        <w:jc w:val="left"/>
        <w:sectPr>
          <w:headerReference w:type="default" r:id="rId127"/>
          <w:footerReference w:type="default" r:id="rId128"/>
          <w:pgSz w:w="11910" w:h="16840"/>
          <w:pgMar w:header="0" w:footer="1095" w:top="1040" w:bottom="1280" w:left="1680" w:right="1200"/>
          <w:pgNumType w:start="67"/>
        </w:sectPr>
      </w:pPr>
    </w:p>
    <w:p>
      <w:pPr>
        <w:pStyle w:val="BodyText"/>
        <w:spacing w:line="240" w:lineRule="auto" w:before="2"/>
        <w:ind w:right="0"/>
        <w:jc w:val="left"/>
      </w:pPr>
      <w:r>
        <w:rPr/>
        <w:t>股东每</w:t>
      </w:r>
      <w:r>
        <w:rPr>
          <w:spacing w:val="-60"/>
        </w:rPr>
        <w:t> </w:t>
      </w:r>
      <w:r>
        <w:rPr/>
        <w:t>10</w:t>
      </w:r>
      <w:r>
        <w:rPr>
          <w:spacing w:val="-60"/>
        </w:rPr>
        <w:t> </w:t>
      </w:r>
      <w:r>
        <w:rPr/>
        <w:t>股派发现金红利</w:t>
      </w:r>
      <w:r>
        <w:rPr>
          <w:spacing w:val="-60"/>
        </w:rPr>
        <w:t> </w:t>
      </w:r>
      <w:r>
        <w:rPr/>
        <w:t>1</w:t>
      </w:r>
      <w:r>
        <w:rPr>
          <w:spacing w:val="-60"/>
        </w:rPr>
        <w:t> </w:t>
      </w:r>
      <w:r>
        <w:rPr>
          <w:spacing w:val="-17"/>
        </w:rPr>
        <w:t>元</w:t>
      </w:r>
      <w:r>
        <w:rPr>
          <w:spacing w:val="-3"/>
        </w:rPr>
        <w:t>（</w:t>
      </w:r>
      <w:r>
        <w:rPr/>
        <w:t>含税</w:t>
      </w:r>
      <w:r>
        <w:rPr>
          <w:spacing w:val="-118"/>
        </w:rPr>
        <w:t>）</w:t>
      </w:r>
      <w:r>
        <w:rPr>
          <w:spacing w:val="-22"/>
        </w:rPr>
        <w:t>，</w:t>
      </w:r>
      <w:r>
        <w:rPr/>
        <w:t>共计派发红利</w:t>
      </w:r>
      <w:r>
        <w:rPr>
          <w:spacing w:val="-63"/>
        </w:rPr>
        <w:t> </w:t>
      </w:r>
      <w:r>
        <w:rPr/>
        <w:t>76,850,785.1</w:t>
      </w:r>
      <w:r>
        <w:rPr>
          <w:spacing w:val="-60"/>
        </w:rPr>
        <w:t> </w:t>
      </w:r>
      <w:r>
        <w:rPr/>
        <w:t>元</w:t>
      </w:r>
      <w:r>
        <w:rPr>
          <w:spacing w:val="-17"/>
        </w:rPr>
        <w:t>，</w:t>
      </w:r>
      <w:r>
        <w:rPr>
          <w:spacing w:val="-3"/>
        </w:rPr>
        <w:t>实</w:t>
      </w:r>
      <w:r>
        <w:rPr/>
        <w:t>施后</w:t>
      </w:r>
    </w:p>
    <w:p>
      <w:pPr>
        <w:pStyle w:val="BodyText"/>
        <w:spacing w:line="560" w:lineRule="atLeast" w:before="0"/>
        <w:ind w:right="105"/>
        <w:jc w:val="left"/>
      </w:pPr>
      <w:r>
        <w:rPr/>
        <w:t>剩余可供股东分配的利润为</w:t>
      </w:r>
      <w:r>
        <w:rPr>
          <w:spacing w:val="-41"/>
        </w:rPr>
        <w:t> </w:t>
      </w:r>
      <w:r>
        <w:rPr/>
        <w:t>84,561,558.06</w:t>
      </w:r>
      <w:r>
        <w:rPr>
          <w:spacing w:val="-38"/>
        </w:rPr>
        <w:t> </w:t>
      </w:r>
      <w:r>
        <w:rPr/>
        <w:t>元。本年度暂不进行资本公积金转增</w:t>
      </w:r>
      <w:r>
        <w:rPr>
          <w:spacing w:val="-115"/>
        </w:rPr>
        <w:t> </w:t>
      </w:r>
      <w:r>
        <w:rPr>
          <w:spacing w:val="-115"/>
        </w:rPr>
      </w:r>
      <w:r>
        <w:rPr/>
        <w:t>股本。</w:t>
      </w:r>
    </w:p>
    <w:p>
      <w:pPr>
        <w:pStyle w:val="BodyText"/>
        <w:spacing w:line="240" w:lineRule="auto" w:before="41"/>
        <w:ind w:left="780" w:right="1110"/>
        <w:jc w:val="left"/>
      </w:pPr>
      <w:r>
        <w:rPr/>
        <w:t>上述预案尚须经</w:t>
      </w:r>
      <w:r>
        <w:rPr>
          <w:spacing w:val="-60"/>
        </w:rPr>
        <w:t> </w:t>
      </w:r>
      <w:r>
        <w:rPr/>
        <w:t>2009</w:t>
      </w:r>
      <w:r>
        <w:rPr>
          <w:spacing w:val="-60"/>
        </w:rPr>
        <w:t> </w:t>
      </w:r>
      <w:r>
        <w:rPr/>
        <w:t>年度股东大会审议通过。</w:t>
      </w:r>
    </w:p>
    <w:p>
      <w:pPr>
        <w:pStyle w:val="Heading5"/>
        <w:spacing w:line="268" w:lineRule="auto" w:before="154"/>
        <w:ind w:left="300" w:right="130" w:firstLine="480"/>
        <w:jc w:val="both"/>
        <w:rPr>
          <w:b w:val="0"/>
          <w:bCs w:val="0"/>
        </w:rPr>
      </w:pPr>
      <w:bookmarkStart w:name="第九节会计师事务所关于公司2009年度控股股东及其他关联方资金占用情况专项说明" w:id="22"/>
      <w:bookmarkEnd w:id="22"/>
      <w:r>
        <w:rPr>
          <w:b w:val="0"/>
          <w:bCs w:val="0"/>
        </w:rPr>
      </w:r>
      <w:r>
        <w:rPr/>
        <w:t>第九节 会计师事务所关于公司 2009</w:t>
      </w:r>
      <w:r>
        <w:rPr>
          <w:spacing w:val="-2"/>
        </w:rPr>
        <w:t> </w:t>
      </w:r>
      <w:r>
        <w:rPr/>
        <w:t>年度控股股东及其他关联方资金占用情</w:t>
      </w:r>
      <w:r>
        <w:rPr/>
        <w:t> 况专项说明</w:t>
      </w:r>
      <w:r>
        <w:rPr>
          <w:b w:val="0"/>
          <w:bCs w:val="0"/>
        </w:rPr>
      </w:r>
    </w:p>
    <w:p>
      <w:pPr>
        <w:spacing w:line="240" w:lineRule="auto" w:before="12"/>
        <w:rPr>
          <w:rFonts w:ascii="Microsoft JhengHei" w:hAnsi="Microsoft JhengHei" w:cs="Microsoft JhengHei" w:eastAsia="Microsoft JhengHei" w:hint="default"/>
          <w:b/>
          <w:bCs/>
          <w:sz w:val="25"/>
          <w:szCs w:val="25"/>
        </w:rPr>
      </w:pPr>
    </w:p>
    <w:p>
      <w:pPr>
        <w:spacing w:line="345" w:lineRule="auto" w:before="0"/>
        <w:ind w:left="300" w:right="113" w:firstLine="448"/>
        <w:jc w:val="both"/>
        <w:rPr>
          <w:rFonts w:ascii="宋体" w:hAnsi="宋体" w:cs="宋体" w:eastAsia="宋体" w:hint="default"/>
          <w:sz w:val="20"/>
          <w:szCs w:val="20"/>
        </w:rPr>
      </w:pPr>
      <w:r>
        <w:rPr>
          <w:rFonts w:ascii="宋体" w:hAnsi="宋体" w:cs="宋体" w:eastAsia="宋体" w:hint="default"/>
          <w:spacing w:val="9"/>
          <w:sz w:val="20"/>
          <w:szCs w:val="20"/>
        </w:rPr>
        <w:t>我们</w:t>
      </w:r>
      <w:r>
        <w:rPr>
          <w:rFonts w:ascii="宋体" w:hAnsi="宋体" w:cs="宋体" w:eastAsia="宋体" w:hint="default"/>
          <w:spacing w:val="-76"/>
          <w:sz w:val="20"/>
          <w:szCs w:val="20"/>
        </w:rPr>
        <w:t> </w:t>
      </w:r>
      <w:r>
        <w:rPr>
          <w:rFonts w:ascii="宋体" w:hAnsi="宋体" w:cs="宋体" w:eastAsia="宋体" w:hint="default"/>
          <w:spacing w:val="21"/>
          <w:sz w:val="20"/>
          <w:szCs w:val="20"/>
        </w:rPr>
        <w:t>接受深圳市农产品股份有限公司（</w:t>
      </w:r>
      <w:r>
        <w:rPr>
          <w:rFonts w:ascii="宋体" w:hAnsi="宋体" w:cs="宋体" w:eastAsia="宋体" w:hint="default"/>
          <w:spacing w:val="-78"/>
          <w:sz w:val="20"/>
          <w:szCs w:val="20"/>
        </w:rPr>
        <w:t> </w:t>
      </w:r>
      <w:r>
        <w:rPr>
          <w:rFonts w:ascii="宋体" w:hAnsi="宋体" w:cs="宋体" w:eastAsia="宋体" w:hint="default"/>
          <w:spacing w:val="18"/>
          <w:sz w:val="20"/>
          <w:szCs w:val="20"/>
        </w:rPr>
        <w:t>以下简称</w:t>
      </w:r>
      <w:r>
        <w:rPr>
          <w:rFonts w:ascii="宋体" w:hAnsi="宋体" w:cs="宋体" w:eastAsia="宋体" w:hint="default"/>
          <w:spacing w:val="-60"/>
          <w:sz w:val="20"/>
          <w:szCs w:val="20"/>
        </w:rPr>
        <w:t> </w:t>
      </w:r>
      <w:r>
        <w:rPr>
          <w:rFonts w:ascii="Garamond" w:hAnsi="Garamond" w:cs="Garamond" w:eastAsia="Garamond" w:hint="default"/>
          <w:spacing w:val="10"/>
          <w:sz w:val="20"/>
          <w:szCs w:val="20"/>
        </w:rPr>
        <w:t>“</w:t>
      </w:r>
      <w:r>
        <w:rPr>
          <w:rFonts w:ascii="宋体" w:hAnsi="宋体" w:cs="宋体" w:eastAsia="宋体" w:hint="default"/>
          <w:spacing w:val="10"/>
          <w:sz w:val="20"/>
          <w:szCs w:val="20"/>
        </w:rPr>
        <w:t>农产</w:t>
      </w:r>
      <w:r>
        <w:rPr>
          <w:rFonts w:ascii="宋体" w:hAnsi="宋体" w:cs="宋体" w:eastAsia="宋体" w:hint="default"/>
          <w:spacing w:val="-76"/>
          <w:sz w:val="20"/>
          <w:szCs w:val="20"/>
        </w:rPr>
        <w:t> </w:t>
      </w:r>
      <w:r>
        <w:rPr>
          <w:rFonts w:ascii="宋体" w:hAnsi="宋体" w:cs="宋体" w:eastAsia="宋体" w:hint="default"/>
          <w:spacing w:val="16"/>
          <w:sz w:val="20"/>
          <w:szCs w:val="20"/>
        </w:rPr>
        <w:t>品公司</w:t>
      </w:r>
      <w:r>
        <w:rPr>
          <w:rFonts w:ascii="宋体" w:hAnsi="宋体" w:cs="宋体" w:eastAsia="宋体" w:hint="default"/>
          <w:spacing w:val="-74"/>
          <w:sz w:val="20"/>
          <w:szCs w:val="20"/>
        </w:rPr>
        <w:t> </w:t>
      </w:r>
      <w:r>
        <w:rPr>
          <w:rFonts w:ascii="Garamond" w:hAnsi="Garamond" w:cs="Garamond" w:eastAsia="Garamond" w:hint="default"/>
          <w:spacing w:val="17"/>
          <w:sz w:val="20"/>
          <w:szCs w:val="20"/>
        </w:rPr>
        <w:t>”</w:t>
      </w:r>
      <w:r>
        <w:rPr>
          <w:rFonts w:ascii="宋体" w:hAnsi="宋体" w:cs="宋体" w:eastAsia="宋体" w:hint="default"/>
          <w:spacing w:val="17"/>
          <w:sz w:val="20"/>
          <w:szCs w:val="20"/>
        </w:rPr>
        <w:t>）委托，根据中国</w:t>
      </w:r>
      <w:r>
        <w:rPr>
          <w:rFonts w:ascii="宋体" w:hAnsi="宋体" w:cs="宋体" w:eastAsia="宋体" w:hint="default"/>
          <w:spacing w:val="-70"/>
          <w:sz w:val="20"/>
          <w:szCs w:val="20"/>
        </w:rPr>
        <w:t> </w:t>
      </w: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pacing w:val="9"/>
          <w:sz w:val="20"/>
          <w:szCs w:val="20"/>
        </w:rPr>
        <w:t>册会</w:t>
      </w:r>
      <w:r>
        <w:rPr>
          <w:rFonts w:ascii="宋体" w:hAnsi="宋体" w:cs="宋体" w:eastAsia="宋体" w:hint="default"/>
          <w:spacing w:val="-75"/>
          <w:sz w:val="20"/>
          <w:szCs w:val="20"/>
        </w:rPr>
        <w:t> </w:t>
      </w:r>
      <w:r>
        <w:rPr>
          <w:rFonts w:ascii="宋体" w:hAnsi="宋体" w:cs="宋体" w:eastAsia="宋体" w:hint="default"/>
          <w:spacing w:val="12"/>
          <w:sz w:val="20"/>
          <w:szCs w:val="20"/>
        </w:rPr>
        <w:t>计师</w:t>
      </w:r>
      <w:r>
        <w:rPr>
          <w:rFonts w:ascii="宋体" w:hAnsi="宋体" w:cs="宋体" w:eastAsia="宋体" w:hint="default"/>
          <w:spacing w:val="-73"/>
          <w:sz w:val="20"/>
          <w:szCs w:val="20"/>
        </w:rPr>
        <w:t> </w:t>
      </w:r>
      <w:r>
        <w:rPr>
          <w:rFonts w:ascii="宋体" w:hAnsi="宋体" w:cs="宋体" w:eastAsia="宋体" w:hint="default"/>
          <w:spacing w:val="9"/>
          <w:sz w:val="20"/>
          <w:szCs w:val="20"/>
        </w:rPr>
        <w:t>审计</w:t>
      </w:r>
      <w:r>
        <w:rPr>
          <w:rFonts w:ascii="宋体" w:hAnsi="宋体" w:cs="宋体" w:eastAsia="宋体" w:hint="default"/>
          <w:spacing w:val="-70"/>
          <w:sz w:val="20"/>
          <w:szCs w:val="20"/>
        </w:rPr>
        <w:t> </w:t>
      </w:r>
      <w:r>
        <w:rPr>
          <w:rFonts w:ascii="宋体" w:hAnsi="宋体" w:cs="宋体" w:eastAsia="宋体" w:hint="default"/>
          <w:spacing w:val="9"/>
          <w:sz w:val="20"/>
          <w:szCs w:val="20"/>
        </w:rPr>
        <w:t>准则</w:t>
      </w:r>
      <w:r>
        <w:rPr>
          <w:rFonts w:ascii="宋体" w:hAnsi="宋体" w:cs="宋体" w:eastAsia="宋体" w:hint="default"/>
          <w:spacing w:val="-75"/>
          <w:sz w:val="20"/>
          <w:szCs w:val="20"/>
        </w:rPr>
        <w:t> </w:t>
      </w:r>
      <w:r>
        <w:rPr>
          <w:rFonts w:ascii="宋体" w:hAnsi="宋体" w:cs="宋体" w:eastAsia="宋体" w:hint="default"/>
          <w:spacing w:val="21"/>
          <w:sz w:val="20"/>
          <w:szCs w:val="20"/>
        </w:rPr>
        <w:t>审计了农产品公司</w:t>
      </w:r>
      <w:r>
        <w:rPr>
          <w:rFonts w:ascii="宋体" w:hAnsi="宋体" w:cs="宋体" w:eastAsia="宋体" w:hint="default"/>
          <w:spacing w:val="-11"/>
          <w:sz w:val="20"/>
          <w:szCs w:val="20"/>
        </w:rPr>
        <w:t> </w:t>
      </w:r>
      <w:r>
        <w:rPr>
          <w:rFonts w:ascii="Garamond" w:hAnsi="Garamond" w:cs="Garamond" w:eastAsia="Garamond" w:hint="default"/>
          <w:spacing w:val="8"/>
          <w:sz w:val="20"/>
          <w:szCs w:val="20"/>
        </w:rPr>
        <w:t>2009</w:t>
      </w:r>
      <w:r>
        <w:rPr>
          <w:rFonts w:ascii="Garamond" w:hAnsi="Garamond" w:cs="Garamond" w:eastAsia="Garamond" w:hint="default"/>
          <w:spacing w:val="15"/>
          <w:sz w:val="20"/>
          <w:szCs w:val="20"/>
        </w:rPr>
        <w:t> </w:t>
      </w:r>
      <w:r>
        <w:rPr>
          <w:rFonts w:ascii="宋体" w:hAnsi="宋体" w:cs="宋体" w:eastAsia="宋体" w:hint="default"/>
          <w:sz w:val="20"/>
          <w:szCs w:val="20"/>
        </w:rPr>
        <w:t>年</w:t>
      </w:r>
      <w:r>
        <w:rPr>
          <w:rFonts w:ascii="宋体" w:hAnsi="宋体" w:cs="宋体" w:eastAsia="宋体" w:hint="default"/>
          <w:spacing w:val="-21"/>
          <w:sz w:val="20"/>
          <w:szCs w:val="20"/>
        </w:rPr>
        <w:t> </w:t>
      </w:r>
      <w:r>
        <w:rPr>
          <w:rFonts w:ascii="Garamond" w:hAnsi="Garamond" w:cs="Garamond" w:eastAsia="Garamond" w:hint="default"/>
          <w:spacing w:val="4"/>
          <w:sz w:val="20"/>
          <w:szCs w:val="20"/>
        </w:rPr>
        <w:t>12</w:t>
      </w:r>
      <w:r>
        <w:rPr>
          <w:rFonts w:ascii="Garamond" w:hAnsi="Garamond" w:cs="Garamond" w:eastAsia="Garamond" w:hint="default"/>
          <w:spacing w:val="20"/>
          <w:sz w:val="20"/>
          <w:szCs w:val="20"/>
        </w:rPr>
        <w:t> </w:t>
      </w:r>
      <w:r>
        <w:rPr>
          <w:rFonts w:ascii="宋体" w:hAnsi="宋体" w:cs="宋体" w:eastAsia="宋体" w:hint="default"/>
          <w:sz w:val="20"/>
          <w:szCs w:val="20"/>
        </w:rPr>
        <w:t>月</w:t>
      </w:r>
      <w:r>
        <w:rPr>
          <w:rFonts w:ascii="宋体" w:hAnsi="宋体" w:cs="宋体" w:eastAsia="宋体" w:hint="default"/>
          <w:spacing w:val="-23"/>
          <w:sz w:val="20"/>
          <w:szCs w:val="20"/>
        </w:rPr>
        <w:t> </w:t>
      </w:r>
      <w:r>
        <w:rPr>
          <w:rFonts w:ascii="Garamond" w:hAnsi="Garamond" w:cs="Garamond" w:eastAsia="Garamond" w:hint="default"/>
          <w:spacing w:val="4"/>
          <w:sz w:val="20"/>
          <w:szCs w:val="20"/>
        </w:rPr>
        <w:t>31</w:t>
      </w:r>
      <w:r>
        <w:rPr>
          <w:rFonts w:ascii="Garamond" w:hAnsi="Garamond" w:cs="Garamond" w:eastAsia="Garamond" w:hint="default"/>
          <w:spacing w:val="20"/>
          <w:sz w:val="20"/>
          <w:szCs w:val="20"/>
        </w:rPr>
        <w:t> </w:t>
      </w:r>
      <w:r>
        <w:rPr>
          <w:rFonts w:ascii="宋体" w:hAnsi="宋体" w:cs="宋体" w:eastAsia="宋体" w:hint="default"/>
          <w:spacing w:val="9"/>
          <w:sz w:val="20"/>
          <w:szCs w:val="20"/>
        </w:rPr>
        <w:t>日公</w:t>
      </w:r>
      <w:r>
        <w:rPr>
          <w:rFonts w:ascii="宋体" w:hAnsi="宋体" w:cs="宋体" w:eastAsia="宋体" w:hint="default"/>
          <w:spacing w:val="-75"/>
          <w:sz w:val="20"/>
          <w:szCs w:val="20"/>
        </w:rPr>
        <w:t> </w:t>
      </w:r>
      <w:r>
        <w:rPr>
          <w:rFonts w:ascii="宋体" w:hAnsi="宋体" w:cs="宋体" w:eastAsia="宋体" w:hint="default"/>
          <w:spacing w:val="21"/>
          <w:sz w:val="20"/>
          <w:szCs w:val="20"/>
        </w:rPr>
        <w:t>司及合并的资产负债表</w:t>
      </w:r>
      <w:r>
        <w:rPr>
          <w:rFonts w:ascii="宋体" w:hAnsi="宋体" w:cs="宋体" w:eastAsia="宋体" w:hint="default"/>
          <w:spacing w:val="-77"/>
          <w:sz w:val="20"/>
          <w:szCs w:val="20"/>
        </w:rPr>
        <w:t> </w:t>
      </w:r>
      <w:r>
        <w:rPr>
          <w:rFonts w:ascii="宋体" w:hAnsi="宋体" w:cs="宋体" w:eastAsia="宋体" w:hint="default"/>
          <w:spacing w:val="-4"/>
          <w:sz w:val="20"/>
          <w:szCs w:val="20"/>
        </w:rPr>
        <w:t>、</w:t>
      </w:r>
      <w:r>
        <w:rPr>
          <w:rFonts w:ascii="Garamond" w:hAnsi="Garamond" w:cs="Garamond" w:eastAsia="Garamond" w:hint="default"/>
          <w:spacing w:val="-4"/>
          <w:sz w:val="20"/>
          <w:szCs w:val="20"/>
        </w:rPr>
        <w:t>2009</w:t>
      </w:r>
      <w:r>
        <w:rPr>
          <w:rFonts w:ascii="Garamond" w:hAnsi="Garamond" w:cs="Garamond" w:eastAsia="Garamond" w:hint="default"/>
          <w:w w:val="99"/>
          <w:sz w:val="20"/>
          <w:szCs w:val="20"/>
        </w:rPr>
        <w:t> </w:t>
      </w:r>
      <w:r>
        <w:rPr>
          <w:rFonts w:ascii="宋体" w:hAnsi="宋体" w:cs="宋体" w:eastAsia="宋体" w:hint="default"/>
          <w:spacing w:val="9"/>
          <w:sz w:val="20"/>
          <w:szCs w:val="20"/>
        </w:rPr>
        <w:t>年度</w:t>
      </w:r>
      <w:r>
        <w:rPr>
          <w:rFonts w:ascii="宋体" w:hAnsi="宋体" w:cs="宋体" w:eastAsia="宋体" w:hint="default"/>
          <w:spacing w:val="-78"/>
          <w:sz w:val="20"/>
          <w:szCs w:val="20"/>
        </w:rPr>
        <w:t> </w:t>
      </w:r>
      <w:r>
        <w:rPr>
          <w:rFonts w:ascii="宋体" w:hAnsi="宋体" w:cs="宋体" w:eastAsia="宋体" w:hint="default"/>
          <w:spacing w:val="20"/>
          <w:sz w:val="20"/>
          <w:szCs w:val="20"/>
        </w:rPr>
        <w:t>公司及合并的利润表、现</w:t>
      </w:r>
      <w:r>
        <w:rPr>
          <w:rFonts w:ascii="宋体" w:hAnsi="宋体" w:cs="宋体" w:eastAsia="宋体" w:hint="default"/>
          <w:spacing w:val="-78"/>
          <w:sz w:val="20"/>
          <w:szCs w:val="20"/>
        </w:rPr>
        <w:t> </w:t>
      </w:r>
      <w:r>
        <w:rPr>
          <w:rFonts w:ascii="宋体" w:hAnsi="宋体" w:cs="宋体" w:eastAsia="宋体" w:hint="default"/>
          <w:spacing w:val="16"/>
          <w:sz w:val="20"/>
          <w:szCs w:val="20"/>
        </w:rPr>
        <w:t>金流量表、股</w:t>
      </w:r>
      <w:r>
        <w:rPr>
          <w:rFonts w:ascii="宋体" w:hAnsi="宋体" w:cs="宋体" w:eastAsia="宋体" w:hint="default"/>
          <w:spacing w:val="-78"/>
          <w:sz w:val="20"/>
          <w:szCs w:val="20"/>
        </w:rPr>
        <w:t> </w:t>
      </w:r>
      <w:r>
        <w:rPr>
          <w:rFonts w:ascii="宋体" w:hAnsi="宋体" w:cs="宋体" w:eastAsia="宋体" w:hint="default"/>
          <w:spacing w:val="21"/>
          <w:sz w:val="20"/>
          <w:szCs w:val="20"/>
        </w:rPr>
        <w:t>东权益变动表以及财务报表附注（</w:t>
      </w:r>
      <w:r>
        <w:rPr>
          <w:rFonts w:ascii="宋体" w:hAnsi="宋体" w:cs="宋体" w:eastAsia="宋体" w:hint="default"/>
          <w:spacing w:val="-79"/>
          <w:sz w:val="20"/>
          <w:szCs w:val="20"/>
        </w:rPr>
        <w:t> </w:t>
      </w:r>
      <w:r>
        <w:rPr>
          <w:rFonts w:ascii="宋体" w:hAnsi="宋体" w:cs="宋体" w:eastAsia="宋体" w:hint="default"/>
          <w:spacing w:val="16"/>
          <w:sz w:val="20"/>
          <w:szCs w:val="20"/>
        </w:rPr>
        <w:t>以下简</w:t>
      </w:r>
      <w:r>
        <w:rPr>
          <w:rFonts w:ascii="宋体" w:hAnsi="宋体" w:cs="宋体" w:eastAsia="宋体" w:hint="default"/>
          <w:spacing w:val="-52"/>
          <w:sz w:val="20"/>
          <w:szCs w:val="20"/>
        </w:rPr>
        <w:t> </w:t>
      </w:r>
      <w:r>
        <w:rPr>
          <w:rFonts w:ascii="宋体" w:hAnsi="宋体" w:cs="宋体" w:eastAsia="宋体" w:hint="default"/>
          <w:sz w:val="20"/>
          <w:szCs w:val="20"/>
        </w:rPr>
        <w:t>称</w:t>
      </w:r>
      <w:r>
        <w:rPr>
          <w:rFonts w:ascii="宋体" w:hAnsi="宋体" w:cs="宋体" w:eastAsia="宋体" w:hint="default"/>
          <w:w w:val="99"/>
          <w:sz w:val="20"/>
          <w:szCs w:val="20"/>
        </w:rPr>
        <w:t> “</w:t>
      </w:r>
      <w:r>
        <w:rPr>
          <w:rFonts w:ascii="宋体" w:hAnsi="宋体" w:cs="宋体" w:eastAsia="宋体" w:hint="default"/>
          <w:spacing w:val="-74"/>
          <w:w w:val="99"/>
          <w:sz w:val="20"/>
          <w:szCs w:val="20"/>
        </w:rPr>
        <w:t> </w:t>
      </w:r>
      <w:r>
        <w:rPr>
          <w:rFonts w:ascii="宋体" w:hAnsi="宋体" w:cs="宋体" w:eastAsia="宋体" w:hint="default"/>
          <w:spacing w:val="12"/>
          <w:w w:val="99"/>
          <w:sz w:val="20"/>
          <w:szCs w:val="20"/>
        </w:rPr>
        <w:t>财务</w:t>
      </w:r>
      <w:r>
        <w:rPr>
          <w:rFonts w:ascii="宋体" w:hAnsi="宋体" w:cs="宋体" w:eastAsia="宋体" w:hint="default"/>
          <w:spacing w:val="-74"/>
          <w:w w:val="99"/>
          <w:sz w:val="20"/>
          <w:szCs w:val="20"/>
        </w:rPr>
        <w:t> </w:t>
      </w:r>
      <w:r>
        <w:rPr>
          <w:rFonts w:ascii="宋体" w:hAnsi="宋体" w:cs="宋体" w:eastAsia="宋体" w:hint="default"/>
          <w:w w:val="99"/>
          <w:sz w:val="20"/>
          <w:szCs w:val="20"/>
        </w:rPr>
        <w:t>报</w:t>
      </w:r>
      <w:r>
        <w:rPr>
          <w:rFonts w:ascii="宋体" w:hAnsi="宋体" w:cs="宋体" w:eastAsia="宋体" w:hint="default"/>
          <w:spacing w:val="-74"/>
          <w:w w:val="99"/>
          <w:sz w:val="20"/>
          <w:szCs w:val="20"/>
        </w:rPr>
        <w:t> </w:t>
      </w:r>
      <w:r>
        <w:rPr>
          <w:rFonts w:ascii="宋体" w:hAnsi="宋体" w:cs="宋体" w:eastAsia="宋体" w:hint="default"/>
          <w:w w:val="99"/>
          <w:sz w:val="20"/>
          <w:szCs w:val="20"/>
        </w:rPr>
        <w:t>表</w:t>
      </w:r>
      <w:r>
        <w:rPr>
          <w:rFonts w:ascii="宋体" w:hAnsi="宋体" w:cs="宋体" w:eastAsia="宋体" w:hint="default"/>
          <w:spacing w:val="-69"/>
          <w:w w:val="99"/>
          <w:sz w:val="20"/>
          <w:szCs w:val="20"/>
        </w:rPr>
        <w:t> </w:t>
      </w:r>
      <w:r>
        <w:rPr>
          <w:rFonts w:ascii="宋体" w:hAnsi="宋体" w:cs="宋体" w:eastAsia="宋体" w:hint="default"/>
          <w:w w:val="99"/>
          <w:sz w:val="20"/>
          <w:szCs w:val="20"/>
        </w:rPr>
        <w:t>”</w:t>
      </w:r>
      <w:r>
        <w:rPr>
          <w:rFonts w:ascii="宋体" w:hAnsi="宋体" w:cs="宋体" w:eastAsia="宋体" w:hint="default"/>
          <w:spacing w:val="-74"/>
          <w:w w:val="99"/>
          <w:sz w:val="20"/>
          <w:szCs w:val="20"/>
        </w:rPr>
        <w:t> </w:t>
      </w:r>
      <w:r>
        <w:rPr>
          <w:rFonts w:ascii="宋体" w:hAnsi="宋体" w:cs="宋体" w:eastAsia="宋体" w:hint="default"/>
          <w:spacing w:val="-22"/>
          <w:w w:val="99"/>
          <w:sz w:val="20"/>
          <w:szCs w:val="20"/>
        </w:rPr>
        <w:t>），并</w:t>
      </w:r>
      <w:r>
        <w:rPr>
          <w:rFonts w:ascii="宋体" w:hAnsi="宋体" w:cs="宋体" w:eastAsia="宋体" w:hint="default"/>
          <w:spacing w:val="-74"/>
          <w:w w:val="99"/>
          <w:sz w:val="20"/>
          <w:szCs w:val="20"/>
        </w:rPr>
        <w:t> </w:t>
      </w:r>
      <w:r>
        <w:rPr>
          <w:rFonts w:ascii="宋体" w:hAnsi="宋体" w:cs="宋体" w:eastAsia="宋体" w:hint="default"/>
          <w:w w:val="99"/>
          <w:sz w:val="20"/>
          <w:szCs w:val="20"/>
        </w:rPr>
        <w:t>于</w:t>
      </w:r>
      <w:r>
        <w:rPr>
          <w:rFonts w:ascii="宋体" w:hAnsi="宋体" w:cs="宋体" w:eastAsia="宋体" w:hint="default"/>
          <w:spacing w:val="-13"/>
          <w:w w:val="99"/>
          <w:sz w:val="20"/>
          <w:szCs w:val="20"/>
        </w:rPr>
        <w:t> </w:t>
      </w:r>
      <w:r>
        <w:rPr>
          <w:rFonts w:ascii="Garamond" w:hAnsi="Garamond" w:cs="Garamond" w:eastAsia="Garamond" w:hint="default"/>
          <w:spacing w:val="8"/>
          <w:w w:val="99"/>
          <w:sz w:val="20"/>
          <w:szCs w:val="20"/>
        </w:rPr>
        <w:t>2010</w:t>
      </w:r>
      <w:r>
        <w:rPr>
          <w:rFonts w:ascii="Garamond" w:hAnsi="Garamond" w:cs="Garamond" w:eastAsia="Garamond" w:hint="default"/>
          <w:spacing w:val="22"/>
          <w:w w:val="99"/>
          <w:sz w:val="20"/>
          <w:szCs w:val="20"/>
        </w:rPr>
        <w:t> </w:t>
      </w:r>
      <w:r>
        <w:rPr>
          <w:rFonts w:ascii="宋体" w:hAnsi="宋体" w:cs="宋体" w:eastAsia="宋体" w:hint="default"/>
          <w:w w:val="99"/>
          <w:sz w:val="20"/>
          <w:szCs w:val="20"/>
        </w:rPr>
        <w:t>年</w:t>
      </w:r>
      <w:r>
        <w:rPr>
          <w:rFonts w:ascii="宋体" w:hAnsi="宋体" w:cs="宋体" w:eastAsia="宋体" w:hint="default"/>
          <w:spacing w:val="-18"/>
          <w:w w:val="99"/>
          <w:sz w:val="20"/>
          <w:szCs w:val="20"/>
        </w:rPr>
        <w:t> </w:t>
      </w:r>
      <w:r>
        <w:rPr>
          <w:rFonts w:ascii="Garamond" w:hAnsi="Garamond" w:cs="Garamond" w:eastAsia="Garamond" w:hint="default"/>
          <w:w w:val="99"/>
          <w:sz w:val="20"/>
          <w:szCs w:val="20"/>
        </w:rPr>
        <w:t>4</w:t>
      </w:r>
      <w:r>
        <w:rPr>
          <w:rFonts w:ascii="Garamond" w:hAnsi="Garamond" w:cs="Garamond" w:eastAsia="Garamond" w:hint="default"/>
          <w:spacing w:val="22"/>
          <w:w w:val="99"/>
          <w:sz w:val="20"/>
          <w:szCs w:val="20"/>
        </w:rPr>
        <w:t> </w:t>
      </w:r>
      <w:r>
        <w:rPr>
          <w:rFonts w:ascii="宋体" w:hAnsi="宋体" w:cs="宋体" w:eastAsia="宋体" w:hint="default"/>
          <w:w w:val="99"/>
          <w:sz w:val="20"/>
          <w:szCs w:val="20"/>
        </w:rPr>
        <w:t>月</w:t>
      </w:r>
      <w:r>
        <w:rPr>
          <w:rFonts w:ascii="宋体" w:hAnsi="宋体" w:cs="宋体" w:eastAsia="宋体" w:hint="default"/>
          <w:spacing w:val="-18"/>
          <w:w w:val="99"/>
          <w:sz w:val="20"/>
          <w:szCs w:val="20"/>
        </w:rPr>
        <w:t> </w:t>
      </w:r>
      <w:r>
        <w:rPr>
          <w:rFonts w:ascii="Garamond" w:hAnsi="Garamond" w:cs="Garamond" w:eastAsia="Garamond" w:hint="default"/>
          <w:spacing w:val="4"/>
          <w:w w:val="99"/>
          <w:sz w:val="20"/>
          <w:szCs w:val="20"/>
        </w:rPr>
        <w:t>20</w:t>
      </w:r>
      <w:r>
        <w:rPr>
          <w:rFonts w:ascii="Garamond" w:hAnsi="Garamond" w:cs="Garamond" w:eastAsia="Garamond" w:hint="default"/>
          <w:spacing w:val="24"/>
          <w:w w:val="99"/>
          <w:sz w:val="20"/>
          <w:szCs w:val="20"/>
        </w:rPr>
        <w:t> </w:t>
      </w:r>
      <w:r>
        <w:rPr>
          <w:rFonts w:ascii="宋体" w:hAnsi="宋体" w:cs="宋体" w:eastAsia="宋体" w:hint="default"/>
          <w:spacing w:val="12"/>
          <w:w w:val="99"/>
          <w:sz w:val="20"/>
          <w:szCs w:val="20"/>
        </w:rPr>
        <w:t>日签</w:t>
      </w:r>
      <w:r>
        <w:rPr>
          <w:rFonts w:ascii="宋体" w:hAnsi="宋体" w:cs="宋体" w:eastAsia="宋体" w:hint="default"/>
          <w:spacing w:val="-74"/>
          <w:w w:val="99"/>
          <w:sz w:val="20"/>
          <w:szCs w:val="20"/>
        </w:rPr>
        <w:t> </w:t>
      </w:r>
      <w:r>
        <w:rPr>
          <w:rFonts w:ascii="宋体" w:hAnsi="宋体" w:cs="宋体" w:eastAsia="宋体" w:hint="default"/>
          <w:w w:val="99"/>
          <w:sz w:val="20"/>
          <w:szCs w:val="20"/>
        </w:rPr>
        <w:t>发</w:t>
      </w:r>
      <w:r>
        <w:rPr>
          <w:rFonts w:ascii="宋体" w:hAnsi="宋体" w:cs="宋体" w:eastAsia="宋体" w:hint="default"/>
          <w:spacing w:val="-74"/>
          <w:w w:val="99"/>
          <w:sz w:val="20"/>
          <w:szCs w:val="20"/>
        </w:rPr>
        <w:t> </w:t>
      </w:r>
      <w:r>
        <w:rPr>
          <w:rFonts w:ascii="宋体" w:hAnsi="宋体" w:cs="宋体" w:eastAsia="宋体" w:hint="default"/>
          <w:w w:val="99"/>
          <w:sz w:val="20"/>
          <w:szCs w:val="20"/>
        </w:rPr>
        <w:t>了</w:t>
      </w:r>
      <w:r>
        <w:rPr>
          <w:rFonts w:ascii="宋体" w:hAnsi="宋体" w:cs="宋体" w:eastAsia="宋体" w:hint="default"/>
          <w:spacing w:val="-74"/>
          <w:w w:val="99"/>
          <w:sz w:val="20"/>
          <w:szCs w:val="20"/>
        </w:rPr>
        <w:t> </w:t>
      </w:r>
      <w:r>
        <w:rPr>
          <w:rFonts w:ascii="宋体" w:hAnsi="宋体" w:cs="宋体" w:eastAsia="宋体" w:hint="default"/>
          <w:w w:val="99"/>
          <w:sz w:val="20"/>
          <w:szCs w:val="20"/>
        </w:rPr>
        <w:t>深</w:t>
      </w:r>
      <w:r>
        <w:rPr>
          <w:rFonts w:ascii="宋体" w:hAnsi="宋体" w:cs="宋体" w:eastAsia="宋体" w:hint="default"/>
          <w:spacing w:val="-74"/>
          <w:w w:val="99"/>
          <w:sz w:val="20"/>
          <w:szCs w:val="20"/>
        </w:rPr>
        <w:t> </w:t>
      </w:r>
      <w:r>
        <w:rPr>
          <w:rFonts w:ascii="宋体" w:hAnsi="宋体" w:cs="宋体" w:eastAsia="宋体" w:hint="default"/>
          <w:w w:val="99"/>
          <w:sz w:val="20"/>
          <w:szCs w:val="20"/>
        </w:rPr>
        <w:t>南</w:t>
      </w:r>
      <w:r>
        <w:rPr>
          <w:rFonts w:ascii="宋体" w:hAnsi="宋体" w:cs="宋体" w:eastAsia="宋体" w:hint="default"/>
          <w:spacing w:val="-74"/>
          <w:w w:val="99"/>
          <w:sz w:val="20"/>
          <w:szCs w:val="20"/>
        </w:rPr>
        <w:t> </w:t>
      </w:r>
      <w:r>
        <w:rPr>
          <w:rFonts w:ascii="宋体" w:hAnsi="宋体" w:cs="宋体" w:eastAsia="宋体" w:hint="default"/>
          <w:w w:val="99"/>
          <w:sz w:val="20"/>
          <w:szCs w:val="20"/>
        </w:rPr>
        <w:t>财</w:t>
      </w:r>
      <w:r>
        <w:rPr>
          <w:rFonts w:ascii="宋体" w:hAnsi="宋体" w:cs="宋体" w:eastAsia="宋体" w:hint="default"/>
          <w:spacing w:val="-74"/>
          <w:w w:val="99"/>
          <w:sz w:val="20"/>
          <w:szCs w:val="20"/>
        </w:rPr>
        <w:t> </w:t>
      </w:r>
      <w:r>
        <w:rPr>
          <w:rFonts w:ascii="宋体" w:hAnsi="宋体" w:cs="宋体" w:eastAsia="宋体" w:hint="default"/>
          <w:w w:val="99"/>
          <w:sz w:val="20"/>
          <w:szCs w:val="20"/>
        </w:rPr>
        <w:t>审</w:t>
      </w:r>
      <w:r>
        <w:rPr>
          <w:rFonts w:ascii="宋体" w:hAnsi="宋体" w:cs="宋体" w:eastAsia="宋体" w:hint="default"/>
          <w:spacing w:val="-74"/>
          <w:w w:val="99"/>
          <w:sz w:val="20"/>
          <w:szCs w:val="20"/>
        </w:rPr>
        <w:t> </w:t>
      </w:r>
      <w:r>
        <w:rPr>
          <w:rFonts w:ascii="宋体" w:hAnsi="宋体" w:cs="宋体" w:eastAsia="宋体" w:hint="default"/>
          <w:w w:val="99"/>
          <w:sz w:val="20"/>
          <w:szCs w:val="20"/>
        </w:rPr>
        <w:t>报</w:t>
      </w:r>
      <w:r>
        <w:rPr>
          <w:rFonts w:ascii="宋体" w:hAnsi="宋体" w:cs="宋体" w:eastAsia="宋体" w:hint="default"/>
          <w:spacing w:val="-74"/>
          <w:w w:val="99"/>
          <w:sz w:val="20"/>
          <w:szCs w:val="20"/>
        </w:rPr>
        <w:t> </w:t>
      </w:r>
      <w:r>
        <w:rPr>
          <w:rFonts w:ascii="宋体" w:hAnsi="宋体" w:cs="宋体" w:eastAsia="宋体" w:hint="default"/>
          <w:w w:val="99"/>
          <w:sz w:val="20"/>
          <w:szCs w:val="20"/>
        </w:rPr>
        <w:t>字</w:t>
      </w:r>
      <w:r>
        <w:rPr>
          <w:rFonts w:ascii="宋体" w:hAnsi="宋体" w:cs="宋体" w:eastAsia="宋体" w:hint="default"/>
          <w:spacing w:val="-74"/>
          <w:w w:val="99"/>
          <w:sz w:val="20"/>
          <w:szCs w:val="20"/>
        </w:rPr>
        <w:t> </w:t>
      </w:r>
      <w:r>
        <w:rPr>
          <w:rFonts w:ascii="宋体" w:hAnsi="宋体" w:cs="宋体" w:eastAsia="宋体" w:hint="default"/>
          <w:w w:val="99"/>
          <w:sz w:val="20"/>
          <w:szCs w:val="20"/>
        </w:rPr>
        <w:t>（</w:t>
      </w:r>
      <w:r>
        <w:rPr>
          <w:rFonts w:ascii="宋体" w:hAnsi="宋体" w:cs="宋体" w:eastAsia="宋体" w:hint="default"/>
          <w:spacing w:val="-69"/>
          <w:w w:val="99"/>
          <w:sz w:val="20"/>
          <w:szCs w:val="20"/>
        </w:rPr>
        <w:t> </w:t>
      </w:r>
      <w:r>
        <w:rPr>
          <w:rFonts w:ascii="Garamond" w:hAnsi="Garamond" w:cs="Garamond" w:eastAsia="Garamond" w:hint="default"/>
          <w:spacing w:val="8"/>
          <w:w w:val="99"/>
          <w:sz w:val="20"/>
          <w:szCs w:val="20"/>
        </w:rPr>
        <w:t>2010</w:t>
      </w:r>
      <w:r>
        <w:rPr>
          <w:rFonts w:ascii="Garamond" w:hAnsi="Garamond" w:cs="Garamond" w:eastAsia="Garamond" w:hint="default"/>
          <w:spacing w:val="-31"/>
          <w:w w:val="99"/>
          <w:sz w:val="20"/>
          <w:szCs w:val="20"/>
        </w:rPr>
        <w:t> </w:t>
      </w:r>
      <w:r>
        <w:rPr>
          <w:rFonts w:ascii="宋体" w:hAnsi="宋体" w:cs="宋体" w:eastAsia="宋体" w:hint="default"/>
          <w:w w:val="99"/>
          <w:sz w:val="20"/>
          <w:szCs w:val="20"/>
        </w:rPr>
        <w:t>）</w:t>
      </w:r>
      <w:r>
        <w:rPr>
          <w:rFonts w:ascii="宋体" w:hAnsi="宋体" w:cs="宋体" w:eastAsia="宋体" w:hint="default"/>
          <w:spacing w:val="-76"/>
          <w:w w:val="99"/>
          <w:sz w:val="20"/>
          <w:szCs w:val="20"/>
        </w:rPr>
        <w:t> </w:t>
      </w:r>
      <w:r>
        <w:rPr>
          <w:rFonts w:ascii="宋体" w:hAnsi="宋体" w:cs="宋体" w:eastAsia="宋体" w:hint="default"/>
          <w:w w:val="99"/>
          <w:sz w:val="20"/>
          <w:szCs w:val="20"/>
        </w:rPr>
        <w:t>第</w:t>
      </w:r>
      <w:r>
        <w:rPr>
          <w:rFonts w:ascii="宋体" w:hAnsi="宋体" w:cs="宋体" w:eastAsia="宋体" w:hint="default"/>
          <w:spacing w:val="-15"/>
          <w:w w:val="99"/>
          <w:sz w:val="20"/>
          <w:szCs w:val="20"/>
        </w:rPr>
        <w:t> </w:t>
      </w:r>
      <w:r>
        <w:rPr>
          <w:rFonts w:ascii="Garamond" w:hAnsi="Garamond" w:cs="Garamond" w:eastAsia="Garamond" w:hint="default"/>
          <w:spacing w:val="8"/>
          <w:w w:val="99"/>
          <w:sz w:val="20"/>
          <w:szCs w:val="20"/>
        </w:rPr>
        <w:t>CA098</w:t>
      </w:r>
      <w:r>
        <w:rPr>
          <w:rFonts w:ascii="Garamond" w:hAnsi="Garamond" w:cs="Garamond" w:eastAsia="Garamond" w:hint="default"/>
          <w:spacing w:val="24"/>
          <w:w w:val="99"/>
          <w:sz w:val="20"/>
          <w:szCs w:val="20"/>
        </w:rPr>
        <w:t> </w:t>
      </w:r>
      <w:r>
        <w:rPr>
          <w:rFonts w:ascii="宋体" w:hAnsi="宋体" w:cs="宋体" w:eastAsia="宋体" w:hint="default"/>
          <w:spacing w:val="12"/>
          <w:w w:val="99"/>
          <w:sz w:val="20"/>
          <w:szCs w:val="20"/>
        </w:rPr>
        <w:t>号无</w:t>
      </w:r>
      <w:r>
        <w:rPr>
          <w:rFonts w:ascii="宋体" w:hAnsi="宋体" w:cs="宋体" w:eastAsia="宋体" w:hint="default"/>
          <w:spacing w:val="-74"/>
          <w:w w:val="99"/>
          <w:sz w:val="20"/>
          <w:szCs w:val="20"/>
        </w:rPr>
        <w:t> </w:t>
      </w:r>
      <w:r>
        <w:rPr>
          <w:rFonts w:ascii="宋体" w:hAnsi="宋体" w:cs="宋体" w:eastAsia="宋体" w:hint="default"/>
          <w:w w:val="99"/>
          <w:sz w:val="20"/>
          <w:szCs w:val="20"/>
        </w:rPr>
        <w:t>保</w:t>
      </w:r>
      <w:r>
        <w:rPr>
          <w:rFonts w:ascii="宋体" w:hAnsi="宋体" w:cs="宋体" w:eastAsia="宋体" w:hint="default"/>
          <w:sz w:val="20"/>
          <w:szCs w:val="20"/>
        </w:rPr>
      </w:r>
    </w:p>
    <w:p>
      <w:pPr>
        <w:spacing w:before="15"/>
        <w:ind w:left="300" w:right="1110" w:firstLine="0"/>
        <w:jc w:val="left"/>
        <w:rPr>
          <w:rFonts w:ascii="宋体" w:hAnsi="宋体" w:cs="宋体" w:eastAsia="宋体" w:hint="default"/>
          <w:sz w:val="20"/>
          <w:szCs w:val="20"/>
        </w:rPr>
      </w:pPr>
      <w:r>
        <w:rPr>
          <w:rFonts w:ascii="宋体" w:hAnsi="宋体" w:cs="宋体" w:eastAsia="宋体" w:hint="default"/>
          <w:spacing w:val="9"/>
          <w:sz w:val="20"/>
          <w:szCs w:val="20"/>
        </w:rPr>
        <w:t>留意</w:t>
      </w:r>
      <w:r>
        <w:rPr>
          <w:rFonts w:ascii="宋体" w:hAnsi="宋体" w:cs="宋体" w:eastAsia="宋体" w:hint="default"/>
          <w:spacing w:val="-77"/>
          <w:sz w:val="20"/>
          <w:szCs w:val="20"/>
        </w:rPr>
        <w:t> </w:t>
      </w:r>
      <w:r>
        <w:rPr>
          <w:rFonts w:ascii="宋体" w:hAnsi="宋体" w:cs="宋体" w:eastAsia="宋体" w:hint="default"/>
          <w:spacing w:val="20"/>
          <w:sz w:val="20"/>
          <w:szCs w:val="20"/>
        </w:rPr>
        <w:t>见的审计报告。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355" w:lineRule="auto" w:before="0"/>
        <w:ind w:left="300" w:right="129" w:firstLine="448"/>
        <w:jc w:val="both"/>
        <w:rPr>
          <w:rFonts w:ascii="宋体" w:hAnsi="宋体" w:cs="宋体" w:eastAsia="宋体" w:hint="default"/>
          <w:sz w:val="20"/>
          <w:szCs w:val="20"/>
        </w:rPr>
      </w:pPr>
      <w:r>
        <w:rPr>
          <w:rFonts w:ascii="宋体" w:hAnsi="宋体" w:cs="宋体" w:eastAsia="宋体" w:hint="default"/>
          <w:spacing w:val="9"/>
          <w:sz w:val="20"/>
          <w:szCs w:val="20"/>
        </w:rPr>
        <w:t>根据</w:t>
      </w:r>
      <w:r>
        <w:rPr>
          <w:rFonts w:ascii="宋体" w:hAnsi="宋体" w:cs="宋体" w:eastAsia="宋体" w:hint="default"/>
          <w:spacing w:val="-77"/>
          <w:sz w:val="20"/>
          <w:szCs w:val="20"/>
        </w:rPr>
        <w:t> </w:t>
      </w:r>
      <w:r>
        <w:rPr>
          <w:rFonts w:ascii="宋体" w:hAnsi="宋体" w:cs="宋体" w:eastAsia="宋体" w:hint="default"/>
          <w:spacing w:val="20"/>
          <w:sz w:val="20"/>
          <w:szCs w:val="20"/>
        </w:rPr>
        <w:t>中国证券监督管理委员会、国务</w:t>
      </w:r>
      <w:r>
        <w:rPr>
          <w:rFonts w:ascii="宋体" w:hAnsi="宋体" w:cs="宋体" w:eastAsia="宋体" w:hint="default"/>
          <w:spacing w:val="-77"/>
          <w:sz w:val="20"/>
          <w:szCs w:val="20"/>
        </w:rPr>
        <w:t> </w:t>
      </w:r>
      <w:r>
        <w:rPr>
          <w:rFonts w:ascii="宋体" w:hAnsi="宋体" w:cs="宋体" w:eastAsia="宋体" w:hint="default"/>
          <w:spacing w:val="20"/>
          <w:sz w:val="20"/>
          <w:szCs w:val="20"/>
        </w:rPr>
        <w:t>院国有资产监督管理委员会《</w:t>
      </w:r>
      <w:r>
        <w:rPr>
          <w:rFonts w:ascii="宋体" w:hAnsi="宋体" w:cs="宋体" w:eastAsia="宋体" w:hint="default"/>
          <w:spacing w:val="-81"/>
          <w:sz w:val="20"/>
          <w:szCs w:val="20"/>
        </w:rPr>
        <w:t> </w:t>
      </w:r>
      <w:r>
        <w:rPr>
          <w:rFonts w:ascii="宋体" w:hAnsi="宋体" w:cs="宋体" w:eastAsia="宋体" w:hint="default"/>
          <w:sz w:val="20"/>
          <w:szCs w:val="20"/>
        </w:rPr>
        <w:t>关</w:t>
      </w:r>
      <w:r>
        <w:rPr>
          <w:rFonts w:ascii="宋体" w:hAnsi="宋体" w:cs="宋体" w:eastAsia="宋体" w:hint="default"/>
          <w:spacing w:val="-77"/>
          <w:sz w:val="20"/>
          <w:szCs w:val="20"/>
        </w:rPr>
        <w:t> </w:t>
      </w:r>
      <w:r>
        <w:rPr>
          <w:rFonts w:ascii="宋体" w:hAnsi="宋体" w:cs="宋体" w:eastAsia="宋体" w:hint="default"/>
          <w:spacing w:val="19"/>
          <w:sz w:val="20"/>
          <w:szCs w:val="20"/>
        </w:rPr>
        <w:t>于规范上市</w:t>
      </w:r>
      <w:r>
        <w:rPr>
          <w:rFonts w:ascii="宋体" w:hAnsi="宋体" w:cs="宋体" w:eastAsia="宋体" w:hint="default"/>
          <w:spacing w:val="-60"/>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pacing w:val="9"/>
          <w:sz w:val="20"/>
          <w:szCs w:val="20"/>
        </w:rPr>
        <w:t>司与</w:t>
      </w:r>
      <w:r>
        <w:rPr>
          <w:rFonts w:ascii="宋体" w:hAnsi="宋体" w:cs="宋体" w:eastAsia="宋体" w:hint="default"/>
          <w:spacing w:val="-79"/>
          <w:sz w:val="20"/>
          <w:szCs w:val="20"/>
        </w:rPr>
        <w:t> </w:t>
      </w:r>
      <w:r>
        <w:rPr>
          <w:rFonts w:ascii="宋体" w:hAnsi="宋体" w:cs="宋体" w:eastAsia="宋体" w:hint="default"/>
          <w:spacing w:val="22"/>
          <w:sz w:val="20"/>
          <w:szCs w:val="20"/>
        </w:rPr>
        <w:t>关联方资金往来及上市公司对外担保若干问题的通知》的要</w:t>
      </w:r>
      <w:r>
        <w:rPr>
          <w:rFonts w:ascii="宋体" w:hAnsi="宋体" w:cs="宋体" w:eastAsia="宋体" w:hint="default"/>
          <w:spacing w:val="-79"/>
          <w:sz w:val="20"/>
          <w:szCs w:val="20"/>
        </w:rPr>
        <w:t> </w:t>
      </w:r>
      <w:r>
        <w:rPr>
          <w:rFonts w:ascii="宋体" w:hAnsi="宋体" w:cs="宋体" w:eastAsia="宋体" w:hint="default"/>
          <w:spacing w:val="11"/>
          <w:sz w:val="20"/>
          <w:szCs w:val="20"/>
        </w:rPr>
        <w:t>求，农产</w:t>
      </w:r>
      <w:r>
        <w:rPr>
          <w:rFonts w:ascii="宋体" w:hAnsi="宋体" w:cs="宋体" w:eastAsia="宋体" w:hint="default"/>
          <w:spacing w:val="-79"/>
          <w:sz w:val="20"/>
          <w:szCs w:val="20"/>
        </w:rPr>
        <w:t> </w:t>
      </w:r>
      <w:r>
        <w:rPr>
          <w:rFonts w:ascii="宋体" w:hAnsi="宋体" w:cs="宋体" w:eastAsia="宋体" w:hint="default"/>
          <w:spacing w:val="19"/>
          <w:sz w:val="20"/>
          <w:szCs w:val="20"/>
        </w:rPr>
        <w:t>品公司编制</w:t>
      </w:r>
      <w:r>
        <w:rPr>
          <w:rFonts w:ascii="宋体" w:hAnsi="宋体" w:cs="宋体" w:eastAsia="宋体" w:hint="default"/>
          <w:spacing w:val="-61"/>
          <w:sz w:val="20"/>
          <w:szCs w:val="20"/>
        </w:rPr>
        <w:t> </w:t>
      </w:r>
      <w:r>
        <w:rPr>
          <w:rFonts w:ascii="宋体" w:hAnsi="宋体" w:cs="宋体" w:eastAsia="宋体" w:hint="default"/>
          <w:sz w:val="20"/>
          <w:szCs w:val="20"/>
        </w:rPr>
        <w:t>了</w:t>
      </w:r>
      <w:r>
        <w:rPr>
          <w:rFonts w:ascii="宋体" w:hAnsi="宋体" w:cs="宋体" w:eastAsia="宋体" w:hint="default"/>
          <w:w w:val="99"/>
          <w:sz w:val="20"/>
          <w:szCs w:val="20"/>
        </w:rPr>
        <w:t> </w:t>
      </w:r>
      <w:r>
        <w:rPr>
          <w:rFonts w:ascii="宋体" w:hAnsi="宋体" w:cs="宋体" w:eastAsia="宋体" w:hint="default"/>
          <w:spacing w:val="12"/>
          <w:sz w:val="20"/>
          <w:szCs w:val="20"/>
        </w:rPr>
        <w:t>本专</w:t>
      </w:r>
      <w:r>
        <w:rPr>
          <w:rFonts w:ascii="宋体" w:hAnsi="宋体" w:cs="宋体" w:eastAsia="宋体" w:hint="default"/>
          <w:spacing w:val="-75"/>
          <w:sz w:val="20"/>
          <w:szCs w:val="20"/>
        </w:rPr>
        <w:t> </w:t>
      </w:r>
      <w:r>
        <w:rPr>
          <w:rFonts w:ascii="宋体" w:hAnsi="宋体" w:cs="宋体" w:eastAsia="宋体" w:hint="default"/>
          <w:sz w:val="20"/>
          <w:szCs w:val="20"/>
        </w:rPr>
        <w:t>项</w:t>
      </w:r>
      <w:r>
        <w:rPr>
          <w:rFonts w:ascii="宋体" w:hAnsi="宋体" w:cs="宋体" w:eastAsia="宋体" w:hint="default"/>
          <w:spacing w:val="-75"/>
          <w:sz w:val="20"/>
          <w:szCs w:val="20"/>
        </w:rPr>
        <w:t> </w:t>
      </w:r>
      <w:r>
        <w:rPr>
          <w:rFonts w:ascii="宋体" w:hAnsi="宋体" w:cs="宋体" w:eastAsia="宋体" w:hint="default"/>
          <w:sz w:val="20"/>
          <w:szCs w:val="20"/>
        </w:rPr>
        <w:t>说</w:t>
      </w:r>
      <w:r>
        <w:rPr>
          <w:rFonts w:ascii="宋体" w:hAnsi="宋体" w:cs="宋体" w:eastAsia="宋体" w:hint="default"/>
          <w:spacing w:val="-75"/>
          <w:sz w:val="20"/>
          <w:szCs w:val="20"/>
        </w:rPr>
        <w:t> </w:t>
      </w:r>
      <w:r>
        <w:rPr>
          <w:rFonts w:ascii="宋体" w:hAnsi="宋体" w:cs="宋体" w:eastAsia="宋体" w:hint="default"/>
          <w:sz w:val="20"/>
          <w:szCs w:val="20"/>
        </w:rPr>
        <w:t>明</w:t>
      </w:r>
      <w:r>
        <w:rPr>
          <w:rFonts w:ascii="宋体" w:hAnsi="宋体" w:cs="宋体" w:eastAsia="宋体" w:hint="default"/>
          <w:spacing w:val="-75"/>
          <w:sz w:val="20"/>
          <w:szCs w:val="20"/>
        </w:rPr>
        <w:t> </w:t>
      </w:r>
      <w:r>
        <w:rPr>
          <w:rFonts w:ascii="宋体" w:hAnsi="宋体" w:cs="宋体" w:eastAsia="宋体" w:hint="default"/>
          <w:sz w:val="20"/>
          <w:szCs w:val="20"/>
        </w:rPr>
        <w:t>后</w:t>
      </w:r>
      <w:r>
        <w:rPr>
          <w:rFonts w:ascii="宋体" w:hAnsi="宋体" w:cs="宋体" w:eastAsia="宋体" w:hint="default"/>
          <w:spacing w:val="-75"/>
          <w:sz w:val="20"/>
          <w:szCs w:val="20"/>
        </w:rPr>
        <w:t> </w:t>
      </w:r>
      <w:r>
        <w:rPr>
          <w:rFonts w:ascii="宋体" w:hAnsi="宋体" w:cs="宋体" w:eastAsia="宋体" w:hint="default"/>
          <w:sz w:val="20"/>
          <w:szCs w:val="20"/>
        </w:rPr>
        <w:t>附</w:t>
      </w:r>
      <w:r>
        <w:rPr>
          <w:rFonts w:ascii="宋体" w:hAnsi="宋体" w:cs="宋体" w:eastAsia="宋体" w:hint="default"/>
          <w:spacing w:val="-75"/>
          <w:sz w:val="20"/>
          <w:szCs w:val="20"/>
        </w:rPr>
        <w:t> </w:t>
      </w:r>
      <w:r>
        <w:rPr>
          <w:rFonts w:ascii="宋体" w:hAnsi="宋体" w:cs="宋体" w:eastAsia="宋体" w:hint="default"/>
          <w:sz w:val="20"/>
          <w:szCs w:val="20"/>
        </w:rPr>
        <w:t>的</w:t>
      </w:r>
      <w:r>
        <w:rPr>
          <w:rFonts w:ascii="宋体" w:hAnsi="宋体" w:cs="宋体" w:eastAsia="宋体" w:hint="default"/>
          <w:spacing w:val="-15"/>
          <w:sz w:val="20"/>
          <w:szCs w:val="20"/>
        </w:rPr>
        <w:t> </w:t>
      </w:r>
      <w:r>
        <w:rPr>
          <w:rFonts w:ascii="Garamond" w:hAnsi="Garamond" w:cs="Garamond" w:eastAsia="Garamond" w:hint="default"/>
          <w:spacing w:val="8"/>
          <w:sz w:val="20"/>
          <w:szCs w:val="20"/>
        </w:rPr>
        <w:t>2009</w:t>
      </w:r>
      <w:r>
        <w:rPr>
          <w:rFonts w:ascii="Garamond" w:hAnsi="Garamond" w:cs="Garamond" w:eastAsia="Garamond" w:hint="default"/>
          <w:spacing w:val="19"/>
          <w:sz w:val="20"/>
          <w:szCs w:val="20"/>
        </w:rPr>
        <w:t> </w:t>
      </w:r>
      <w:r>
        <w:rPr>
          <w:rFonts w:ascii="宋体" w:hAnsi="宋体" w:cs="宋体" w:eastAsia="宋体" w:hint="default"/>
          <w:spacing w:val="12"/>
          <w:sz w:val="20"/>
          <w:szCs w:val="20"/>
        </w:rPr>
        <w:t>年度</w:t>
      </w:r>
      <w:r>
        <w:rPr>
          <w:rFonts w:ascii="宋体" w:hAnsi="宋体" w:cs="宋体" w:eastAsia="宋体" w:hint="default"/>
          <w:spacing w:val="-73"/>
          <w:sz w:val="20"/>
          <w:szCs w:val="20"/>
        </w:rPr>
        <w:t> </w:t>
      </w:r>
      <w:r>
        <w:rPr>
          <w:rFonts w:ascii="宋体" w:hAnsi="宋体" w:cs="宋体" w:eastAsia="宋体" w:hint="default"/>
          <w:spacing w:val="12"/>
          <w:sz w:val="20"/>
          <w:szCs w:val="20"/>
        </w:rPr>
        <w:t>控股</w:t>
      </w:r>
      <w:r>
        <w:rPr>
          <w:rFonts w:ascii="宋体" w:hAnsi="宋体" w:cs="宋体" w:eastAsia="宋体" w:hint="default"/>
          <w:spacing w:val="-75"/>
          <w:sz w:val="20"/>
          <w:szCs w:val="20"/>
        </w:rPr>
        <w:t> </w:t>
      </w:r>
      <w:r>
        <w:rPr>
          <w:rFonts w:ascii="宋体" w:hAnsi="宋体" w:cs="宋体" w:eastAsia="宋体" w:hint="default"/>
          <w:sz w:val="20"/>
          <w:szCs w:val="20"/>
        </w:rPr>
        <w:t>股</w:t>
      </w:r>
      <w:r>
        <w:rPr>
          <w:rFonts w:ascii="宋体" w:hAnsi="宋体" w:cs="宋体" w:eastAsia="宋体" w:hint="default"/>
          <w:spacing w:val="-75"/>
          <w:sz w:val="20"/>
          <w:szCs w:val="20"/>
        </w:rPr>
        <w:t> </w:t>
      </w:r>
      <w:r>
        <w:rPr>
          <w:rFonts w:ascii="宋体" w:hAnsi="宋体" w:cs="宋体" w:eastAsia="宋体" w:hint="default"/>
          <w:sz w:val="20"/>
          <w:szCs w:val="20"/>
        </w:rPr>
        <w:t>东</w:t>
      </w:r>
      <w:r>
        <w:rPr>
          <w:rFonts w:ascii="宋体" w:hAnsi="宋体" w:cs="宋体" w:eastAsia="宋体" w:hint="default"/>
          <w:spacing w:val="-75"/>
          <w:sz w:val="20"/>
          <w:szCs w:val="20"/>
        </w:rPr>
        <w:t> </w:t>
      </w:r>
      <w:r>
        <w:rPr>
          <w:rFonts w:ascii="宋体" w:hAnsi="宋体" w:cs="宋体" w:eastAsia="宋体" w:hint="default"/>
          <w:sz w:val="20"/>
          <w:szCs w:val="20"/>
        </w:rPr>
        <w:t>及</w:t>
      </w:r>
      <w:r>
        <w:rPr>
          <w:rFonts w:ascii="宋体" w:hAnsi="宋体" w:cs="宋体" w:eastAsia="宋体" w:hint="default"/>
          <w:spacing w:val="-75"/>
          <w:sz w:val="20"/>
          <w:szCs w:val="20"/>
        </w:rPr>
        <w:t> </w:t>
      </w:r>
      <w:r>
        <w:rPr>
          <w:rFonts w:ascii="宋体" w:hAnsi="宋体" w:cs="宋体" w:eastAsia="宋体" w:hint="default"/>
          <w:sz w:val="20"/>
          <w:szCs w:val="20"/>
        </w:rPr>
        <w:t>其</w:t>
      </w:r>
      <w:r>
        <w:rPr>
          <w:rFonts w:ascii="宋体" w:hAnsi="宋体" w:cs="宋体" w:eastAsia="宋体" w:hint="default"/>
          <w:spacing w:val="-75"/>
          <w:sz w:val="20"/>
          <w:szCs w:val="20"/>
        </w:rPr>
        <w:t> </w:t>
      </w:r>
      <w:r>
        <w:rPr>
          <w:rFonts w:ascii="宋体" w:hAnsi="宋体" w:cs="宋体" w:eastAsia="宋体" w:hint="default"/>
          <w:sz w:val="20"/>
          <w:szCs w:val="20"/>
        </w:rPr>
        <w:t>他</w:t>
      </w:r>
      <w:r>
        <w:rPr>
          <w:rFonts w:ascii="宋体" w:hAnsi="宋体" w:cs="宋体" w:eastAsia="宋体" w:hint="default"/>
          <w:spacing w:val="-75"/>
          <w:sz w:val="20"/>
          <w:szCs w:val="20"/>
        </w:rPr>
        <w:t> </w:t>
      </w:r>
      <w:r>
        <w:rPr>
          <w:rFonts w:ascii="宋体" w:hAnsi="宋体" w:cs="宋体" w:eastAsia="宋体" w:hint="default"/>
          <w:sz w:val="20"/>
          <w:szCs w:val="20"/>
        </w:rPr>
        <w:t>关</w:t>
      </w:r>
      <w:r>
        <w:rPr>
          <w:rFonts w:ascii="宋体" w:hAnsi="宋体" w:cs="宋体" w:eastAsia="宋体" w:hint="default"/>
          <w:spacing w:val="-75"/>
          <w:sz w:val="20"/>
          <w:szCs w:val="20"/>
        </w:rPr>
        <w:t> </w:t>
      </w:r>
      <w:r>
        <w:rPr>
          <w:rFonts w:ascii="宋体" w:hAnsi="宋体" w:cs="宋体" w:eastAsia="宋体" w:hint="default"/>
          <w:sz w:val="20"/>
          <w:szCs w:val="20"/>
        </w:rPr>
        <w:t>联</w:t>
      </w:r>
      <w:r>
        <w:rPr>
          <w:rFonts w:ascii="宋体" w:hAnsi="宋体" w:cs="宋体" w:eastAsia="宋体" w:hint="default"/>
          <w:spacing w:val="-75"/>
          <w:sz w:val="20"/>
          <w:szCs w:val="20"/>
        </w:rPr>
        <w:t> </w:t>
      </w:r>
      <w:r>
        <w:rPr>
          <w:rFonts w:ascii="宋体" w:hAnsi="宋体" w:cs="宋体" w:eastAsia="宋体" w:hint="default"/>
          <w:sz w:val="20"/>
          <w:szCs w:val="20"/>
        </w:rPr>
        <w:t>方</w:t>
      </w:r>
      <w:r>
        <w:rPr>
          <w:rFonts w:ascii="宋体" w:hAnsi="宋体" w:cs="宋体" w:eastAsia="宋体" w:hint="default"/>
          <w:spacing w:val="-75"/>
          <w:sz w:val="20"/>
          <w:szCs w:val="20"/>
        </w:rPr>
        <w:t> </w:t>
      </w:r>
      <w:r>
        <w:rPr>
          <w:rFonts w:ascii="宋体" w:hAnsi="宋体" w:cs="宋体" w:eastAsia="宋体" w:hint="default"/>
          <w:sz w:val="20"/>
          <w:szCs w:val="20"/>
        </w:rPr>
        <w:t>占</w:t>
      </w:r>
      <w:r>
        <w:rPr>
          <w:rFonts w:ascii="宋体" w:hAnsi="宋体" w:cs="宋体" w:eastAsia="宋体" w:hint="default"/>
          <w:spacing w:val="-75"/>
          <w:sz w:val="20"/>
          <w:szCs w:val="20"/>
        </w:rPr>
        <w:t> </w:t>
      </w:r>
      <w:r>
        <w:rPr>
          <w:rFonts w:ascii="宋体" w:hAnsi="宋体" w:cs="宋体" w:eastAsia="宋体" w:hint="default"/>
          <w:sz w:val="20"/>
          <w:szCs w:val="20"/>
        </w:rPr>
        <w:t>用</w:t>
      </w:r>
      <w:r>
        <w:rPr>
          <w:rFonts w:ascii="宋体" w:hAnsi="宋体" w:cs="宋体" w:eastAsia="宋体" w:hint="default"/>
          <w:spacing w:val="-75"/>
          <w:sz w:val="20"/>
          <w:szCs w:val="20"/>
        </w:rPr>
        <w:t> </w:t>
      </w:r>
      <w:r>
        <w:rPr>
          <w:rFonts w:ascii="宋体" w:hAnsi="宋体" w:cs="宋体" w:eastAsia="宋体" w:hint="default"/>
          <w:sz w:val="20"/>
          <w:szCs w:val="20"/>
        </w:rPr>
        <w:t>上</w:t>
      </w:r>
      <w:r>
        <w:rPr>
          <w:rFonts w:ascii="宋体" w:hAnsi="宋体" w:cs="宋体" w:eastAsia="宋体" w:hint="default"/>
          <w:spacing w:val="-75"/>
          <w:sz w:val="20"/>
          <w:szCs w:val="20"/>
        </w:rPr>
        <w:t> </w:t>
      </w:r>
      <w:r>
        <w:rPr>
          <w:rFonts w:ascii="宋体" w:hAnsi="宋体" w:cs="宋体" w:eastAsia="宋体" w:hint="default"/>
          <w:sz w:val="20"/>
          <w:szCs w:val="20"/>
        </w:rPr>
        <w:t>市</w:t>
      </w:r>
      <w:r>
        <w:rPr>
          <w:rFonts w:ascii="宋体" w:hAnsi="宋体" w:cs="宋体" w:eastAsia="宋体" w:hint="default"/>
          <w:spacing w:val="-75"/>
          <w:sz w:val="20"/>
          <w:szCs w:val="20"/>
        </w:rPr>
        <w:t> </w:t>
      </w:r>
      <w:r>
        <w:rPr>
          <w:rFonts w:ascii="宋体" w:hAnsi="宋体" w:cs="宋体" w:eastAsia="宋体" w:hint="default"/>
          <w:sz w:val="20"/>
          <w:szCs w:val="20"/>
        </w:rPr>
        <w:t>公</w:t>
      </w:r>
      <w:r>
        <w:rPr>
          <w:rFonts w:ascii="宋体" w:hAnsi="宋体" w:cs="宋体" w:eastAsia="宋体" w:hint="default"/>
          <w:spacing w:val="-75"/>
          <w:sz w:val="20"/>
          <w:szCs w:val="20"/>
        </w:rPr>
        <w:t> </w:t>
      </w:r>
      <w:r>
        <w:rPr>
          <w:rFonts w:ascii="宋体" w:hAnsi="宋体" w:cs="宋体" w:eastAsia="宋体" w:hint="default"/>
          <w:sz w:val="20"/>
          <w:szCs w:val="20"/>
        </w:rPr>
        <w:t>司</w:t>
      </w:r>
      <w:r>
        <w:rPr>
          <w:rFonts w:ascii="宋体" w:hAnsi="宋体" w:cs="宋体" w:eastAsia="宋体" w:hint="default"/>
          <w:spacing w:val="-75"/>
          <w:sz w:val="20"/>
          <w:szCs w:val="20"/>
        </w:rPr>
        <w:t> </w:t>
      </w:r>
      <w:r>
        <w:rPr>
          <w:rFonts w:ascii="宋体" w:hAnsi="宋体" w:cs="宋体" w:eastAsia="宋体" w:hint="default"/>
          <w:sz w:val="20"/>
          <w:szCs w:val="20"/>
        </w:rPr>
        <w:t>资</w:t>
      </w:r>
      <w:r>
        <w:rPr>
          <w:rFonts w:ascii="宋体" w:hAnsi="宋体" w:cs="宋体" w:eastAsia="宋体" w:hint="default"/>
          <w:spacing w:val="-75"/>
          <w:sz w:val="20"/>
          <w:szCs w:val="20"/>
        </w:rPr>
        <w:t> </w:t>
      </w:r>
      <w:r>
        <w:rPr>
          <w:rFonts w:ascii="宋体" w:hAnsi="宋体" w:cs="宋体" w:eastAsia="宋体" w:hint="default"/>
          <w:sz w:val="20"/>
          <w:szCs w:val="20"/>
        </w:rPr>
        <w:t>金</w:t>
      </w:r>
      <w:r>
        <w:rPr>
          <w:rFonts w:ascii="宋体" w:hAnsi="宋体" w:cs="宋体" w:eastAsia="宋体" w:hint="default"/>
          <w:spacing w:val="-75"/>
          <w:sz w:val="20"/>
          <w:szCs w:val="20"/>
        </w:rPr>
        <w:t> </w:t>
      </w:r>
      <w:r>
        <w:rPr>
          <w:rFonts w:ascii="宋体" w:hAnsi="宋体" w:cs="宋体" w:eastAsia="宋体" w:hint="default"/>
          <w:sz w:val="20"/>
          <w:szCs w:val="20"/>
        </w:rPr>
        <w:t>情</w:t>
      </w:r>
      <w:r>
        <w:rPr>
          <w:rFonts w:ascii="宋体" w:hAnsi="宋体" w:cs="宋体" w:eastAsia="宋体" w:hint="default"/>
          <w:spacing w:val="-75"/>
          <w:sz w:val="20"/>
          <w:szCs w:val="20"/>
        </w:rPr>
        <w:t> </w:t>
      </w:r>
      <w:r>
        <w:rPr>
          <w:rFonts w:ascii="宋体" w:hAnsi="宋体" w:cs="宋体" w:eastAsia="宋体" w:hint="default"/>
          <w:sz w:val="20"/>
          <w:szCs w:val="20"/>
        </w:rPr>
        <w:t>况</w:t>
      </w:r>
      <w:r>
        <w:rPr>
          <w:rFonts w:ascii="宋体" w:hAnsi="宋体" w:cs="宋体" w:eastAsia="宋体" w:hint="default"/>
          <w:spacing w:val="-75"/>
          <w:sz w:val="20"/>
          <w:szCs w:val="20"/>
        </w:rPr>
        <w:t> </w:t>
      </w:r>
      <w:r>
        <w:rPr>
          <w:rFonts w:ascii="宋体" w:hAnsi="宋体" w:cs="宋体" w:eastAsia="宋体" w:hint="default"/>
          <w:sz w:val="20"/>
          <w:szCs w:val="20"/>
        </w:rPr>
        <w:t>汇</w:t>
      </w:r>
      <w:r>
        <w:rPr>
          <w:rFonts w:ascii="宋体" w:hAnsi="宋体" w:cs="宋体" w:eastAsia="宋体" w:hint="default"/>
          <w:spacing w:val="-75"/>
          <w:sz w:val="20"/>
          <w:szCs w:val="20"/>
        </w:rPr>
        <w:t> </w:t>
      </w:r>
      <w:r>
        <w:rPr>
          <w:rFonts w:ascii="宋体" w:hAnsi="宋体" w:cs="宋体" w:eastAsia="宋体" w:hint="default"/>
          <w:sz w:val="20"/>
          <w:szCs w:val="20"/>
        </w:rPr>
        <w:t>总</w:t>
      </w:r>
      <w:r>
        <w:rPr>
          <w:rFonts w:ascii="宋体" w:hAnsi="宋体" w:cs="宋体" w:eastAsia="宋体" w:hint="default"/>
          <w:spacing w:val="-75"/>
          <w:sz w:val="20"/>
          <w:szCs w:val="20"/>
        </w:rPr>
        <w:t> </w:t>
      </w:r>
      <w:r>
        <w:rPr>
          <w:rFonts w:ascii="宋体" w:hAnsi="宋体" w:cs="宋体" w:eastAsia="宋体" w:hint="default"/>
          <w:sz w:val="20"/>
          <w:szCs w:val="20"/>
        </w:rPr>
        <w:t>表</w:t>
      </w:r>
      <w:r>
        <w:rPr>
          <w:rFonts w:ascii="宋体" w:hAnsi="宋体" w:cs="宋体" w:eastAsia="宋体" w:hint="default"/>
          <w:spacing w:val="-75"/>
          <w:sz w:val="20"/>
          <w:szCs w:val="20"/>
        </w:rPr>
        <w:t> </w:t>
      </w:r>
      <w:r>
        <w:rPr>
          <w:rFonts w:ascii="宋体" w:hAnsi="宋体" w:cs="宋体" w:eastAsia="宋体" w:hint="default"/>
          <w:sz w:val="20"/>
          <w:szCs w:val="20"/>
        </w:rPr>
        <w:t>（</w:t>
      </w:r>
      <w:r>
        <w:rPr>
          <w:rFonts w:ascii="宋体" w:hAnsi="宋体" w:cs="宋体" w:eastAsia="宋体" w:hint="default"/>
          <w:spacing w:val="-75"/>
          <w:sz w:val="20"/>
          <w:szCs w:val="20"/>
        </w:rPr>
        <w:t> </w:t>
      </w:r>
      <w:r>
        <w:rPr>
          <w:rFonts w:ascii="宋体" w:hAnsi="宋体" w:cs="宋体" w:eastAsia="宋体" w:hint="default"/>
          <w:sz w:val="20"/>
          <w:szCs w:val="20"/>
        </w:rPr>
        <w:t>以</w:t>
      </w:r>
      <w:r>
        <w:rPr>
          <w:rFonts w:ascii="宋体" w:hAnsi="宋体" w:cs="宋体" w:eastAsia="宋体" w:hint="default"/>
          <w:w w:val="99"/>
          <w:sz w:val="20"/>
          <w:szCs w:val="20"/>
        </w:rPr>
        <w:t> </w:t>
      </w:r>
      <w:r>
        <w:rPr>
          <w:rFonts w:ascii="宋体" w:hAnsi="宋体" w:cs="宋体" w:eastAsia="宋体" w:hint="default"/>
          <w:spacing w:val="9"/>
          <w:sz w:val="20"/>
          <w:szCs w:val="20"/>
        </w:rPr>
        <w:t>下简</w:t>
      </w:r>
      <w:r>
        <w:rPr>
          <w:rFonts w:ascii="宋体" w:hAnsi="宋体" w:cs="宋体" w:eastAsia="宋体" w:hint="default"/>
          <w:spacing w:val="-89"/>
          <w:sz w:val="20"/>
          <w:szCs w:val="20"/>
        </w:rPr>
        <w:t> </w:t>
      </w:r>
      <w:r>
        <w:rPr>
          <w:rFonts w:ascii="宋体" w:hAnsi="宋体" w:cs="宋体" w:eastAsia="宋体" w:hint="default"/>
          <w:sz w:val="20"/>
          <w:szCs w:val="20"/>
        </w:rPr>
        <w:t>称</w:t>
      </w:r>
      <w:r>
        <w:rPr>
          <w:rFonts w:ascii="宋体" w:hAnsi="宋体" w:cs="宋体" w:eastAsia="宋体" w:hint="default"/>
          <w:spacing w:val="-88"/>
          <w:sz w:val="20"/>
          <w:szCs w:val="20"/>
        </w:rPr>
        <w:t> </w:t>
      </w:r>
      <w:r>
        <w:rPr>
          <w:rFonts w:ascii="Garamond" w:hAnsi="Garamond" w:cs="Garamond" w:eastAsia="Garamond" w:hint="default"/>
          <w:spacing w:val="10"/>
          <w:sz w:val="20"/>
          <w:szCs w:val="20"/>
        </w:rPr>
        <w:t>“</w:t>
      </w:r>
      <w:r>
        <w:rPr>
          <w:rFonts w:ascii="宋体" w:hAnsi="宋体" w:cs="宋体" w:eastAsia="宋体" w:hint="default"/>
          <w:spacing w:val="10"/>
          <w:sz w:val="20"/>
          <w:szCs w:val="20"/>
        </w:rPr>
        <w:t>资金</w:t>
      </w:r>
      <w:r>
        <w:rPr>
          <w:rFonts w:ascii="宋体" w:hAnsi="宋体" w:cs="宋体" w:eastAsia="宋体" w:hint="default"/>
          <w:spacing w:val="-89"/>
          <w:sz w:val="20"/>
          <w:szCs w:val="20"/>
        </w:rPr>
        <w:t> </w:t>
      </w:r>
      <w:r>
        <w:rPr>
          <w:rFonts w:ascii="宋体" w:hAnsi="宋体" w:cs="宋体" w:eastAsia="宋体" w:hint="default"/>
          <w:spacing w:val="19"/>
          <w:sz w:val="20"/>
          <w:szCs w:val="20"/>
        </w:rPr>
        <w:t>占用汇总表</w:t>
      </w:r>
      <w:r>
        <w:rPr>
          <w:rFonts w:ascii="宋体" w:hAnsi="宋体" w:cs="宋体" w:eastAsia="宋体" w:hint="default"/>
          <w:spacing w:val="-87"/>
          <w:sz w:val="20"/>
          <w:szCs w:val="20"/>
        </w:rPr>
        <w:t> </w:t>
      </w:r>
      <w:r>
        <w:rPr>
          <w:rFonts w:ascii="Garamond" w:hAnsi="Garamond" w:cs="Garamond" w:eastAsia="Garamond" w:hint="default"/>
          <w:spacing w:val="-16"/>
          <w:sz w:val="20"/>
          <w:szCs w:val="20"/>
        </w:rPr>
        <w:t>”</w:t>
      </w:r>
      <w:r>
        <w:rPr>
          <w:rFonts w:ascii="宋体" w:hAnsi="宋体" w:cs="宋体" w:eastAsia="宋体" w:hint="default"/>
          <w:spacing w:val="-16"/>
          <w:sz w:val="20"/>
          <w:szCs w:val="20"/>
        </w:rPr>
        <w:t>）。</w:t>
      </w:r>
    </w:p>
    <w:p>
      <w:pPr>
        <w:spacing w:line="240" w:lineRule="auto" w:before="2"/>
        <w:rPr>
          <w:rFonts w:ascii="宋体" w:hAnsi="宋体" w:cs="宋体" w:eastAsia="宋体" w:hint="default"/>
          <w:sz w:val="24"/>
          <w:szCs w:val="24"/>
        </w:rPr>
      </w:pPr>
    </w:p>
    <w:p>
      <w:pPr>
        <w:spacing w:line="350" w:lineRule="auto" w:before="0"/>
        <w:ind w:left="300" w:right="108" w:firstLine="448"/>
        <w:jc w:val="right"/>
        <w:rPr>
          <w:rFonts w:ascii="宋体" w:hAnsi="宋体" w:cs="宋体" w:eastAsia="宋体" w:hint="default"/>
          <w:sz w:val="20"/>
          <w:szCs w:val="20"/>
        </w:rPr>
      </w:pPr>
      <w:r>
        <w:rPr>
          <w:rFonts w:ascii="宋体" w:hAnsi="宋体" w:cs="宋体" w:eastAsia="宋体" w:hint="default"/>
          <w:spacing w:val="9"/>
          <w:sz w:val="20"/>
          <w:szCs w:val="20"/>
        </w:rPr>
        <w:t>编制</w:t>
      </w:r>
      <w:r>
        <w:rPr>
          <w:rFonts w:ascii="宋体" w:hAnsi="宋体" w:cs="宋体" w:eastAsia="宋体" w:hint="default"/>
          <w:spacing w:val="-75"/>
          <w:sz w:val="20"/>
          <w:szCs w:val="20"/>
        </w:rPr>
        <w:t> </w:t>
      </w:r>
      <w:r>
        <w:rPr>
          <w:rFonts w:ascii="宋体" w:hAnsi="宋体" w:cs="宋体" w:eastAsia="宋体" w:hint="default"/>
          <w:spacing w:val="20"/>
          <w:sz w:val="20"/>
          <w:szCs w:val="20"/>
        </w:rPr>
        <w:t>和对外披露资金占用汇总表，并确</w:t>
      </w:r>
      <w:r>
        <w:rPr>
          <w:rFonts w:ascii="宋体" w:hAnsi="宋体" w:cs="宋体" w:eastAsia="宋体" w:hint="default"/>
          <w:spacing w:val="-75"/>
          <w:sz w:val="20"/>
          <w:szCs w:val="20"/>
        </w:rPr>
        <w:t> </w:t>
      </w:r>
      <w:r>
        <w:rPr>
          <w:rFonts w:ascii="宋体" w:hAnsi="宋体" w:cs="宋体" w:eastAsia="宋体" w:hint="default"/>
          <w:spacing w:val="17"/>
          <w:sz w:val="20"/>
          <w:szCs w:val="20"/>
        </w:rPr>
        <w:t>保其真实性、合法</w:t>
      </w:r>
      <w:r>
        <w:rPr>
          <w:rFonts w:ascii="宋体" w:hAnsi="宋体" w:cs="宋体" w:eastAsia="宋体" w:hint="default"/>
          <w:spacing w:val="-75"/>
          <w:sz w:val="20"/>
          <w:szCs w:val="20"/>
        </w:rPr>
        <w:t> </w:t>
      </w:r>
      <w:r>
        <w:rPr>
          <w:rFonts w:ascii="宋体" w:hAnsi="宋体" w:cs="宋体" w:eastAsia="宋体" w:hint="default"/>
          <w:spacing w:val="21"/>
          <w:sz w:val="20"/>
          <w:szCs w:val="20"/>
        </w:rPr>
        <w:t>性及完整性是农产品公</w:t>
      </w:r>
      <w:r>
        <w:rPr>
          <w:rFonts w:ascii="宋体" w:hAnsi="宋体" w:cs="宋体" w:eastAsia="宋体" w:hint="default"/>
          <w:spacing w:val="-57"/>
          <w:sz w:val="20"/>
          <w:szCs w:val="20"/>
        </w:rPr>
        <w:t> </w:t>
      </w:r>
      <w:r>
        <w:rPr>
          <w:rFonts w:ascii="宋体" w:hAnsi="宋体" w:cs="宋体" w:eastAsia="宋体" w:hint="default"/>
          <w:sz w:val="20"/>
          <w:szCs w:val="20"/>
        </w:rPr>
        <w:t>司</w:t>
      </w:r>
      <w:r>
        <w:rPr>
          <w:rFonts w:ascii="宋体" w:hAnsi="宋体" w:cs="宋体" w:eastAsia="宋体" w:hint="default"/>
          <w:w w:val="99"/>
          <w:sz w:val="20"/>
          <w:szCs w:val="20"/>
        </w:rPr>
        <w:t> </w:t>
      </w:r>
      <w:r>
        <w:rPr>
          <w:rFonts w:ascii="宋体" w:hAnsi="宋体" w:cs="宋体" w:eastAsia="宋体" w:hint="default"/>
          <w:spacing w:val="12"/>
          <w:sz w:val="20"/>
          <w:szCs w:val="20"/>
        </w:rPr>
        <w:t>管理</w:t>
      </w:r>
      <w:r>
        <w:rPr>
          <w:rFonts w:ascii="宋体" w:hAnsi="宋体" w:cs="宋体" w:eastAsia="宋体" w:hint="default"/>
          <w:spacing w:val="-73"/>
          <w:sz w:val="20"/>
          <w:szCs w:val="20"/>
        </w:rPr>
        <w:t> </w:t>
      </w:r>
      <w:r>
        <w:rPr>
          <w:rFonts w:ascii="宋体" w:hAnsi="宋体" w:cs="宋体" w:eastAsia="宋体" w:hint="default"/>
          <w:sz w:val="20"/>
          <w:szCs w:val="20"/>
        </w:rPr>
        <w:t>层</w:t>
      </w:r>
      <w:r>
        <w:rPr>
          <w:rFonts w:ascii="宋体" w:hAnsi="宋体" w:cs="宋体" w:eastAsia="宋体" w:hint="default"/>
          <w:spacing w:val="-73"/>
          <w:sz w:val="20"/>
          <w:szCs w:val="20"/>
        </w:rPr>
        <w:t> </w:t>
      </w:r>
      <w:r>
        <w:rPr>
          <w:rFonts w:ascii="宋体" w:hAnsi="宋体" w:cs="宋体" w:eastAsia="宋体" w:hint="default"/>
          <w:spacing w:val="12"/>
          <w:sz w:val="20"/>
          <w:szCs w:val="20"/>
        </w:rPr>
        <w:t>的责</w:t>
      </w:r>
      <w:r>
        <w:rPr>
          <w:rFonts w:ascii="宋体" w:hAnsi="宋体" w:cs="宋体" w:eastAsia="宋体" w:hint="default"/>
          <w:spacing w:val="-75"/>
          <w:sz w:val="20"/>
          <w:szCs w:val="20"/>
        </w:rPr>
        <w:t> </w:t>
      </w:r>
      <w:r>
        <w:rPr>
          <w:rFonts w:ascii="宋体" w:hAnsi="宋体" w:cs="宋体" w:eastAsia="宋体" w:hint="default"/>
          <w:sz w:val="20"/>
          <w:szCs w:val="20"/>
        </w:rPr>
        <w:t>任</w:t>
      </w:r>
      <w:r>
        <w:rPr>
          <w:rFonts w:ascii="宋体" w:hAnsi="宋体" w:cs="宋体" w:eastAsia="宋体" w:hint="default"/>
          <w:spacing w:val="-75"/>
          <w:sz w:val="20"/>
          <w:szCs w:val="20"/>
        </w:rPr>
        <w:t> </w:t>
      </w:r>
      <w:r>
        <w:rPr>
          <w:rFonts w:ascii="宋体" w:hAnsi="宋体" w:cs="宋体" w:eastAsia="宋体" w:hint="default"/>
          <w:sz w:val="20"/>
          <w:szCs w:val="20"/>
        </w:rPr>
        <w:t>。</w:t>
      </w:r>
      <w:r>
        <w:rPr>
          <w:rFonts w:ascii="宋体" w:hAnsi="宋体" w:cs="宋体" w:eastAsia="宋体" w:hint="default"/>
          <w:spacing w:val="-75"/>
          <w:sz w:val="20"/>
          <w:szCs w:val="20"/>
        </w:rPr>
        <w:t> </w:t>
      </w:r>
      <w:r>
        <w:rPr>
          <w:rFonts w:ascii="宋体" w:hAnsi="宋体" w:cs="宋体" w:eastAsia="宋体" w:hint="default"/>
          <w:sz w:val="20"/>
          <w:szCs w:val="20"/>
        </w:rPr>
        <w:t>我</w:t>
      </w:r>
      <w:r>
        <w:rPr>
          <w:rFonts w:ascii="宋体" w:hAnsi="宋体" w:cs="宋体" w:eastAsia="宋体" w:hint="default"/>
          <w:spacing w:val="-75"/>
          <w:sz w:val="20"/>
          <w:szCs w:val="20"/>
        </w:rPr>
        <w:t> </w:t>
      </w:r>
      <w:r>
        <w:rPr>
          <w:rFonts w:ascii="宋体" w:hAnsi="宋体" w:cs="宋体" w:eastAsia="宋体" w:hint="default"/>
          <w:sz w:val="20"/>
          <w:szCs w:val="20"/>
        </w:rPr>
        <w:t>们</w:t>
      </w:r>
      <w:r>
        <w:rPr>
          <w:rFonts w:ascii="宋体" w:hAnsi="宋体" w:cs="宋体" w:eastAsia="宋体" w:hint="default"/>
          <w:spacing w:val="-75"/>
          <w:sz w:val="20"/>
          <w:szCs w:val="20"/>
        </w:rPr>
        <w:t> </w:t>
      </w:r>
      <w:r>
        <w:rPr>
          <w:rFonts w:ascii="宋体" w:hAnsi="宋体" w:cs="宋体" w:eastAsia="宋体" w:hint="default"/>
          <w:sz w:val="20"/>
          <w:szCs w:val="20"/>
        </w:rPr>
        <w:t>对</w:t>
      </w:r>
      <w:r>
        <w:rPr>
          <w:rFonts w:ascii="宋体" w:hAnsi="宋体" w:cs="宋体" w:eastAsia="宋体" w:hint="default"/>
          <w:spacing w:val="-75"/>
          <w:sz w:val="20"/>
          <w:szCs w:val="20"/>
        </w:rPr>
        <w:t> </w:t>
      </w:r>
      <w:r>
        <w:rPr>
          <w:rFonts w:ascii="宋体" w:hAnsi="宋体" w:cs="宋体" w:eastAsia="宋体" w:hint="default"/>
          <w:sz w:val="20"/>
          <w:szCs w:val="20"/>
        </w:rPr>
        <w:t>资</w:t>
      </w:r>
      <w:r>
        <w:rPr>
          <w:rFonts w:ascii="宋体" w:hAnsi="宋体" w:cs="宋体" w:eastAsia="宋体" w:hint="default"/>
          <w:spacing w:val="-75"/>
          <w:sz w:val="20"/>
          <w:szCs w:val="20"/>
        </w:rPr>
        <w:t> </w:t>
      </w:r>
      <w:r>
        <w:rPr>
          <w:rFonts w:ascii="宋体" w:hAnsi="宋体" w:cs="宋体" w:eastAsia="宋体" w:hint="default"/>
          <w:sz w:val="20"/>
          <w:szCs w:val="20"/>
        </w:rPr>
        <w:t>金</w:t>
      </w:r>
      <w:r>
        <w:rPr>
          <w:rFonts w:ascii="宋体" w:hAnsi="宋体" w:cs="宋体" w:eastAsia="宋体" w:hint="default"/>
          <w:spacing w:val="-75"/>
          <w:sz w:val="20"/>
          <w:szCs w:val="20"/>
        </w:rPr>
        <w:t> </w:t>
      </w:r>
      <w:r>
        <w:rPr>
          <w:rFonts w:ascii="宋体" w:hAnsi="宋体" w:cs="宋体" w:eastAsia="宋体" w:hint="default"/>
          <w:sz w:val="20"/>
          <w:szCs w:val="20"/>
        </w:rPr>
        <w:t>占</w:t>
      </w:r>
      <w:r>
        <w:rPr>
          <w:rFonts w:ascii="宋体" w:hAnsi="宋体" w:cs="宋体" w:eastAsia="宋体" w:hint="default"/>
          <w:spacing w:val="-75"/>
          <w:sz w:val="20"/>
          <w:szCs w:val="20"/>
        </w:rPr>
        <w:t> </w:t>
      </w:r>
      <w:r>
        <w:rPr>
          <w:rFonts w:ascii="宋体" w:hAnsi="宋体" w:cs="宋体" w:eastAsia="宋体" w:hint="default"/>
          <w:sz w:val="20"/>
          <w:szCs w:val="20"/>
        </w:rPr>
        <w:t>用</w:t>
      </w:r>
      <w:r>
        <w:rPr>
          <w:rFonts w:ascii="宋体" w:hAnsi="宋体" w:cs="宋体" w:eastAsia="宋体" w:hint="default"/>
          <w:spacing w:val="-75"/>
          <w:sz w:val="20"/>
          <w:szCs w:val="20"/>
        </w:rPr>
        <w:t> </w:t>
      </w:r>
      <w:r>
        <w:rPr>
          <w:rFonts w:ascii="宋体" w:hAnsi="宋体" w:cs="宋体" w:eastAsia="宋体" w:hint="default"/>
          <w:sz w:val="20"/>
          <w:szCs w:val="20"/>
        </w:rPr>
        <w:t>汇</w:t>
      </w:r>
      <w:r>
        <w:rPr>
          <w:rFonts w:ascii="宋体" w:hAnsi="宋体" w:cs="宋体" w:eastAsia="宋体" w:hint="default"/>
          <w:spacing w:val="-75"/>
          <w:sz w:val="20"/>
          <w:szCs w:val="20"/>
        </w:rPr>
        <w:t> </w:t>
      </w:r>
      <w:r>
        <w:rPr>
          <w:rFonts w:ascii="宋体" w:hAnsi="宋体" w:cs="宋体" w:eastAsia="宋体" w:hint="default"/>
          <w:sz w:val="20"/>
          <w:szCs w:val="20"/>
        </w:rPr>
        <w:t>总</w:t>
      </w:r>
      <w:r>
        <w:rPr>
          <w:rFonts w:ascii="宋体" w:hAnsi="宋体" w:cs="宋体" w:eastAsia="宋体" w:hint="default"/>
          <w:spacing w:val="-75"/>
          <w:sz w:val="20"/>
          <w:szCs w:val="20"/>
        </w:rPr>
        <w:t> </w:t>
      </w:r>
      <w:r>
        <w:rPr>
          <w:rFonts w:ascii="宋体" w:hAnsi="宋体" w:cs="宋体" w:eastAsia="宋体" w:hint="default"/>
          <w:sz w:val="20"/>
          <w:szCs w:val="20"/>
        </w:rPr>
        <w:t>表</w:t>
      </w:r>
      <w:r>
        <w:rPr>
          <w:rFonts w:ascii="宋体" w:hAnsi="宋体" w:cs="宋体" w:eastAsia="宋体" w:hint="default"/>
          <w:spacing w:val="-75"/>
          <w:sz w:val="20"/>
          <w:szCs w:val="20"/>
        </w:rPr>
        <w:t> </w:t>
      </w:r>
      <w:r>
        <w:rPr>
          <w:rFonts w:ascii="宋体" w:hAnsi="宋体" w:cs="宋体" w:eastAsia="宋体" w:hint="default"/>
          <w:sz w:val="20"/>
          <w:szCs w:val="20"/>
        </w:rPr>
        <w:t>所</w:t>
      </w:r>
      <w:r>
        <w:rPr>
          <w:rFonts w:ascii="宋体" w:hAnsi="宋体" w:cs="宋体" w:eastAsia="宋体" w:hint="default"/>
          <w:spacing w:val="-75"/>
          <w:sz w:val="20"/>
          <w:szCs w:val="20"/>
        </w:rPr>
        <w:t> </w:t>
      </w:r>
      <w:r>
        <w:rPr>
          <w:rFonts w:ascii="宋体" w:hAnsi="宋体" w:cs="宋体" w:eastAsia="宋体" w:hint="default"/>
          <w:sz w:val="20"/>
          <w:szCs w:val="20"/>
        </w:rPr>
        <w:t>载</w:t>
      </w:r>
      <w:r>
        <w:rPr>
          <w:rFonts w:ascii="宋体" w:hAnsi="宋体" w:cs="宋体" w:eastAsia="宋体" w:hint="default"/>
          <w:spacing w:val="-75"/>
          <w:sz w:val="20"/>
          <w:szCs w:val="20"/>
        </w:rPr>
        <w:t> </w:t>
      </w:r>
      <w:r>
        <w:rPr>
          <w:rFonts w:ascii="宋体" w:hAnsi="宋体" w:cs="宋体" w:eastAsia="宋体" w:hint="default"/>
          <w:sz w:val="20"/>
          <w:szCs w:val="20"/>
        </w:rPr>
        <w:t>资</w:t>
      </w:r>
      <w:r>
        <w:rPr>
          <w:rFonts w:ascii="宋体" w:hAnsi="宋体" w:cs="宋体" w:eastAsia="宋体" w:hint="default"/>
          <w:spacing w:val="-75"/>
          <w:sz w:val="20"/>
          <w:szCs w:val="20"/>
        </w:rPr>
        <w:t> </w:t>
      </w:r>
      <w:r>
        <w:rPr>
          <w:rFonts w:ascii="宋体" w:hAnsi="宋体" w:cs="宋体" w:eastAsia="宋体" w:hint="default"/>
          <w:sz w:val="20"/>
          <w:szCs w:val="20"/>
        </w:rPr>
        <w:t>料</w:t>
      </w:r>
      <w:r>
        <w:rPr>
          <w:rFonts w:ascii="宋体" w:hAnsi="宋体" w:cs="宋体" w:eastAsia="宋体" w:hint="default"/>
          <w:spacing w:val="-75"/>
          <w:sz w:val="20"/>
          <w:szCs w:val="20"/>
        </w:rPr>
        <w:t> </w:t>
      </w:r>
      <w:r>
        <w:rPr>
          <w:rFonts w:ascii="宋体" w:hAnsi="宋体" w:cs="宋体" w:eastAsia="宋体" w:hint="default"/>
          <w:sz w:val="20"/>
          <w:szCs w:val="20"/>
        </w:rPr>
        <w:t>与</w:t>
      </w:r>
      <w:r>
        <w:rPr>
          <w:rFonts w:ascii="宋体" w:hAnsi="宋体" w:cs="宋体" w:eastAsia="宋体" w:hint="default"/>
          <w:spacing w:val="-75"/>
          <w:sz w:val="20"/>
          <w:szCs w:val="20"/>
        </w:rPr>
        <w:t> </w:t>
      </w:r>
      <w:r>
        <w:rPr>
          <w:rFonts w:ascii="宋体" w:hAnsi="宋体" w:cs="宋体" w:eastAsia="宋体" w:hint="default"/>
          <w:sz w:val="20"/>
          <w:szCs w:val="20"/>
        </w:rPr>
        <w:t>我</w:t>
      </w:r>
      <w:r>
        <w:rPr>
          <w:rFonts w:ascii="宋体" w:hAnsi="宋体" w:cs="宋体" w:eastAsia="宋体" w:hint="default"/>
          <w:spacing w:val="-75"/>
          <w:sz w:val="20"/>
          <w:szCs w:val="20"/>
        </w:rPr>
        <w:t> </w:t>
      </w:r>
      <w:r>
        <w:rPr>
          <w:rFonts w:ascii="宋体" w:hAnsi="宋体" w:cs="宋体" w:eastAsia="宋体" w:hint="default"/>
          <w:sz w:val="20"/>
          <w:szCs w:val="20"/>
        </w:rPr>
        <w:t>们</w:t>
      </w:r>
      <w:r>
        <w:rPr>
          <w:rFonts w:ascii="宋体" w:hAnsi="宋体" w:cs="宋体" w:eastAsia="宋体" w:hint="default"/>
          <w:spacing w:val="-75"/>
          <w:sz w:val="20"/>
          <w:szCs w:val="20"/>
        </w:rPr>
        <w:t> </w:t>
      </w:r>
      <w:r>
        <w:rPr>
          <w:rFonts w:ascii="宋体" w:hAnsi="宋体" w:cs="宋体" w:eastAsia="宋体" w:hint="default"/>
          <w:sz w:val="20"/>
          <w:szCs w:val="20"/>
        </w:rPr>
        <w:t>审</w:t>
      </w:r>
      <w:r>
        <w:rPr>
          <w:rFonts w:ascii="宋体" w:hAnsi="宋体" w:cs="宋体" w:eastAsia="宋体" w:hint="default"/>
          <w:spacing w:val="-75"/>
          <w:sz w:val="20"/>
          <w:szCs w:val="20"/>
        </w:rPr>
        <w:t> </w:t>
      </w:r>
      <w:r>
        <w:rPr>
          <w:rFonts w:ascii="宋体" w:hAnsi="宋体" w:cs="宋体" w:eastAsia="宋体" w:hint="default"/>
          <w:sz w:val="20"/>
          <w:szCs w:val="20"/>
        </w:rPr>
        <w:t>计</w:t>
      </w:r>
      <w:r>
        <w:rPr>
          <w:rFonts w:ascii="宋体" w:hAnsi="宋体" w:cs="宋体" w:eastAsia="宋体" w:hint="default"/>
          <w:spacing w:val="-75"/>
          <w:sz w:val="20"/>
          <w:szCs w:val="20"/>
        </w:rPr>
        <w:t> </w:t>
      </w:r>
      <w:r>
        <w:rPr>
          <w:rFonts w:ascii="宋体" w:hAnsi="宋体" w:cs="宋体" w:eastAsia="宋体" w:hint="default"/>
          <w:sz w:val="20"/>
          <w:szCs w:val="20"/>
        </w:rPr>
        <w:t>农</w:t>
      </w:r>
      <w:r>
        <w:rPr>
          <w:rFonts w:ascii="宋体" w:hAnsi="宋体" w:cs="宋体" w:eastAsia="宋体" w:hint="default"/>
          <w:spacing w:val="-75"/>
          <w:sz w:val="20"/>
          <w:szCs w:val="20"/>
        </w:rPr>
        <w:t> </w:t>
      </w:r>
      <w:r>
        <w:rPr>
          <w:rFonts w:ascii="宋体" w:hAnsi="宋体" w:cs="宋体" w:eastAsia="宋体" w:hint="default"/>
          <w:sz w:val="20"/>
          <w:szCs w:val="20"/>
        </w:rPr>
        <w:t>产</w:t>
      </w:r>
      <w:r>
        <w:rPr>
          <w:rFonts w:ascii="宋体" w:hAnsi="宋体" w:cs="宋体" w:eastAsia="宋体" w:hint="default"/>
          <w:spacing w:val="-75"/>
          <w:sz w:val="20"/>
          <w:szCs w:val="20"/>
        </w:rPr>
        <w:t> </w:t>
      </w:r>
      <w:r>
        <w:rPr>
          <w:rFonts w:ascii="宋体" w:hAnsi="宋体" w:cs="宋体" w:eastAsia="宋体" w:hint="default"/>
          <w:sz w:val="20"/>
          <w:szCs w:val="20"/>
        </w:rPr>
        <w:t>品</w:t>
      </w:r>
      <w:r>
        <w:rPr>
          <w:rFonts w:ascii="宋体" w:hAnsi="宋体" w:cs="宋体" w:eastAsia="宋体" w:hint="default"/>
          <w:spacing w:val="-75"/>
          <w:sz w:val="20"/>
          <w:szCs w:val="20"/>
        </w:rPr>
        <w:t> </w:t>
      </w:r>
      <w:r>
        <w:rPr>
          <w:rFonts w:ascii="宋体" w:hAnsi="宋体" w:cs="宋体" w:eastAsia="宋体" w:hint="default"/>
          <w:sz w:val="20"/>
          <w:szCs w:val="20"/>
        </w:rPr>
        <w:t>公</w:t>
      </w:r>
      <w:r>
        <w:rPr>
          <w:rFonts w:ascii="宋体" w:hAnsi="宋体" w:cs="宋体" w:eastAsia="宋体" w:hint="default"/>
          <w:spacing w:val="-75"/>
          <w:sz w:val="20"/>
          <w:szCs w:val="20"/>
        </w:rPr>
        <w:t> </w:t>
      </w:r>
      <w:r>
        <w:rPr>
          <w:rFonts w:ascii="宋体" w:hAnsi="宋体" w:cs="宋体" w:eastAsia="宋体" w:hint="default"/>
          <w:sz w:val="20"/>
          <w:szCs w:val="20"/>
        </w:rPr>
        <w:t>司</w:t>
      </w:r>
      <w:r>
        <w:rPr>
          <w:rFonts w:ascii="宋体" w:hAnsi="宋体" w:cs="宋体" w:eastAsia="宋体" w:hint="default"/>
          <w:spacing w:val="-7"/>
          <w:sz w:val="20"/>
          <w:szCs w:val="20"/>
        </w:rPr>
        <w:t> </w:t>
      </w:r>
      <w:r>
        <w:rPr>
          <w:rFonts w:ascii="Garamond" w:hAnsi="Garamond" w:cs="Garamond" w:eastAsia="Garamond" w:hint="default"/>
          <w:spacing w:val="8"/>
          <w:sz w:val="20"/>
          <w:szCs w:val="20"/>
        </w:rPr>
        <w:t>2009</w:t>
      </w:r>
      <w:r>
        <w:rPr>
          <w:rFonts w:ascii="Garamond" w:hAnsi="Garamond" w:cs="Garamond" w:eastAsia="Garamond" w:hint="default"/>
          <w:spacing w:val="17"/>
          <w:sz w:val="20"/>
          <w:szCs w:val="20"/>
        </w:rPr>
        <w:t> </w:t>
      </w:r>
      <w:r>
        <w:rPr>
          <w:rFonts w:ascii="宋体" w:hAnsi="宋体" w:cs="宋体" w:eastAsia="宋体" w:hint="default"/>
          <w:spacing w:val="12"/>
          <w:sz w:val="20"/>
          <w:szCs w:val="20"/>
        </w:rPr>
        <w:t>年度</w:t>
      </w:r>
      <w:r>
        <w:rPr>
          <w:rFonts w:ascii="宋体" w:hAnsi="宋体" w:cs="宋体" w:eastAsia="宋体" w:hint="default"/>
          <w:spacing w:val="-73"/>
          <w:sz w:val="20"/>
          <w:szCs w:val="20"/>
        </w:rPr>
        <w:t> </w:t>
      </w:r>
      <w:r>
        <w:rPr>
          <w:rFonts w:ascii="宋体" w:hAnsi="宋体" w:cs="宋体" w:eastAsia="宋体" w:hint="default"/>
          <w:spacing w:val="12"/>
          <w:sz w:val="20"/>
          <w:szCs w:val="20"/>
        </w:rPr>
        <w:t>财务</w:t>
      </w:r>
      <w:r>
        <w:rPr>
          <w:rFonts w:ascii="宋体" w:hAnsi="宋体" w:cs="宋体" w:eastAsia="宋体" w:hint="default"/>
          <w:w w:val="99"/>
          <w:sz w:val="20"/>
          <w:szCs w:val="20"/>
        </w:rPr>
        <w:t> </w:t>
      </w:r>
      <w:r>
        <w:rPr>
          <w:rFonts w:ascii="宋体" w:hAnsi="宋体" w:cs="宋体" w:eastAsia="宋体" w:hint="default"/>
          <w:spacing w:val="9"/>
          <w:sz w:val="20"/>
          <w:szCs w:val="20"/>
        </w:rPr>
        <w:t>报表</w:t>
      </w:r>
      <w:r>
        <w:rPr>
          <w:rFonts w:ascii="宋体" w:hAnsi="宋体" w:cs="宋体" w:eastAsia="宋体" w:hint="default"/>
          <w:spacing w:val="-78"/>
          <w:sz w:val="20"/>
          <w:szCs w:val="20"/>
        </w:rPr>
        <w:t> </w:t>
      </w:r>
      <w:r>
        <w:rPr>
          <w:rFonts w:ascii="宋体" w:hAnsi="宋体" w:cs="宋体" w:eastAsia="宋体" w:hint="default"/>
          <w:spacing w:val="19"/>
          <w:sz w:val="20"/>
          <w:szCs w:val="20"/>
        </w:rPr>
        <w:t>时所复核的</w:t>
      </w:r>
      <w:r>
        <w:rPr>
          <w:rFonts w:ascii="宋体" w:hAnsi="宋体" w:cs="宋体" w:eastAsia="宋体" w:hint="default"/>
          <w:spacing w:val="-74"/>
          <w:sz w:val="20"/>
          <w:szCs w:val="20"/>
        </w:rPr>
        <w:t> </w:t>
      </w:r>
      <w:r>
        <w:rPr>
          <w:rFonts w:ascii="宋体" w:hAnsi="宋体" w:cs="宋体" w:eastAsia="宋体" w:hint="default"/>
          <w:spacing w:val="9"/>
          <w:sz w:val="20"/>
          <w:szCs w:val="20"/>
        </w:rPr>
        <w:t>财务</w:t>
      </w:r>
      <w:r>
        <w:rPr>
          <w:rFonts w:ascii="宋体" w:hAnsi="宋体" w:cs="宋体" w:eastAsia="宋体" w:hint="default"/>
          <w:spacing w:val="-74"/>
          <w:sz w:val="20"/>
          <w:szCs w:val="20"/>
        </w:rPr>
        <w:t> </w:t>
      </w:r>
      <w:r>
        <w:rPr>
          <w:rFonts w:ascii="宋体" w:hAnsi="宋体" w:cs="宋体" w:eastAsia="宋体" w:hint="default"/>
          <w:spacing w:val="9"/>
          <w:sz w:val="20"/>
          <w:szCs w:val="20"/>
        </w:rPr>
        <w:t>资料</w:t>
      </w:r>
      <w:r>
        <w:rPr>
          <w:rFonts w:ascii="宋体" w:hAnsi="宋体" w:cs="宋体" w:eastAsia="宋体" w:hint="default"/>
          <w:spacing w:val="-78"/>
          <w:sz w:val="20"/>
          <w:szCs w:val="20"/>
        </w:rPr>
        <w:t> </w:t>
      </w:r>
      <w:r>
        <w:rPr>
          <w:rFonts w:ascii="宋体" w:hAnsi="宋体" w:cs="宋体" w:eastAsia="宋体" w:hint="default"/>
          <w:spacing w:val="21"/>
          <w:sz w:val="20"/>
          <w:szCs w:val="20"/>
        </w:rPr>
        <w:t>和经审计的财务报表的相关内容进行了核对，在所有重大方</w:t>
      </w:r>
      <w:r>
        <w:rPr>
          <w:rFonts w:ascii="宋体" w:hAnsi="宋体" w:cs="宋体" w:eastAsia="宋体" w:hint="default"/>
          <w:spacing w:val="-61"/>
          <w:sz w:val="20"/>
          <w:szCs w:val="20"/>
        </w:rPr>
        <w:t> </w:t>
      </w:r>
      <w:r>
        <w:rPr>
          <w:rFonts w:ascii="宋体" w:hAnsi="宋体" w:cs="宋体" w:eastAsia="宋体" w:hint="default"/>
          <w:sz w:val="20"/>
          <w:szCs w:val="20"/>
        </w:rPr>
        <w:t>面</w:t>
      </w:r>
      <w:r>
        <w:rPr>
          <w:rFonts w:ascii="宋体" w:hAnsi="宋体" w:cs="宋体" w:eastAsia="宋体" w:hint="default"/>
          <w:w w:val="99"/>
          <w:sz w:val="20"/>
          <w:szCs w:val="20"/>
        </w:rPr>
        <w:t> </w:t>
      </w:r>
      <w:r>
        <w:rPr>
          <w:rFonts w:ascii="宋体" w:hAnsi="宋体" w:cs="宋体" w:eastAsia="宋体" w:hint="default"/>
          <w:spacing w:val="12"/>
          <w:sz w:val="20"/>
          <w:szCs w:val="20"/>
        </w:rPr>
        <w:t>没有</w:t>
      </w:r>
      <w:r>
        <w:rPr>
          <w:rFonts w:ascii="宋体" w:hAnsi="宋体" w:cs="宋体" w:eastAsia="宋体" w:hint="default"/>
          <w:spacing w:val="-75"/>
          <w:sz w:val="20"/>
          <w:szCs w:val="20"/>
        </w:rPr>
        <w:t> </w:t>
      </w:r>
      <w:r>
        <w:rPr>
          <w:rFonts w:ascii="宋体" w:hAnsi="宋体" w:cs="宋体" w:eastAsia="宋体" w:hint="default"/>
          <w:sz w:val="20"/>
          <w:szCs w:val="20"/>
        </w:rPr>
        <w:t>发</w:t>
      </w:r>
      <w:r>
        <w:rPr>
          <w:rFonts w:ascii="宋体" w:hAnsi="宋体" w:cs="宋体" w:eastAsia="宋体" w:hint="default"/>
          <w:spacing w:val="-75"/>
          <w:sz w:val="20"/>
          <w:szCs w:val="20"/>
        </w:rPr>
        <w:t> </w:t>
      </w:r>
      <w:r>
        <w:rPr>
          <w:rFonts w:ascii="宋体" w:hAnsi="宋体" w:cs="宋体" w:eastAsia="宋体" w:hint="default"/>
          <w:sz w:val="20"/>
          <w:szCs w:val="20"/>
        </w:rPr>
        <w:t>现</w:t>
      </w:r>
      <w:r>
        <w:rPr>
          <w:rFonts w:ascii="宋体" w:hAnsi="宋体" w:cs="宋体" w:eastAsia="宋体" w:hint="default"/>
          <w:spacing w:val="-75"/>
          <w:sz w:val="20"/>
          <w:szCs w:val="20"/>
        </w:rPr>
        <w:t> </w:t>
      </w:r>
      <w:r>
        <w:rPr>
          <w:rFonts w:ascii="宋体" w:hAnsi="宋体" w:cs="宋体" w:eastAsia="宋体" w:hint="default"/>
          <w:sz w:val="20"/>
          <w:szCs w:val="20"/>
        </w:rPr>
        <w:t>不</w:t>
      </w:r>
      <w:r>
        <w:rPr>
          <w:rFonts w:ascii="宋体" w:hAnsi="宋体" w:cs="宋体" w:eastAsia="宋体" w:hint="default"/>
          <w:spacing w:val="-75"/>
          <w:sz w:val="20"/>
          <w:szCs w:val="20"/>
        </w:rPr>
        <w:t> </w:t>
      </w:r>
      <w:r>
        <w:rPr>
          <w:rFonts w:ascii="宋体" w:hAnsi="宋体" w:cs="宋体" w:eastAsia="宋体" w:hint="default"/>
          <w:sz w:val="20"/>
          <w:szCs w:val="20"/>
        </w:rPr>
        <w:t>一</w:t>
      </w:r>
      <w:r>
        <w:rPr>
          <w:rFonts w:ascii="宋体" w:hAnsi="宋体" w:cs="宋体" w:eastAsia="宋体" w:hint="default"/>
          <w:spacing w:val="-75"/>
          <w:sz w:val="20"/>
          <w:szCs w:val="20"/>
        </w:rPr>
        <w:t> </w:t>
      </w:r>
      <w:r>
        <w:rPr>
          <w:rFonts w:ascii="宋体" w:hAnsi="宋体" w:cs="宋体" w:eastAsia="宋体" w:hint="default"/>
          <w:sz w:val="20"/>
          <w:szCs w:val="20"/>
        </w:rPr>
        <w:t>致</w:t>
      </w:r>
      <w:r>
        <w:rPr>
          <w:rFonts w:ascii="宋体" w:hAnsi="宋体" w:cs="宋体" w:eastAsia="宋体" w:hint="default"/>
          <w:spacing w:val="-75"/>
          <w:sz w:val="20"/>
          <w:szCs w:val="20"/>
        </w:rPr>
        <w:t> </w:t>
      </w:r>
      <w:r>
        <w:rPr>
          <w:rFonts w:ascii="宋体" w:hAnsi="宋体" w:cs="宋体" w:eastAsia="宋体" w:hint="default"/>
          <w:sz w:val="20"/>
          <w:szCs w:val="20"/>
        </w:rPr>
        <w:t>。</w:t>
      </w:r>
      <w:r>
        <w:rPr>
          <w:rFonts w:ascii="宋体" w:hAnsi="宋体" w:cs="宋体" w:eastAsia="宋体" w:hint="default"/>
          <w:spacing w:val="-75"/>
          <w:sz w:val="20"/>
          <w:szCs w:val="20"/>
        </w:rPr>
        <w:t> </w:t>
      </w:r>
      <w:r>
        <w:rPr>
          <w:rFonts w:ascii="宋体" w:hAnsi="宋体" w:cs="宋体" w:eastAsia="宋体" w:hint="default"/>
          <w:sz w:val="20"/>
          <w:szCs w:val="20"/>
        </w:rPr>
        <w:t>除</w:t>
      </w:r>
      <w:r>
        <w:rPr>
          <w:rFonts w:ascii="宋体" w:hAnsi="宋体" w:cs="宋体" w:eastAsia="宋体" w:hint="default"/>
          <w:spacing w:val="-75"/>
          <w:sz w:val="20"/>
          <w:szCs w:val="20"/>
        </w:rPr>
        <w:t> </w:t>
      </w:r>
      <w:r>
        <w:rPr>
          <w:rFonts w:ascii="宋体" w:hAnsi="宋体" w:cs="宋体" w:eastAsia="宋体" w:hint="default"/>
          <w:sz w:val="20"/>
          <w:szCs w:val="20"/>
        </w:rPr>
        <w:t>了</w:t>
      </w:r>
      <w:r>
        <w:rPr>
          <w:rFonts w:ascii="宋体" w:hAnsi="宋体" w:cs="宋体" w:eastAsia="宋体" w:hint="default"/>
          <w:spacing w:val="-75"/>
          <w:sz w:val="20"/>
          <w:szCs w:val="20"/>
        </w:rPr>
        <w:t> </w:t>
      </w:r>
      <w:r>
        <w:rPr>
          <w:rFonts w:ascii="宋体" w:hAnsi="宋体" w:cs="宋体" w:eastAsia="宋体" w:hint="default"/>
          <w:sz w:val="20"/>
          <w:szCs w:val="20"/>
        </w:rPr>
        <w:t>对</w:t>
      </w:r>
      <w:r>
        <w:rPr>
          <w:rFonts w:ascii="宋体" w:hAnsi="宋体" w:cs="宋体" w:eastAsia="宋体" w:hint="default"/>
          <w:spacing w:val="-75"/>
          <w:sz w:val="20"/>
          <w:szCs w:val="20"/>
        </w:rPr>
        <w:t> </w:t>
      </w:r>
      <w:r>
        <w:rPr>
          <w:rFonts w:ascii="宋体" w:hAnsi="宋体" w:cs="宋体" w:eastAsia="宋体" w:hint="default"/>
          <w:sz w:val="20"/>
          <w:szCs w:val="20"/>
        </w:rPr>
        <w:t>农</w:t>
      </w:r>
      <w:r>
        <w:rPr>
          <w:rFonts w:ascii="宋体" w:hAnsi="宋体" w:cs="宋体" w:eastAsia="宋体" w:hint="default"/>
          <w:spacing w:val="-75"/>
          <w:sz w:val="20"/>
          <w:szCs w:val="20"/>
        </w:rPr>
        <w:t> </w:t>
      </w:r>
      <w:r>
        <w:rPr>
          <w:rFonts w:ascii="宋体" w:hAnsi="宋体" w:cs="宋体" w:eastAsia="宋体" w:hint="default"/>
          <w:sz w:val="20"/>
          <w:szCs w:val="20"/>
        </w:rPr>
        <w:t>产</w:t>
      </w:r>
      <w:r>
        <w:rPr>
          <w:rFonts w:ascii="宋体" w:hAnsi="宋体" w:cs="宋体" w:eastAsia="宋体" w:hint="default"/>
          <w:spacing w:val="-75"/>
          <w:sz w:val="20"/>
          <w:szCs w:val="20"/>
        </w:rPr>
        <w:t> </w:t>
      </w:r>
      <w:r>
        <w:rPr>
          <w:rFonts w:ascii="宋体" w:hAnsi="宋体" w:cs="宋体" w:eastAsia="宋体" w:hint="default"/>
          <w:sz w:val="20"/>
          <w:szCs w:val="20"/>
        </w:rPr>
        <w:t>品</w:t>
      </w:r>
      <w:r>
        <w:rPr>
          <w:rFonts w:ascii="宋体" w:hAnsi="宋体" w:cs="宋体" w:eastAsia="宋体" w:hint="default"/>
          <w:spacing w:val="-75"/>
          <w:sz w:val="20"/>
          <w:szCs w:val="20"/>
        </w:rPr>
        <w:t> </w:t>
      </w:r>
      <w:r>
        <w:rPr>
          <w:rFonts w:ascii="宋体" w:hAnsi="宋体" w:cs="宋体" w:eastAsia="宋体" w:hint="default"/>
          <w:sz w:val="20"/>
          <w:szCs w:val="20"/>
        </w:rPr>
        <w:t>公</w:t>
      </w:r>
      <w:r>
        <w:rPr>
          <w:rFonts w:ascii="宋体" w:hAnsi="宋体" w:cs="宋体" w:eastAsia="宋体" w:hint="default"/>
          <w:spacing w:val="-75"/>
          <w:sz w:val="20"/>
          <w:szCs w:val="20"/>
        </w:rPr>
        <w:t> </w:t>
      </w:r>
      <w:r>
        <w:rPr>
          <w:rFonts w:ascii="宋体" w:hAnsi="宋体" w:cs="宋体" w:eastAsia="宋体" w:hint="default"/>
          <w:sz w:val="20"/>
          <w:szCs w:val="20"/>
        </w:rPr>
        <w:t>司</w:t>
      </w:r>
      <w:r>
        <w:rPr>
          <w:rFonts w:ascii="宋体" w:hAnsi="宋体" w:cs="宋体" w:eastAsia="宋体" w:hint="default"/>
          <w:spacing w:val="-75"/>
          <w:sz w:val="20"/>
          <w:szCs w:val="20"/>
        </w:rPr>
        <w:t> </w:t>
      </w:r>
      <w:r>
        <w:rPr>
          <w:rFonts w:ascii="宋体" w:hAnsi="宋体" w:cs="宋体" w:eastAsia="宋体" w:hint="default"/>
          <w:sz w:val="20"/>
          <w:szCs w:val="20"/>
        </w:rPr>
        <w:t>实</w:t>
      </w:r>
      <w:r>
        <w:rPr>
          <w:rFonts w:ascii="宋体" w:hAnsi="宋体" w:cs="宋体" w:eastAsia="宋体" w:hint="default"/>
          <w:spacing w:val="-75"/>
          <w:sz w:val="20"/>
          <w:szCs w:val="20"/>
        </w:rPr>
        <w:t> </w:t>
      </w:r>
      <w:r>
        <w:rPr>
          <w:rFonts w:ascii="宋体" w:hAnsi="宋体" w:cs="宋体" w:eastAsia="宋体" w:hint="default"/>
          <w:sz w:val="20"/>
          <w:szCs w:val="20"/>
        </w:rPr>
        <w:t>施</w:t>
      </w:r>
      <w:r>
        <w:rPr>
          <w:rFonts w:ascii="宋体" w:hAnsi="宋体" w:cs="宋体" w:eastAsia="宋体" w:hint="default"/>
          <w:spacing w:val="-75"/>
          <w:sz w:val="20"/>
          <w:szCs w:val="20"/>
        </w:rPr>
        <w:t> </w:t>
      </w:r>
      <w:r>
        <w:rPr>
          <w:rFonts w:ascii="宋体" w:hAnsi="宋体" w:cs="宋体" w:eastAsia="宋体" w:hint="default"/>
          <w:sz w:val="20"/>
          <w:szCs w:val="20"/>
        </w:rPr>
        <w:t>于</w:t>
      </w:r>
      <w:r>
        <w:rPr>
          <w:rFonts w:ascii="宋体" w:hAnsi="宋体" w:cs="宋体" w:eastAsia="宋体" w:hint="default"/>
          <w:spacing w:val="-10"/>
          <w:sz w:val="20"/>
          <w:szCs w:val="20"/>
        </w:rPr>
        <w:t> </w:t>
      </w:r>
      <w:r>
        <w:rPr>
          <w:rFonts w:ascii="Garamond" w:hAnsi="Garamond" w:cs="Garamond" w:eastAsia="Garamond" w:hint="default"/>
          <w:spacing w:val="8"/>
          <w:sz w:val="20"/>
          <w:szCs w:val="20"/>
        </w:rPr>
        <w:t>2009</w:t>
      </w:r>
      <w:r>
        <w:rPr>
          <w:rFonts w:ascii="Garamond" w:hAnsi="Garamond" w:cs="Garamond" w:eastAsia="Garamond" w:hint="default"/>
          <w:spacing w:val="17"/>
          <w:sz w:val="20"/>
          <w:szCs w:val="20"/>
        </w:rPr>
        <w:t> </w:t>
      </w:r>
      <w:r>
        <w:rPr>
          <w:rFonts w:ascii="宋体" w:hAnsi="宋体" w:cs="宋体" w:eastAsia="宋体" w:hint="default"/>
          <w:spacing w:val="12"/>
          <w:sz w:val="20"/>
          <w:szCs w:val="20"/>
        </w:rPr>
        <w:t>年度</w:t>
      </w:r>
      <w:r>
        <w:rPr>
          <w:rFonts w:ascii="宋体" w:hAnsi="宋体" w:cs="宋体" w:eastAsia="宋体" w:hint="default"/>
          <w:spacing w:val="-73"/>
          <w:sz w:val="20"/>
          <w:szCs w:val="20"/>
        </w:rPr>
        <w:t> </w:t>
      </w:r>
      <w:r>
        <w:rPr>
          <w:rFonts w:ascii="宋体" w:hAnsi="宋体" w:cs="宋体" w:eastAsia="宋体" w:hint="default"/>
          <w:spacing w:val="12"/>
          <w:sz w:val="20"/>
          <w:szCs w:val="20"/>
        </w:rPr>
        <w:t>财务</w:t>
      </w:r>
      <w:r>
        <w:rPr>
          <w:rFonts w:ascii="宋体" w:hAnsi="宋体" w:cs="宋体" w:eastAsia="宋体" w:hint="default"/>
          <w:spacing w:val="-75"/>
          <w:sz w:val="20"/>
          <w:szCs w:val="20"/>
        </w:rPr>
        <w:t> </w:t>
      </w:r>
      <w:r>
        <w:rPr>
          <w:rFonts w:ascii="宋体" w:hAnsi="宋体" w:cs="宋体" w:eastAsia="宋体" w:hint="default"/>
          <w:sz w:val="20"/>
          <w:szCs w:val="20"/>
        </w:rPr>
        <w:t>报</w:t>
      </w:r>
      <w:r>
        <w:rPr>
          <w:rFonts w:ascii="宋体" w:hAnsi="宋体" w:cs="宋体" w:eastAsia="宋体" w:hint="default"/>
          <w:spacing w:val="-75"/>
          <w:sz w:val="20"/>
          <w:szCs w:val="20"/>
        </w:rPr>
        <w:t> </w:t>
      </w:r>
      <w:r>
        <w:rPr>
          <w:rFonts w:ascii="宋体" w:hAnsi="宋体" w:cs="宋体" w:eastAsia="宋体" w:hint="default"/>
          <w:sz w:val="20"/>
          <w:szCs w:val="20"/>
        </w:rPr>
        <w:t>表</w:t>
      </w:r>
      <w:r>
        <w:rPr>
          <w:rFonts w:ascii="宋体" w:hAnsi="宋体" w:cs="宋体" w:eastAsia="宋体" w:hint="default"/>
          <w:spacing w:val="-75"/>
          <w:sz w:val="20"/>
          <w:szCs w:val="20"/>
        </w:rPr>
        <w:t> </w:t>
      </w:r>
      <w:r>
        <w:rPr>
          <w:rFonts w:ascii="宋体" w:hAnsi="宋体" w:cs="宋体" w:eastAsia="宋体" w:hint="default"/>
          <w:sz w:val="20"/>
          <w:szCs w:val="20"/>
        </w:rPr>
        <w:t>审</w:t>
      </w:r>
      <w:r>
        <w:rPr>
          <w:rFonts w:ascii="宋体" w:hAnsi="宋体" w:cs="宋体" w:eastAsia="宋体" w:hint="default"/>
          <w:spacing w:val="-75"/>
          <w:sz w:val="20"/>
          <w:szCs w:val="20"/>
        </w:rPr>
        <w:t> </w:t>
      </w:r>
      <w:r>
        <w:rPr>
          <w:rFonts w:ascii="宋体" w:hAnsi="宋体" w:cs="宋体" w:eastAsia="宋体" w:hint="default"/>
          <w:sz w:val="20"/>
          <w:szCs w:val="20"/>
        </w:rPr>
        <w:t>计</w:t>
      </w:r>
      <w:r>
        <w:rPr>
          <w:rFonts w:ascii="宋体" w:hAnsi="宋体" w:cs="宋体" w:eastAsia="宋体" w:hint="default"/>
          <w:spacing w:val="-75"/>
          <w:sz w:val="20"/>
          <w:szCs w:val="20"/>
        </w:rPr>
        <w:t> </w:t>
      </w:r>
      <w:r>
        <w:rPr>
          <w:rFonts w:ascii="宋体" w:hAnsi="宋体" w:cs="宋体" w:eastAsia="宋体" w:hint="default"/>
          <w:sz w:val="20"/>
          <w:szCs w:val="20"/>
        </w:rPr>
        <w:t>中</w:t>
      </w:r>
      <w:r>
        <w:rPr>
          <w:rFonts w:ascii="宋体" w:hAnsi="宋体" w:cs="宋体" w:eastAsia="宋体" w:hint="default"/>
          <w:spacing w:val="-75"/>
          <w:sz w:val="20"/>
          <w:szCs w:val="20"/>
        </w:rPr>
        <w:t> </w:t>
      </w:r>
      <w:r>
        <w:rPr>
          <w:rFonts w:ascii="宋体" w:hAnsi="宋体" w:cs="宋体" w:eastAsia="宋体" w:hint="default"/>
          <w:sz w:val="20"/>
          <w:szCs w:val="20"/>
        </w:rPr>
        <w:t>所</w:t>
      </w:r>
      <w:r>
        <w:rPr>
          <w:rFonts w:ascii="宋体" w:hAnsi="宋体" w:cs="宋体" w:eastAsia="宋体" w:hint="default"/>
          <w:spacing w:val="-75"/>
          <w:sz w:val="20"/>
          <w:szCs w:val="20"/>
        </w:rPr>
        <w:t> </w:t>
      </w:r>
      <w:r>
        <w:rPr>
          <w:rFonts w:ascii="宋体" w:hAnsi="宋体" w:cs="宋体" w:eastAsia="宋体" w:hint="default"/>
          <w:sz w:val="20"/>
          <w:szCs w:val="20"/>
        </w:rPr>
        <w:t>执</w:t>
      </w:r>
      <w:r>
        <w:rPr>
          <w:rFonts w:ascii="宋体" w:hAnsi="宋体" w:cs="宋体" w:eastAsia="宋体" w:hint="default"/>
          <w:spacing w:val="-75"/>
          <w:sz w:val="20"/>
          <w:szCs w:val="20"/>
        </w:rPr>
        <w:t> </w:t>
      </w:r>
      <w:r>
        <w:rPr>
          <w:rFonts w:ascii="宋体" w:hAnsi="宋体" w:cs="宋体" w:eastAsia="宋体" w:hint="default"/>
          <w:sz w:val="20"/>
          <w:szCs w:val="20"/>
        </w:rPr>
        <w:t>行</w:t>
      </w:r>
      <w:r>
        <w:rPr>
          <w:rFonts w:ascii="宋体" w:hAnsi="宋体" w:cs="宋体" w:eastAsia="宋体" w:hint="default"/>
          <w:spacing w:val="-75"/>
          <w:sz w:val="20"/>
          <w:szCs w:val="20"/>
        </w:rPr>
        <w:t> </w:t>
      </w:r>
      <w:r>
        <w:rPr>
          <w:rFonts w:ascii="宋体" w:hAnsi="宋体" w:cs="宋体" w:eastAsia="宋体" w:hint="default"/>
          <w:sz w:val="20"/>
          <w:szCs w:val="20"/>
        </w:rPr>
        <w:t>的</w:t>
      </w:r>
      <w:r>
        <w:rPr>
          <w:rFonts w:ascii="宋体" w:hAnsi="宋体" w:cs="宋体" w:eastAsia="宋体" w:hint="default"/>
          <w:spacing w:val="-75"/>
          <w:sz w:val="20"/>
          <w:szCs w:val="20"/>
        </w:rPr>
        <w:t> </w:t>
      </w:r>
      <w:r>
        <w:rPr>
          <w:rFonts w:ascii="宋体" w:hAnsi="宋体" w:cs="宋体" w:eastAsia="宋体" w:hint="default"/>
          <w:sz w:val="20"/>
          <w:szCs w:val="20"/>
        </w:rPr>
        <w:t>对</w:t>
      </w:r>
      <w:r>
        <w:rPr>
          <w:rFonts w:ascii="宋体" w:hAnsi="宋体" w:cs="宋体" w:eastAsia="宋体" w:hint="default"/>
          <w:spacing w:val="-75"/>
          <w:sz w:val="20"/>
          <w:szCs w:val="20"/>
        </w:rPr>
        <w:t> </w:t>
      </w:r>
      <w:r>
        <w:rPr>
          <w:rFonts w:ascii="宋体" w:hAnsi="宋体" w:cs="宋体" w:eastAsia="宋体" w:hint="default"/>
          <w:sz w:val="20"/>
          <w:szCs w:val="20"/>
        </w:rPr>
        <w:t>关</w:t>
      </w:r>
      <w:r>
        <w:rPr>
          <w:rFonts w:ascii="宋体" w:hAnsi="宋体" w:cs="宋体" w:eastAsia="宋体" w:hint="default"/>
          <w:spacing w:val="-75"/>
          <w:sz w:val="20"/>
          <w:szCs w:val="20"/>
        </w:rPr>
        <w:t> </w:t>
      </w:r>
      <w:r>
        <w:rPr>
          <w:rFonts w:ascii="宋体" w:hAnsi="宋体" w:cs="宋体" w:eastAsia="宋体" w:hint="default"/>
          <w:sz w:val="20"/>
          <w:szCs w:val="20"/>
        </w:rPr>
        <w:t>联</w:t>
      </w:r>
      <w:r>
        <w:rPr>
          <w:rFonts w:ascii="宋体" w:hAnsi="宋体" w:cs="宋体" w:eastAsia="宋体" w:hint="default"/>
          <w:w w:val="99"/>
          <w:sz w:val="20"/>
          <w:szCs w:val="20"/>
        </w:rPr>
        <w:t> </w:t>
      </w:r>
      <w:r>
        <w:rPr>
          <w:rFonts w:ascii="宋体" w:hAnsi="宋体" w:cs="宋体" w:eastAsia="宋体" w:hint="default"/>
          <w:spacing w:val="9"/>
          <w:sz w:val="20"/>
          <w:szCs w:val="20"/>
        </w:rPr>
        <w:t>方往</w:t>
      </w:r>
      <w:r>
        <w:rPr>
          <w:rFonts w:ascii="宋体" w:hAnsi="宋体" w:cs="宋体" w:eastAsia="宋体" w:hint="default"/>
          <w:spacing w:val="-86"/>
          <w:sz w:val="20"/>
          <w:szCs w:val="20"/>
        </w:rPr>
        <w:t> </w:t>
      </w:r>
      <w:r>
        <w:rPr>
          <w:rFonts w:ascii="宋体" w:hAnsi="宋体" w:cs="宋体" w:eastAsia="宋体" w:hint="default"/>
          <w:spacing w:val="21"/>
          <w:sz w:val="20"/>
          <w:szCs w:val="20"/>
        </w:rPr>
        <w:t>来的相关审计程序外，</w:t>
      </w:r>
      <w:r>
        <w:rPr>
          <w:rFonts w:ascii="宋体" w:hAnsi="宋体" w:cs="宋体" w:eastAsia="宋体" w:hint="default"/>
          <w:spacing w:val="-87"/>
          <w:sz w:val="20"/>
          <w:szCs w:val="20"/>
        </w:rPr>
        <w:t> </w:t>
      </w:r>
      <w:r>
        <w:rPr>
          <w:rFonts w:ascii="宋体" w:hAnsi="宋体" w:cs="宋体" w:eastAsia="宋体" w:hint="default"/>
          <w:spacing w:val="23"/>
          <w:sz w:val="20"/>
          <w:szCs w:val="20"/>
        </w:rPr>
        <w:t>我们并未对专项说明所载资料执行额外的审计或其他程序。</w:t>
      </w:r>
    </w:p>
    <w:p>
      <w:pPr>
        <w:spacing w:line="240" w:lineRule="auto" w:before="3"/>
        <w:rPr>
          <w:rFonts w:ascii="宋体" w:hAnsi="宋体" w:cs="宋体" w:eastAsia="宋体" w:hint="default"/>
          <w:sz w:val="27"/>
          <w:szCs w:val="27"/>
        </w:rPr>
      </w:pPr>
    </w:p>
    <w:p>
      <w:pPr>
        <w:spacing w:line="336" w:lineRule="auto" w:before="0"/>
        <w:ind w:left="300" w:right="154" w:firstLine="528"/>
        <w:jc w:val="both"/>
        <w:rPr>
          <w:rFonts w:ascii="宋体" w:hAnsi="宋体" w:cs="宋体" w:eastAsia="宋体" w:hint="default"/>
          <w:sz w:val="20"/>
          <w:szCs w:val="20"/>
        </w:rPr>
      </w:pPr>
      <w:r>
        <w:rPr>
          <w:rFonts w:ascii="宋体" w:hAnsi="宋体" w:cs="宋体" w:eastAsia="宋体" w:hint="default"/>
          <w:spacing w:val="9"/>
          <w:sz w:val="20"/>
          <w:szCs w:val="20"/>
        </w:rPr>
        <w:t>为了</w:t>
      </w:r>
      <w:r>
        <w:rPr>
          <w:rFonts w:ascii="宋体" w:hAnsi="宋体" w:cs="宋体" w:eastAsia="宋体" w:hint="default"/>
          <w:spacing w:val="-75"/>
          <w:sz w:val="20"/>
          <w:szCs w:val="20"/>
        </w:rPr>
        <w:t> </w:t>
      </w:r>
      <w:r>
        <w:rPr>
          <w:rFonts w:ascii="宋体" w:hAnsi="宋体" w:cs="宋体" w:eastAsia="宋体" w:hint="default"/>
          <w:spacing w:val="19"/>
          <w:sz w:val="20"/>
          <w:szCs w:val="20"/>
        </w:rPr>
        <w:t>更好地理解</w:t>
      </w:r>
      <w:r>
        <w:rPr>
          <w:rFonts w:ascii="宋体" w:hAnsi="宋体" w:cs="宋体" w:eastAsia="宋体" w:hint="default"/>
          <w:spacing w:val="-16"/>
          <w:sz w:val="20"/>
          <w:szCs w:val="20"/>
        </w:rPr>
        <w:t> </w:t>
      </w:r>
      <w:r>
        <w:rPr>
          <w:rFonts w:ascii="Garamond" w:hAnsi="Garamond" w:cs="Garamond" w:eastAsia="Garamond" w:hint="default"/>
          <w:spacing w:val="9"/>
          <w:sz w:val="20"/>
          <w:szCs w:val="20"/>
        </w:rPr>
        <w:t>2009</w:t>
      </w:r>
      <w:r>
        <w:rPr>
          <w:rFonts w:ascii="Garamond" w:hAnsi="Garamond" w:cs="Garamond" w:eastAsia="Garamond" w:hint="default"/>
          <w:spacing w:val="16"/>
          <w:sz w:val="20"/>
          <w:szCs w:val="20"/>
        </w:rPr>
        <w:t> </w:t>
      </w:r>
      <w:r>
        <w:rPr>
          <w:rFonts w:ascii="宋体" w:hAnsi="宋体" w:cs="宋体" w:eastAsia="宋体" w:hint="default"/>
          <w:spacing w:val="9"/>
          <w:sz w:val="20"/>
          <w:szCs w:val="20"/>
        </w:rPr>
        <w:t>年度</w:t>
      </w:r>
      <w:r>
        <w:rPr>
          <w:rFonts w:ascii="宋体" w:hAnsi="宋体" w:cs="宋体" w:eastAsia="宋体" w:hint="default"/>
          <w:spacing w:val="-70"/>
          <w:sz w:val="20"/>
          <w:szCs w:val="20"/>
        </w:rPr>
        <w:t> </w:t>
      </w:r>
      <w:r>
        <w:rPr>
          <w:rFonts w:ascii="宋体" w:hAnsi="宋体" w:cs="宋体" w:eastAsia="宋体" w:hint="default"/>
          <w:spacing w:val="9"/>
          <w:sz w:val="20"/>
          <w:szCs w:val="20"/>
        </w:rPr>
        <w:t>农产</w:t>
      </w:r>
      <w:r>
        <w:rPr>
          <w:rFonts w:ascii="宋体" w:hAnsi="宋体" w:cs="宋体" w:eastAsia="宋体" w:hint="default"/>
          <w:spacing w:val="-75"/>
          <w:sz w:val="20"/>
          <w:szCs w:val="20"/>
        </w:rPr>
        <w:t> </w:t>
      </w:r>
      <w:r>
        <w:rPr>
          <w:rFonts w:ascii="宋体" w:hAnsi="宋体" w:cs="宋体" w:eastAsia="宋体" w:hint="default"/>
          <w:spacing w:val="22"/>
          <w:sz w:val="20"/>
          <w:szCs w:val="20"/>
        </w:rPr>
        <w:t>品公司与控股股东及其他关联方占用上市公司资金</w:t>
      </w:r>
      <w:r>
        <w:rPr>
          <w:rFonts w:ascii="宋体" w:hAnsi="宋体" w:cs="宋体" w:eastAsia="宋体" w:hint="default"/>
          <w:w w:val="99"/>
          <w:sz w:val="20"/>
          <w:szCs w:val="20"/>
        </w:rPr>
        <w:t> </w:t>
      </w:r>
      <w:r>
        <w:rPr>
          <w:rFonts w:ascii="宋体" w:hAnsi="宋体" w:cs="宋体" w:eastAsia="宋体" w:hint="default"/>
          <w:spacing w:val="9"/>
          <w:sz w:val="20"/>
          <w:szCs w:val="20"/>
        </w:rPr>
        <w:t>情况</w:t>
      </w:r>
      <w:r>
        <w:rPr>
          <w:rFonts w:ascii="宋体" w:hAnsi="宋体" w:cs="宋体" w:eastAsia="宋体" w:hint="default"/>
          <w:spacing w:val="-77"/>
          <w:sz w:val="20"/>
          <w:szCs w:val="20"/>
        </w:rPr>
        <w:t> </w:t>
      </w:r>
      <w:r>
        <w:rPr>
          <w:rFonts w:ascii="宋体" w:hAnsi="宋体" w:cs="宋体" w:eastAsia="宋体" w:hint="default"/>
          <w:sz w:val="20"/>
          <w:szCs w:val="20"/>
        </w:rPr>
        <w:t>，</w:t>
      </w:r>
      <w:r>
        <w:rPr>
          <w:rFonts w:ascii="宋体" w:hAnsi="宋体" w:cs="宋体" w:eastAsia="宋体" w:hint="default"/>
          <w:spacing w:val="-79"/>
          <w:sz w:val="20"/>
          <w:szCs w:val="20"/>
        </w:rPr>
        <w:t> </w:t>
      </w:r>
      <w:r>
        <w:rPr>
          <w:rFonts w:ascii="宋体" w:hAnsi="宋体" w:cs="宋体" w:eastAsia="宋体" w:hint="default"/>
          <w:spacing w:val="22"/>
          <w:sz w:val="20"/>
          <w:szCs w:val="20"/>
        </w:rPr>
        <w:t>本专项说明应当与已审计的</w:t>
      </w:r>
      <w:r>
        <w:rPr>
          <w:rFonts w:ascii="宋体" w:hAnsi="宋体" w:cs="宋体" w:eastAsia="宋体" w:hint="default"/>
          <w:spacing w:val="-67"/>
          <w:sz w:val="20"/>
          <w:szCs w:val="20"/>
        </w:rPr>
        <w:t> </w:t>
      </w:r>
      <w:r>
        <w:rPr>
          <w:rFonts w:ascii="宋体" w:hAnsi="宋体" w:cs="宋体" w:eastAsia="宋体" w:hint="default"/>
          <w:spacing w:val="9"/>
          <w:sz w:val="20"/>
          <w:szCs w:val="20"/>
        </w:rPr>
        <w:t>财务</w:t>
      </w:r>
      <w:r>
        <w:rPr>
          <w:rFonts w:ascii="宋体" w:hAnsi="宋体" w:cs="宋体" w:eastAsia="宋体" w:hint="default"/>
          <w:spacing w:val="-73"/>
          <w:sz w:val="20"/>
          <w:szCs w:val="20"/>
        </w:rPr>
        <w:t> </w:t>
      </w:r>
      <w:r>
        <w:rPr>
          <w:rFonts w:ascii="宋体" w:hAnsi="宋体" w:cs="宋体" w:eastAsia="宋体" w:hint="default"/>
          <w:spacing w:val="9"/>
          <w:sz w:val="20"/>
          <w:szCs w:val="20"/>
        </w:rPr>
        <w:t>报表</w:t>
      </w:r>
      <w:r>
        <w:rPr>
          <w:rFonts w:ascii="宋体" w:hAnsi="宋体" w:cs="宋体" w:eastAsia="宋体" w:hint="default"/>
          <w:spacing w:val="-77"/>
          <w:sz w:val="20"/>
          <w:szCs w:val="20"/>
        </w:rPr>
        <w:t> </w:t>
      </w:r>
      <w:r>
        <w:rPr>
          <w:rFonts w:ascii="宋体" w:hAnsi="宋体" w:cs="宋体" w:eastAsia="宋体" w:hint="default"/>
          <w:spacing w:val="19"/>
          <w:sz w:val="20"/>
          <w:szCs w:val="20"/>
        </w:rPr>
        <w:t>一并阅读。</w:t>
      </w:r>
    </w:p>
    <w:p>
      <w:pPr>
        <w:spacing w:line="240" w:lineRule="auto" w:before="2"/>
        <w:rPr>
          <w:rFonts w:ascii="宋体" w:hAnsi="宋体" w:cs="宋体" w:eastAsia="宋体" w:hint="default"/>
          <w:sz w:val="28"/>
          <w:szCs w:val="28"/>
        </w:rPr>
      </w:pPr>
    </w:p>
    <w:p>
      <w:pPr>
        <w:spacing w:before="0"/>
        <w:ind w:left="300" w:right="90" w:firstLine="0"/>
        <w:jc w:val="left"/>
        <w:rPr>
          <w:rFonts w:ascii="宋体" w:hAnsi="宋体" w:cs="宋体" w:eastAsia="宋体" w:hint="default"/>
          <w:sz w:val="20"/>
          <w:szCs w:val="20"/>
        </w:rPr>
      </w:pPr>
      <w:r>
        <w:rPr>
          <w:rFonts w:ascii="宋体" w:hAnsi="宋体" w:cs="宋体" w:eastAsia="宋体" w:hint="default"/>
          <w:spacing w:val="12"/>
          <w:sz w:val="20"/>
          <w:szCs w:val="20"/>
        </w:rPr>
        <w:t>附件</w:t>
      </w:r>
      <w:r>
        <w:rPr>
          <w:rFonts w:ascii="宋体" w:hAnsi="宋体" w:cs="宋体" w:eastAsia="宋体" w:hint="default"/>
          <w:spacing w:val="-75"/>
          <w:sz w:val="20"/>
          <w:szCs w:val="20"/>
        </w:rPr>
        <w:t> </w:t>
      </w:r>
      <w:r>
        <w:rPr>
          <w:rFonts w:ascii="宋体" w:hAnsi="宋体" w:cs="宋体" w:eastAsia="宋体" w:hint="default"/>
          <w:sz w:val="20"/>
          <w:szCs w:val="20"/>
        </w:rPr>
        <w:t>：</w:t>
      </w:r>
      <w:r>
        <w:rPr>
          <w:rFonts w:ascii="宋体" w:hAnsi="宋体" w:cs="宋体" w:eastAsia="宋体" w:hint="default"/>
          <w:spacing w:val="45"/>
          <w:sz w:val="20"/>
          <w:szCs w:val="20"/>
        </w:rPr>
        <w:t> </w:t>
      </w:r>
      <w:r>
        <w:rPr>
          <w:rFonts w:ascii="宋体" w:hAnsi="宋体" w:cs="宋体" w:eastAsia="宋体" w:hint="default"/>
          <w:spacing w:val="9"/>
          <w:sz w:val="20"/>
          <w:szCs w:val="20"/>
        </w:rPr>
        <w:t>农产</w:t>
      </w:r>
      <w:r>
        <w:rPr>
          <w:rFonts w:ascii="宋体" w:hAnsi="宋体" w:cs="宋体" w:eastAsia="宋体" w:hint="default"/>
          <w:spacing w:val="-75"/>
          <w:sz w:val="20"/>
          <w:szCs w:val="20"/>
        </w:rPr>
        <w:t> </w:t>
      </w:r>
      <w:r>
        <w:rPr>
          <w:rFonts w:ascii="宋体" w:hAnsi="宋体" w:cs="宋体" w:eastAsia="宋体" w:hint="default"/>
          <w:spacing w:val="16"/>
          <w:sz w:val="20"/>
          <w:szCs w:val="20"/>
        </w:rPr>
        <w:t>品公司</w:t>
      </w:r>
      <w:r>
        <w:rPr>
          <w:rFonts w:ascii="宋体" w:hAnsi="宋体" w:cs="宋体" w:eastAsia="宋体" w:hint="default"/>
          <w:spacing w:val="-16"/>
          <w:sz w:val="20"/>
          <w:szCs w:val="20"/>
        </w:rPr>
        <w:t> </w:t>
      </w:r>
      <w:r>
        <w:rPr>
          <w:rFonts w:ascii="Garamond" w:hAnsi="Garamond" w:cs="Garamond" w:eastAsia="Garamond" w:hint="default"/>
          <w:spacing w:val="8"/>
          <w:sz w:val="20"/>
          <w:szCs w:val="20"/>
        </w:rPr>
        <w:t>2009</w:t>
      </w:r>
      <w:r>
        <w:rPr>
          <w:rFonts w:ascii="Garamond" w:hAnsi="Garamond" w:cs="Garamond" w:eastAsia="Garamond" w:hint="default"/>
          <w:spacing w:val="15"/>
          <w:sz w:val="20"/>
          <w:szCs w:val="20"/>
        </w:rPr>
        <w:t> </w:t>
      </w:r>
      <w:r>
        <w:rPr>
          <w:rFonts w:ascii="宋体" w:hAnsi="宋体" w:cs="宋体" w:eastAsia="宋体" w:hint="default"/>
          <w:spacing w:val="9"/>
          <w:sz w:val="20"/>
          <w:szCs w:val="20"/>
        </w:rPr>
        <w:t>年度</w:t>
      </w:r>
      <w:r>
        <w:rPr>
          <w:rFonts w:ascii="宋体" w:hAnsi="宋体" w:cs="宋体" w:eastAsia="宋体" w:hint="default"/>
          <w:spacing w:val="-70"/>
          <w:sz w:val="20"/>
          <w:szCs w:val="20"/>
        </w:rPr>
        <w:t> </w:t>
      </w:r>
      <w:r>
        <w:rPr>
          <w:rFonts w:ascii="宋体" w:hAnsi="宋体" w:cs="宋体" w:eastAsia="宋体" w:hint="default"/>
          <w:spacing w:val="9"/>
          <w:sz w:val="20"/>
          <w:szCs w:val="20"/>
        </w:rPr>
        <w:t>控股</w:t>
      </w:r>
      <w:r>
        <w:rPr>
          <w:rFonts w:ascii="宋体" w:hAnsi="宋体" w:cs="宋体" w:eastAsia="宋体" w:hint="default"/>
          <w:spacing w:val="-70"/>
          <w:sz w:val="20"/>
          <w:szCs w:val="20"/>
        </w:rPr>
        <w:t> </w:t>
      </w:r>
      <w:r>
        <w:rPr>
          <w:rFonts w:ascii="宋体" w:hAnsi="宋体" w:cs="宋体" w:eastAsia="宋体" w:hint="default"/>
          <w:spacing w:val="9"/>
          <w:sz w:val="20"/>
          <w:szCs w:val="20"/>
        </w:rPr>
        <w:t>股东</w:t>
      </w:r>
      <w:r>
        <w:rPr>
          <w:rFonts w:ascii="宋体" w:hAnsi="宋体" w:cs="宋体" w:eastAsia="宋体" w:hint="default"/>
          <w:spacing w:val="-75"/>
          <w:sz w:val="20"/>
          <w:szCs w:val="20"/>
        </w:rPr>
        <w:t> </w:t>
      </w:r>
      <w:r>
        <w:rPr>
          <w:rFonts w:ascii="宋体" w:hAnsi="宋体" w:cs="宋体" w:eastAsia="宋体" w:hint="default"/>
          <w:spacing w:val="22"/>
          <w:sz w:val="20"/>
          <w:szCs w:val="20"/>
        </w:rPr>
        <w:t>及其他关联方占用上市公司资金情况汇总表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tabs>
          <w:tab w:pos="6028" w:val="left" w:leader="none"/>
        </w:tabs>
        <w:spacing w:line="604" w:lineRule="auto" w:before="0"/>
        <w:ind w:left="2059" w:right="1344" w:hanging="615"/>
        <w:jc w:val="left"/>
        <w:rPr>
          <w:rFonts w:ascii="宋体" w:hAnsi="宋体" w:cs="宋体" w:eastAsia="宋体" w:hint="default"/>
          <w:sz w:val="20"/>
          <w:szCs w:val="20"/>
        </w:rPr>
      </w:pPr>
      <w:r>
        <w:rPr>
          <w:rFonts w:ascii="宋体" w:hAnsi="宋体" w:cs="宋体" w:eastAsia="宋体" w:hint="default"/>
          <w:spacing w:val="14"/>
          <w:w w:val="95"/>
          <w:sz w:val="20"/>
          <w:szCs w:val="20"/>
        </w:rPr>
        <w:t>深圳南方民和会计师事务所</w:t>
        <w:tab/>
      </w:r>
      <w:r>
        <w:rPr>
          <w:rFonts w:ascii="宋体" w:hAnsi="宋体" w:cs="宋体" w:eastAsia="宋体" w:hint="default"/>
          <w:spacing w:val="13"/>
          <w:sz w:val="20"/>
          <w:szCs w:val="20"/>
        </w:rPr>
        <w:t>中国注册会计师</w:t>
      </w:r>
      <w:r>
        <w:rPr>
          <w:rFonts w:ascii="宋体" w:hAnsi="宋体" w:cs="宋体" w:eastAsia="宋体" w:hint="default"/>
          <w:w w:val="99"/>
          <w:sz w:val="20"/>
          <w:szCs w:val="20"/>
        </w:rPr>
        <w:t> </w:t>
      </w:r>
      <w:r>
        <w:rPr>
          <w:rFonts w:ascii="宋体" w:hAnsi="宋体" w:cs="宋体" w:eastAsia="宋体" w:hint="default"/>
          <w:spacing w:val="12"/>
          <w:w w:val="95"/>
          <w:sz w:val="20"/>
          <w:szCs w:val="20"/>
        </w:rPr>
        <w:t>有限责任公司</w:t>
        <w:tab/>
      </w:r>
      <w:r>
        <w:rPr>
          <w:rFonts w:ascii="宋体" w:hAnsi="宋体" w:cs="宋体" w:eastAsia="宋体" w:hint="default"/>
          <w:spacing w:val="9"/>
          <w:sz w:val="20"/>
          <w:szCs w:val="20"/>
        </w:rPr>
        <w:t>唐乐民</w:t>
      </w:r>
    </w:p>
    <w:p>
      <w:pPr>
        <w:spacing w:before="94"/>
        <w:ind w:left="0" w:right="1344" w:firstLine="0"/>
        <w:jc w:val="right"/>
        <w:rPr>
          <w:rFonts w:ascii="宋体" w:hAnsi="宋体" w:cs="宋体" w:eastAsia="宋体" w:hint="default"/>
          <w:sz w:val="20"/>
          <w:szCs w:val="20"/>
        </w:rPr>
      </w:pPr>
      <w:r>
        <w:rPr>
          <w:rFonts w:ascii="宋体" w:hAnsi="宋体" w:cs="宋体" w:eastAsia="宋体" w:hint="default"/>
          <w:spacing w:val="13"/>
          <w:w w:val="95"/>
          <w:sz w:val="20"/>
          <w:szCs w:val="20"/>
        </w:rPr>
        <w:t>中国注册会计师</w:t>
      </w:r>
      <w:r>
        <w:rPr>
          <w:rFonts w:ascii="宋体" w:hAnsi="宋体" w:cs="宋体" w:eastAsia="宋体" w:hint="default"/>
          <w:spacing w:val="13"/>
          <w:sz w:val="20"/>
          <w:szCs w:val="20"/>
        </w:rPr>
      </w:r>
    </w:p>
    <w:p>
      <w:pPr>
        <w:spacing w:after="0"/>
        <w:jc w:val="right"/>
        <w:rPr>
          <w:rFonts w:ascii="宋体" w:hAnsi="宋体" w:cs="宋体" w:eastAsia="宋体" w:hint="default"/>
          <w:sz w:val="20"/>
          <w:szCs w:val="20"/>
        </w:rPr>
        <w:sectPr>
          <w:headerReference w:type="default" r:id="rId129"/>
          <w:footerReference w:type="default" r:id="rId130"/>
          <w:pgSz w:w="11910" w:h="16840"/>
          <w:pgMar w:header="0" w:footer="1095" w:top="1240" w:bottom="1280" w:left="1680" w:right="1360"/>
          <w:pgNumType w:start="68"/>
        </w:sectPr>
      </w:pPr>
    </w:p>
    <w:p>
      <w:pPr>
        <w:spacing w:before="8"/>
        <w:ind w:left="0" w:right="1888" w:firstLine="0"/>
        <w:jc w:val="right"/>
        <w:rPr>
          <w:rFonts w:ascii="宋体" w:hAnsi="宋体" w:cs="宋体" w:eastAsia="宋体" w:hint="default"/>
          <w:sz w:val="20"/>
          <w:szCs w:val="20"/>
        </w:rPr>
      </w:pPr>
      <w:r>
        <w:rPr>
          <w:rFonts w:ascii="宋体" w:hAnsi="宋体" w:cs="宋体" w:eastAsia="宋体" w:hint="default"/>
          <w:spacing w:val="9"/>
          <w:w w:val="95"/>
          <w:sz w:val="20"/>
          <w:szCs w:val="20"/>
        </w:rPr>
        <w:t>周武重</w:t>
      </w:r>
      <w:r>
        <w:rPr>
          <w:rFonts w:ascii="宋体" w:hAnsi="宋体" w:cs="宋体" w:eastAsia="宋体" w:hint="default"/>
          <w:spacing w:val="9"/>
          <w:sz w:val="20"/>
          <w:szCs w:val="20"/>
        </w:rPr>
      </w:r>
    </w:p>
    <w:p>
      <w:pPr>
        <w:spacing w:line="240" w:lineRule="auto" w:before="0"/>
        <w:rPr>
          <w:rFonts w:ascii="宋体" w:hAnsi="宋体" w:cs="宋体" w:eastAsia="宋体" w:hint="default"/>
          <w:sz w:val="20"/>
          <w:szCs w:val="20"/>
        </w:rPr>
      </w:pPr>
    </w:p>
    <w:p>
      <w:pPr>
        <w:tabs>
          <w:tab w:pos="6081" w:val="left" w:leader="none"/>
        </w:tabs>
        <w:spacing w:before="136"/>
        <w:ind w:left="2167" w:right="0" w:firstLine="0"/>
        <w:jc w:val="left"/>
        <w:rPr>
          <w:rFonts w:ascii="宋体" w:hAnsi="宋体" w:cs="宋体" w:eastAsia="宋体" w:hint="default"/>
          <w:sz w:val="20"/>
          <w:szCs w:val="20"/>
        </w:rPr>
      </w:pPr>
      <w:r>
        <w:rPr>
          <w:rFonts w:ascii="宋体" w:hAnsi="宋体" w:cs="宋体" w:eastAsia="宋体" w:hint="default"/>
          <w:spacing w:val="6"/>
          <w:sz w:val="20"/>
          <w:szCs w:val="20"/>
        </w:rPr>
        <w:t>中国 </w:t>
      </w:r>
      <w:r>
        <w:rPr>
          <w:rFonts w:ascii="Garamond" w:hAnsi="Garamond" w:cs="Garamond" w:eastAsia="Garamond" w:hint="default"/>
          <w:sz w:val="20"/>
          <w:szCs w:val="20"/>
        </w:rPr>
        <w:t>.   </w:t>
      </w:r>
      <w:r>
        <w:rPr>
          <w:rFonts w:ascii="宋体" w:hAnsi="宋体" w:cs="宋体" w:eastAsia="宋体" w:hint="default"/>
          <w:spacing w:val="6"/>
          <w:sz w:val="20"/>
          <w:szCs w:val="20"/>
        </w:rPr>
        <w:t>深圳</w:t>
        <w:tab/>
      </w:r>
      <w:r>
        <w:rPr>
          <w:rFonts w:ascii="Garamond" w:hAnsi="Garamond" w:cs="Garamond" w:eastAsia="Garamond" w:hint="default"/>
          <w:spacing w:val="5"/>
          <w:sz w:val="20"/>
          <w:szCs w:val="20"/>
        </w:rPr>
        <w:t>2010 </w:t>
      </w:r>
      <w:r>
        <w:rPr>
          <w:rFonts w:ascii="宋体" w:hAnsi="宋体" w:cs="宋体" w:eastAsia="宋体" w:hint="default"/>
          <w:sz w:val="20"/>
          <w:szCs w:val="20"/>
        </w:rPr>
        <w:t>年 </w:t>
      </w:r>
      <w:r>
        <w:rPr>
          <w:rFonts w:ascii="Garamond" w:hAnsi="Garamond" w:cs="Garamond" w:eastAsia="Garamond" w:hint="default"/>
          <w:sz w:val="20"/>
          <w:szCs w:val="20"/>
        </w:rPr>
        <w:t>4 </w:t>
      </w:r>
      <w:r>
        <w:rPr>
          <w:rFonts w:ascii="宋体" w:hAnsi="宋体" w:cs="宋体" w:eastAsia="宋体" w:hint="default"/>
          <w:sz w:val="20"/>
          <w:szCs w:val="20"/>
        </w:rPr>
        <w:t>月 </w:t>
      </w:r>
      <w:r>
        <w:rPr>
          <w:rFonts w:ascii="Garamond" w:hAnsi="Garamond" w:cs="Garamond" w:eastAsia="Garamond" w:hint="default"/>
          <w:spacing w:val="2"/>
          <w:sz w:val="20"/>
          <w:szCs w:val="20"/>
        </w:rPr>
        <w:t>20</w:t>
      </w:r>
      <w:r>
        <w:rPr>
          <w:rFonts w:ascii="Garamond" w:hAnsi="Garamond" w:cs="Garamond" w:eastAsia="Garamond" w:hint="default"/>
          <w:spacing w:val="-26"/>
          <w:sz w:val="20"/>
          <w:szCs w:val="20"/>
        </w:rPr>
        <w:t> </w:t>
      </w:r>
      <w:r>
        <w:rPr>
          <w:rFonts w:ascii="宋体" w:hAnsi="宋体" w:cs="宋体" w:eastAsia="宋体" w:hint="default"/>
          <w:sz w:val="20"/>
          <w:szCs w:val="20"/>
        </w:rPr>
        <w:t>日</w:t>
      </w:r>
    </w:p>
    <w:p>
      <w:pPr>
        <w:spacing w:after="0"/>
        <w:jc w:val="left"/>
        <w:rPr>
          <w:rFonts w:ascii="宋体" w:hAnsi="宋体" w:cs="宋体" w:eastAsia="宋体" w:hint="default"/>
          <w:sz w:val="20"/>
          <w:szCs w:val="20"/>
        </w:rPr>
        <w:sectPr>
          <w:headerReference w:type="default" r:id="rId131"/>
          <w:footerReference w:type="default" r:id="rId132"/>
          <w:pgSz w:w="11910" w:h="16840"/>
          <w:pgMar w:header="0" w:footer="1095" w:top="1360" w:bottom="1280" w:left="1680" w:right="1680"/>
          <w:pgNumType w:start="69"/>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2"/>
        <w:spacing w:line="240" w:lineRule="auto"/>
        <w:ind w:left="1527" w:right="1450"/>
        <w:jc w:val="left"/>
      </w:pPr>
      <w:r>
        <w:rPr/>
        <w:t>深圳市农产品股份有限公司</w:t>
      </w:r>
      <w:r>
        <w:rPr>
          <w:spacing w:val="-85"/>
        </w:rPr>
        <w:t> </w:t>
      </w:r>
      <w:r>
        <w:rPr/>
        <w:t>2009</w:t>
      </w:r>
      <w:r>
        <w:rPr>
          <w:spacing w:val="-96"/>
        </w:rPr>
        <w:t> </w:t>
      </w:r>
      <w:r>
        <w:rPr/>
        <w:t>年度控股股东及其他关联方占用上市公司资金情况汇总表</w:t>
      </w:r>
    </w:p>
    <w:p>
      <w:pPr>
        <w:spacing w:before="215"/>
        <w:ind w:left="0" w:right="240" w:firstLine="0"/>
        <w:jc w:val="right"/>
        <w:rPr>
          <w:rFonts w:ascii="宋体" w:hAnsi="宋体" w:cs="宋体" w:eastAsia="宋体" w:hint="default"/>
          <w:sz w:val="18"/>
          <w:szCs w:val="18"/>
        </w:rPr>
      </w:pPr>
      <w:r>
        <w:rPr>
          <w:rFonts w:ascii="宋体" w:hAnsi="宋体" w:cs="宋体" w:eastAsia="宋体" w:hint="default"/>
          <w:sz w:val="18"/>
          <w:szCs w:val="18"/>
        </w:rPr>
        <w:t>金额单位：人民币万元</w:t>
      </w:r>
    </w:p>
    <w:p>
      <w:pPr>
        <w:spacing w:line="240" w:lineRule="auto" w:before="1"/>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1260"/>
        <w:gridCol w:w="2700"/>
        <w:gridCol w:w="1620"/>
        <w:gridCol w:w="1440"/>
        <w:gridCol w:w="1260"/>
        <w:gridCol w:w="1440"/>
        <w:gridCol w:w="1440"/>
        <w:gridCol w:w="1800"/>
        <w:gridCol w:w="1080"/>
        <w:gridCol w:w="1440"/>
      </w:tblGrid>
      <w:tr>
        <w:trPr>
          <w:trHeight w:val="634"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446" w:right="170" w:hanging="269"/>
              <w:jc w:val="left"/>
              <w:rPr>
                <w:rFonts w:ascii="宋体" w:hAnsi="宋体" w:cs="宋体" w:eastAsia="宋体" w:hint="default"/>
                <w:sz w:val="18"/>
                <w:szCs w:val="18"/>
              </w:rPr>
            </w:pPr>
            <w:r>
              <w:rPr>
                <w:rFonts w:ascii="宋体" w:hAnsi="宋体" w:cs="宋体" w:eastAsia="宋体" w:hint="default"/>
                <w:sz w:val="18"/>
                <w:szCs w:val="18"/>
              </w:rPr>
              <w:t>资金占用方 类别</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资金占用方名称</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77" w:right="170" w:firstLine="88"/>
              <w:jc w:val="left"/>
              <w:rPr>
                <w:rFonts w:ascii="宋体" w:hAnsi="宋体" w:cs="宋体" w:eastAsia="宋体" w:hint="default"/>
                <w:sz w:val="18"/>
                <w:szCs w:val="18"/>
              </w:rPr>
            </w:pPr>
            <w:r>
              <w:rPr>
                <w:rFonts w:ascii="宋体" w:hAnsi="宋体" w:cs="宋体" w:eastAsia="宋体" w:hint="default"/>
                <w:sz w:val="18"/>
                <w:szCs w:val="18"/>
              </w:rPr>
              <w:t>占用方与上市 公司的关联关系</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66" w:right="170" w:hanging="89"/>
              <w:jc w:val="left"/>
              <w:rPr>
                <w:rFonts w:ascii="宋体" w:hAnsi="宋体" w:cs="宋体" w:eastAsia="宋体" w:hint="default"/>
                <w:sz w:val="18"/>
                <w:szCs w:val="18"/>
              </w:rPr>
            </w:pPr>
            <w:r>
              <w:rPr>
                <w:rFonts w:ascii="宋体" w:hAnsi="宋体" w:cs="宋体" w:eastAsia="宋体" w:hint="default"/>
                <w:sz w:val="18"/>
                <w:szCs w:val="18"/>
              </w:rPr>
              <w:t>上市公司核算 的会计科目</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90" w:lineRule="auto" w:before="13"/>
              <w:ind w:left="177" w:right="161" w:hanging="12"/>
              <w:jc w:val="left"/>
              <w:rPr>
                <w:rFonts w:ascii="宋体" w:hAnsi="宋体" w:cs="宋体" w:eastAsia="宋体" w:hint="default"/>
                <w:sz w:val="18"/>
                <w:szCs w:val="18"/>
              </w:rPr>
            </w:pPr>
            <w:r>
              <w:rPr>
                <w:rFonts w:ascii="Garamond" w:hAnsi="Garamond" w:cs="Garamond" w:eastAsia="Garamond" w:hint="default"/>
                <w:sz w:val="18"/>
                <w:szCs w:val="18"/>
              </w:rPr>
              <w:t>2009</w:t>
            </w:r>
            <w:r>
              <w:rPr>
                <w:rFonts w:ascii="Garamond" w:hAnsi="Garamond" w:cs="Garamond" w:eastAsia="Garamond" w:hint="default"/>
                <w:spacing w:val="-3"/>
                <w:sz w:val="18"/>
                <w:szCs w:val="18"/>
              </w:rPr>
              <w:t> </w:t>
            </w:r>
            <w:r>
              <w:rPr>
                <w:rFonts w:ascii="宋体" w:hAnsi="宋体" w:cs="宋体" w:eastAsia="宋体" w:hint="default"/>
                <w:sz w:val="18"/>
                <w:szCs w:val="18"/>
              </w:rPr>
              <w:t>年初占 用资金余额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90" w:lineRule="auto" w:before="13"/>
              <w:ind w:left="177" w:right="161" w:hanging="12"/>
              <w:jc w:val="left"/>
              <w:rPr>
                <w:rFonts w:ascii="宋体" w:hAnsi="宋体" w:cs="宋体" w:eastAsia="宋体" w:hint="default"/>
                <w:sz w:val="18"/>
                <w:szCs w:val="18"/>
              </w:rPr>
            </w:pPr>
            <w:r>
              <w:rPr>
                <w:rFonts w:ascii="Garamond" w:hAnsi="Garamond" w:cs="Garamond" w:eastAsia="Garamond" w:hint="default"/>
                <w:sz w:val="18"/>
                <w:szCs w:val="18"/>
              </w:rPr>
              <w:t>2009</w:t>
            </w:r>
            <w:r>
              <w:rPr>
                <w:rFonts w:ascii="Garamond" w:hAnsi="Garamond" w:cs="Garamond" w:eastAsia="Garamond" w:hint="default"/>
                <w:spacing w:val="-3"/>
                <w:sz w:val="18"/>
                <w:szCs w:val="18"/>
              </w:rPr>
              <w:t> </w:t>
            </w:r>
            <w:r>
              <w:rPr>
                <w:rFonts w:ascii="宋体" w:hAnsi="宋体" w:cs="宋体" w:eastAsia="宋体" w:hint="default"/>
                <w:sz w:val="18"/>
                <w:szCs w:val="18"/>
              </w:rPr>
              <w:t>年度占用 累积发生金额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90" w:lineRule="auto" w:before="13"/>
              <w:ind w:left="177" w:right="161" w:hanging="12"/>
              <w:jc w:val="left"/>
              <w:rPr>
                <w:rFonts w:ascii="宋体" w:hAnsi="宋体" w:cs="宋体" w:eastAsia="宋体" w:hint="default"/>
                <w:sz w:val="18"/>
                <w:szCs w:val="18"/>
              </w:rPr>
            </w:pPr>
            <w:r>
              <w:rPr>
                <w:rFonts w:ascii="Garamond" w:hAnsi="Garamond" w:cs="Garamond" w:eastAsia="Garamond" w:hint="default"/>
                <w:sz w:val="18"/>
                <w:szCs w:val="18"/>
              </w:rPr>
              <w:t>2009</w:t>
            </w:r>
            <w:r>
              <w:rPr>
                <w:rFonts w:ascii="Garamond" w:hAnsi="Garamond" w:cs="Garamond" w:eastAsia="Garamond" w:hint="default"/>
                <w:spacing w:val="-3"/>
                <w:sz w:val="18"/>
                <w:szCs w:val="18"/>
              </w:rPr>
              <w:t> </w:t>
            </w:r>
            <w:r>
              <w:rPr>
                <w:rFonts w:ascii="宋体" w:hAnsi="宋体" w:cs="宋体" w:eastAsia="宋体" w:hint="default"/>
                <w:sz w:val="18"/>
                <w:szCs w:val="18"/>
              </w:rPr>
              <w:t>年度偿还 累计发生金额</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90" w:lineRule="auto" w:before="13"/>
              <w:ind w:left="446" w:right="341" w:hanging="101"/>
              <w:jc w:val="left"/>
              <w:rPr>
                <w:rFonts w:ascii="宋体" w:hAnsi="宋体" w:cs="宋体" w:eastAsia="宋体" w:hint="default"/>
                <w:sz w:val="18"/>
                <w:szCs w:val="18"/>
              </w:rPr>
            </w:pPr>
            <w:r>
              <w:rPr>
                <w:rFonts w:ascii="Garamond" w:hAnsi="Garamond" w:cs="Garamond" w:eastAsia="Garamond" w:hint="default"/>
                <w:sz w:val="18"/>
                <w:szCs w:val="18"/>
              </w:rPr>
              <w:t>2009</w:t>
            </w:r>
            <w:r>
              <w:rPr>
                <w:rFonts w:ascii="Garamond" w:hAnsi="Garamond" w:cs="Garamond" w:eastAsia="Garamond" w:hint="default"/>
                <w:spacing w:val="-3"/>
                <w:sz w:val="18"/>
                <w:szCs w:val="18"/>
              </w:rPr>
              <w:t> </w:t>
            </w:r>
            <w:r>
              <w:rPr>
                <w:rFonts w:ascii="宋体" w:hAnsi="宋体" w:cs="宋体" w:eastAsia="宋体" w:hint="default"/>
                <w:sz w:val="18"/>
                <w:szCs w:val="18"/>
              </w:rPr>
              <w:t>年期末占 用资金余额</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357" w:right="170" w:hanging="180"/>
              <w:jc w:val="left"/>
              <w:rPr>
                <w:rFonts w:ascii="宋体" w:hAnsi="宋体" w:cs="宋体" w:eastAsia="宋体" w:hint="default"/>
                <w:sz w:val="18"/>
                <w:szCs w:val="18"/>
              </w:rPr>
            </w:pPr>
            <w:r>
              <w:rPr>
                <w:rFonts w:ascii="宋体" w:hAnsi="宋体" w:cs="宋体" w:eastAsia="宋体" w:hint="default"/>
                <w:sz w:val="18"/>
                <w:szCs w:val="18"/>
              </w:rPr>
              <w:t>占用形成 原因</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占用性质</w:t>
            </w:r>
          </w:p>
        </w:tc>
      </w:tr>
      <w:tr>
        <w:trPr>
          <w:trHeight w:val="331"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4" w:right="0"/>
              <w:jc w:val="center"/>
              <w:rPr>
                <w:rFonts w:ascii="Garamond" w:hAnsi="Garamond" w:cs="Garamond" w:eastAsia="Garamond" w:hint="default"/>
                <w:sz w:val="18"/>
                <w:szCs w:val="18"/>
              </w:rPr>
            </w:pPr>
            <w:r>
              <w:rPr>
                <w:rFonts w:ascii="Garamond"/>
                <w:w w:val="99"/>
                <w:sz w:val="18"/>
              </w:rPr>
              <w:t>A</w:t>
            </w:r>
            <w:r>
              <w:rPr>
                <w:rFonts w:ascii="Garamond"/>
                <w:sz w:val="18"/>
              </w:rPr>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2" w:right="0"/>
              <w:jc w:val="center"/>
              <w:rPr>
                <w:rFonts w:ascii="Garamond" w:hAnsi="Garamond" w:cs="Garamond" w:eastAsia="Garamond" w:hint="default"/>
                <w:sz w:val="18"/>
                <w:szCs w:val="18"/>
              </w:rPr>
            </w:pPr>
            <w:r>
              <w:rPr>
                <w:rFonts w:ascii="Garamond"/>
                <w:w w:val="100"/>
                <w:sz w:val="18"/>
              </w:rPr>
              <w:t>B</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6" w:right="0"/>
              <w:jc w:val="center"/>
              <w:rPr>
                <w:rFonts w:ascii="Garamond" w:hAnsi="Garamond" w:cs="Garamond" w:eastAsia="Garamond" w:hint="default"/>
                <w:sz w:val="18"/>
                <w:szCs w:val="18"/>
              </w:rPr>
            </w:pPr>
            <w:r>
              <w:rPr>
                <w:rFonts w:ascii="Garamond"/>
                <w:w w:val="99"/>
                <w:sz w:val="18"/>
              </w:rPr>
              <w:t>C</w:t>
            </w:r>
            <w:r>
              <w:rPr>
                <w:rFonts w:ascii="Garamond"/>
                <w:sz w:val="18"/>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4" w:right="0"/>
              <w:jc w:val="center"/>
              <w:rPr>
                <w:rFonts w:ascii="Garamond" w:hAnsi="Garamond" w:cs="Garamond" w:eastAsia="Garamond" w:hint="default"/>
                <w:sz w:val="18"/>
                <w:szCs w:val="18"/>
              </w:rPr>
            </w:pPr>
            <w:r>
              <w:rPr>
                <w:rFonts w:ascii="Garamond"/>
                <w:sz w:val="18"/>
              </w:rPr>
              <w:t>D</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5" w:right="0"/>
              <w:jc w:val="center"/>
              <w:rPr>
                <w:rFonts w:ascii="Garamond" w:hAnsi="Garamond" w:cs="Garamond" w:eastAsia="Garamond" w:hint="default"/>
                <w:sz w:val="18"/>
                <w:szCs w:val="18"/>
              </w:rPr>
            </w:pPr>
            <w:r>
              <w:rPr>
                <w:rFonts w:ascii="Garamond"/>
                <w:w w:val="99"/>
                <w:sz w:val="18"/>
              </w:rPr>
              <w:t>E</w:t>
            </w:r>
            <w:r>
              <w:rPr>
                <w:rFonts w:ascii="Garamond"/>
                <w:sz w:val="18"/>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5" w:right="0"/>
              <w:jc w:val="center"/>
              <w:rPr>
                <w:rFonts w:ascii="Garamond" w:hAnsi="Garamond" w:cs="Garamond" w:eastAsia="Garamond" w:hint="default"/>
                <w:sz w:val="18"/>
                <w:szCs w:val="18"/>
              </w:rPr>
            </w:pPr>
            <w:r>
              <w:rPr>
                <w:rFonts w:ascii="Garamond"/>
                <w:w w:val="100"/>
                <w:sz w:val="18"/>
              </w:rPr>
              <w:t>F</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4" w:right="0"/>
              <w:jc w:val="center"/>
              <w:rPr>
                <w:rFonts w:ascii="Garamond" w:hAnsi="Garamond" w:cs="Garamond" w:eastAsia="Garamond" w:hint="default"/>
                <w:sz w:val="18"/>
                <w:szCs w:val="18"/>
              </w:rPr>
            </w:pPr>
            <w:r>
              <w:rPr>
                <w:rFonts w:ascii="Garamond"/>
                <w:sz w:val="18"/>
              </w:rPr>
              <w:t>G</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2" w:right="0"/>
              <w:jc w:val="center"/>
              <w:rPr>
                <w:rFonts w:ascii="Garamond" w:hAnsi="Garamond" w:cs="Garamond" w:eastAsia="Garamond" w:hint="default"/>
                <w:sz w:val="18"/>
                <w:szCs w:val="18"/>
              </w:rPr>
            </w:pPr>
            <w:r>
              <w:rPr>
                <w:rFonts w:ascii="Garamond"/>
                <w:w w:val="99"/>
                <w:sz w:val="18"/>
              </w:rPr>
              <w:t>H</w:t>
            </w:r>
            <w:r>
              <w:rPr>
                <w:rFonts w:ascii="Garamond"/>
                <w:sz w:val="18"/>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1" w:right="0"/>
              <w:jc w:val="center"/>
              <w:rPr>
                <w:rFonts w:ascii="Garamond" w:hAnsi="Garamond" w:cs="Garamond" w:eastAsia="Garamond" w:hint="default"/>
                <w:sz w:val="18"/>
                <w:szCs w:val="18"/>
              </w:rPr>
            </w:pPr>
            <w:r>
              <w:rPr>
                <w:rFonts w:ascii="Garamond"/>
                <w:w w:val="99"/>
                <w:sz w:val="18"/>
              </w:rPr>
              <w:t>I</w:t>
            </w:r>
            <w:r>
              <w:rPr>
                <w:rFonts w:ascii="Garamond"/>
                <w:sz w:val="18"/>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2" w:right="0"/>
              <w:jc w:val="center"/>
              <w:rPr>
                <w:rFonts w:ascii="Garamond" w:hAnsi="Garamond" w:cs="Garamond" w:eastAsia="Garamond" w:hint="default"/>
                <w:sz w:val="18"/>
                <w:szCs w:val="18"/>
              </w:rPr>
            </w:pPr>
            <w:r>
              <w:rPr>
                <w:rFonts w:ascii="Garamond"/>
                <w:w w:val="99"/>
                <w:sz w:val="18"/>
              </w:rPr>
              <w:t>J</w:t>
            </w:r>
            <w:r>
              <w:rPr>
                <w:rFonts w:ascii="Garamond"/>
                <w:sz w:val="18"/>
              </w:rPr>
            </w:r>
          </w:p>
        </w:tc>
      </w:tr>
      <w:tr>
        <w:trPr>
          <w:trHeight w:val="425" w:hRule="exact"/>
        </w:trPr>
        <w:tc>
          <w:tcPr>
            <w:tcW w:w="1260" w:type="dxa"/>
            <w:vMerge w:val="restart"/>
            <w:tcBorders>
              <w:top w:val="single" w:sz="4" w:space="0" w:color="000008"/>
              <w:left w:val="single" w:sz="4" w:space="0" w:color="000008"/>
              <w:right w:val="single" w:sz="4" w:space="0" w:color="000008"/>
            </w:tcBorders>
          </w:tcPr>
          <w:p>
            <w:pPr>
              <w:pStyle w:val="TableParagraph"/>
              <w:spacing w:line="316" w:lineRule="auto" w:before="10"/>
              <w:ind w:left="177" w:right="98" w:hanging="72"/>
              <w:jc w:val="left"/>
              <w:rPr>
                <w:rFonts w:ascii="宋体" w:hAnsi="宋体" w:cs="宋体" w:eastAsia="宋体" w:hint="default"/>
                <w:sz w:val="18"/>
                <w:szCs w:val="18"/>
              </w:rPr>
            </w:pPr>
            <w:r>
              <w:rPr>
                <w:rFonts w:ascii="宋体" w:hAnsi="宋体" w:cs="宋体" w:eastAsia="宋体" w:hint="default"/>
                <w:spacing w:val="-6"/>
                <w:sz w:val="18"/>
                <w:szCs w:val="18"/>
              </w:rPr>
              <w:t>控股股东、实</w:t>
            </w:r>
            <w:r>
              <w:rPr>
                <w:rFonts w:ascii="宋体" w:hAnsi="宋体" w:cs="宋体" w:eastAsia="宋体" w:hint="default"/>
                <w:sz w:val="18"/>
                <w:szCs w:val="18"/>
              </w:rPr>
              <w:t> 际控制人及 其附属企业</w:t>
            </w:r>
          </w:p>
        </w:tc>
        <w:tc>
          <w:tcPr>
            <w:tcW w:w="270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521" w:hRule="exact"/>
        </w:trPr>
        <w:tc>
          <w:tcPr>
            <w:tcW w:w="1260" w:type="dxa"/>
            <w:vMerge/>
            <w:tcBorders>
              <w:left w:val="single" w:sz="4" w:space="0" w:color="000008"/>
              <w:bottom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2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550" w:hRule="exact"/>
        </w:trPr>
        <w:tc>
          <w:tcPr>
            <w:tcW w:w="1260" w:type="dxa"/>
            <w:vMerge w:val="restart"/>
            <w:tcBorders>
              <w:top w:val="single" w:sz="4" w:space="0" w:color="000008"/>
              <w:left w:val="single" w:sz="4" w:space="0" w:color="000008"/>
              <w:right w:val="single" w:sz="4" w:space="0" w:color="000008"/>
            </w:tcBorders>
          </w:tcPr>
          <w:p>
            <w:pPr>
              <w:pStyle w:val="TableParagraph"/>
              <w:spacing w:line="316" w:lineRule="auto" w:before="10"/>
              <w:ind w:left="177" w:right="170"/>
              <w:jc w:val="center"/>
              <w:rPr>
                <w:rFonts w:ascii="宋体" w:hAnsi="宋体" w:cs="宋体" w:eastAsia="宋体" w:hint="default"/>
                <w:sz w:val="18"/>
                <w:szCs w:val="18"/>
              </w:rPr>
            </w:pPr>
            <w:r>
              <w:rPr>
                <w:rFonts w:ascii="宋体" w:hAnsi="宋体" w:cs="宋体" w:eastAsia="宋体" w:hint="default"/>
                <w:sz w:val="18"/>
                <w:szCs w:val="18"/>
              </w:rPr>
              <w:t>关联自然人 及其控制的 法人</w:t>
            </w:r>
          </w:p>
        </w:tc>
        <w:tc>
          <w:tcPr>
            <w:tcW w:w="270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396" w:hRule="exact"/>
        </w:trPr>
        <w:tc>
          <w:tcPr>
            <w:tcW w:w="1260" w:type="dxa"/>
            <w:vMerge/>
            <w:tcBorders>
              <w:left w:val="single" w:sz="4" w:space="0" w:color="000008"/>
              <w:bottom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2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365" w:hRule="exact"/>
        </w:trPr>
        <w:tc>
          <w:tcPr>
            <w:tcW w:w="126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177" w:right="170"/>
              <w:jc w:val="center"/>
              <w:rPr>
                <w:rFonts w:ascii="宋体" w:hAnsi="宋体" w:cs="宋体" w:eastAsia="宋体" w:hint="default"/>
                <w:sz w:val="18"/>
                <w:szCs w:val="18"/>
              </w:rPr>
            </w:pPr>
            <w:r>
              <w:rPr>
                <w:rFonts w:ascii="宋体" w:hAnsi="宋体" w:cs="宋体" w:eastAsia="宋体" w:hint="default"/>
                <w:sz w:val="18"/>
                <w:szCs w:val="18"/>
              </w:rPr>
              <w:t>其他关联人 及其附属企 业</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5"/>
              <w:ind w:right="0"/>
              <w:jc w:val="center"/>
              <w:rPr>
                <w:rFonts w:ascii="Garamond" w:hAnsi="Garamond" w:cs="Garamond" w:eastAsia="Garamond" w:hint="default"/>
                <w:sz w:val="18"/>
                <w:szCs w:val="18"/>
              </w:rPr>
            </w:pPr>
            <w:r>
              <w:rPr>
                <w:rFonts w:ascii="Garamond"/>
                <w:sz w:val="18"/>
              </w:rPr>
              <w:t>8.41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5"/>
              <w:ind w:left="3" w:right="0"/>
              <w:jc w:val="center"/>
              <w:rPr>
                <w:rFonts w:ascii="Garamond" w:hAnsi="Garamond" w:cs="Garamond" w:eastAsia="Garamond" w:hint="default"/>
                <w:sz w:val="18"/>
                <w:szCs w:val="18"/>
              </w:rPr>
            </w:pPr>
            <w:r>
              <w:rPr>
                <w:rFonts w:ascii="Garamond"/>
                <w:w w:val="100"/>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5"/>
              <w:ind w:left="3" w:right="0"/>
              <w:jc w:val="center"/>
              <w:rPr>
                <w:rFonts w:ascii="Garamond" w:hAnsi="Garamond" w:cs="Garamond" w:eastAsia="Garamond" w:hint="default"/>
                <w:sz w:val="18"/>
                <w:szCs w:val="18"/>
              </w:rPr>
            </w:pPr>
            <w:r>
              <w:rPr>
                <w:rFonts w:ascii="Garamond"/>
                <w:w w:val="100"/>
                <w:sz w:val="18"/>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5"/>
              <w:ind w:left="2" w:right="0"/>
              <w:jc w:val="center"/>
              <w:rPr>
                <w:rFonts w:ascii="Garamond" w:hAnsi="Garamond" w:cs="Garamond" w:eastAsia="Garamond" w:hint="default"/>
                <w:sz w:val="18"/>
                <w:szCs w:val="18"/>
              </w:rPr>
            </w:pPr>
            <w:r>
              <w:rPr>
                <w:rFonts w:ascii="Garamond"/>
                <w:sz w:val="18"/>
              </w:rPr>
              <w:t>8.41</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right="0"/>
              <w:jc w:val="center"/>
              <w:rPr>
                <w:rFonts w:ascii="Garamond" w:hAnsi="Garamond" w:cs="Garamond" w:eastAsia="Garamond" w:hint="default"/>
                <w:sz w:val="18"/>
                <w:szCs w:val="18"/>
              </w:rPr>
            </w:pPr>
            <w:r>
              <w:rPr>
                <w:rFonts w:ascii="Garamond"/>
                <w:sz w:val="18"/>
              </w:rPr>
              <w:t>45.00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left="3" w:right="0"/>
              <w:jc w:val="center"/>
              <w:rPr>
                <w:rFonts w:ascii="Garamond" w:hAnsi="Garamond" w:cs="Garamond" w:eastAsia="Garamond" w:hint="default"/>
                <w:sz w:val="18"/>
                <w:szCs w:val="18"/>
              </w:rPr>
            </w:pPr>
            <w:r>
              <w:rPr>
                <w:rFonts w:ascii="Garamond"/>
                <w:w w:val="100"/>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left="3" w:right="0"/>
              <w:jc w:val="center"/>
              <w:rPr>
                <w:rFonts w:ascii="Garamond" w:hAnsi="Garamond" w:cs="Garamond" w:eastAsia="Garamond" w:hint="default"/>
                <w:sz w:val="18"/>
                <w:szCs w:val="18"/>
              </w:rPr>
            </w:pPr>
            <w:r>
              <w:rPr>
                <w:rFonts w:ascii="Garamond"/>
                <w:w w:val="100"/>
                <w:sz w:val="18"/>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right="1"/>
              <w:jc w:val="center"/>
              <w:rPr>
                <w:rFonts w:ascii="Garamond" w:hAnsi="Garamond" w:cs="Garamond" w:eastAsia="Garamond" w:hint="default"/>
                <w:sz w:val="18"/>
                <w:szCs w:val="18"/>
              </w:rPr>
            </w:pPr>
            <w:r>
              <w:rPr>
                <w:rFonts w:ascii="Garamond"/>
                <w:sz w:val="18"/>
              </w:rPr>
              <w:t>45.00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03"/>
              <w:jc w:val="left"/>
              <w:rPr>
                <w:rFonts w:ascii="宋体" w:hAnsi="宋体" w:cs="宋体" w:eastAsia="宋体" w:hint="default"/>
                <w:sz w:val="18"/>
                <w:szCs w:val="18"/>
              </w:rPr>
            </w:pPr>
            <w:r>
              <w:rPr>
                <w:rFonts w:ascii="宋体" w:hAnsi="宋体" w:cs="宋体" w:eastAsia="宋体" w:hint="default"/>
                <w:spacing w:val="10"/>
                <w:sz w:val="18"/>
                <w:szCs w:val="18"/>
              </w:rPr>
              <w:t>广西糖网食糖批发市场有限责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任公司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55.00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Garamond" w:hAnsi="Garamond" w:cs="Garamond" w:eastAsia="Garamond" w:hint="default"/>
                <w:sz w:val="18"/>
                <w:szCs w:val="18"/>
              </w:rPr>
            </w:pPr>
            <w:r>
              <w:rPr>
                <w:rFonts w:ascii="Garamond"/>
                <w:sz w:val="18"/>
              </w:rPr>
              <w:t>1.50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Garamond" w:hAnsi="Garamond" w:cs="Garamond" w:eastAsia="Garamond" w:hint="default"/>
                <w:sz w:val="18"/>
                <w:szCs w:val="18"/>
              </w:rPr>
            </w:pPr>
            <w:r>
              <w:rPr>
                <w:rFonts w:ascii="Garamond"/>
                <w:sz w:val="18"/>
              </w:rPr>
              <w:t>56.50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 w:right="0"/>
              <w:jc w:val="center"/>
              <w:rPr>
                <w:rFonts w:ascii="Garamond" w:hAnsi="Garamond" w:cs="Garamond" w:eastAsia="Garamond" w:hint="default"/>
                <w:sz w:val="18"/>
                <w:szCs w:val="18"/>
              </w:rPr>
            </w:pPr>
            <w:r>
              <w:rPr>
                <w:rFonts w:ascii="Garamond"/>
                <w:w w:val="100"/>
                <w:sz w:val="18"/>
              </w:rPr>
              <w:t>-</w:t>
            </w: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03"/>
              <w:jc w:val="left"/>
              <w:rPr>
                <w:rFonts w:ascii="宋体" w:hAnsi="宋体" w:cs="宋体" w:eastAsia="宋体" w:hint="default"/>
                <w:sz w:val="18"/>
                <w:szCs w:val="18"/>
              </w:rPr>
            </w:pPr>
            <w:r>
              <w:rPr>
                <w:rFonts w:ascii="宋体" w:hAnsi="宋体" w:cs="宋体" w:eastAsia="宋体" w:hint="default"/>
                <w:spacing w:val="10"/>
                <w:sz w:val="18"/>
                <w:szCs w:val="18"/>
              </w:rPr>
              <w:t>深圳市民润农产品配送连锁商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Garamond" w:hAnsi="Garamond" w:cs="Garamond" w:eastAsia="Garamond" w:hint="default"/>
                <w:sz w:val="18"/>
                <w:szCs w:val="18"/>
              </w:rPr>
            </w:pPr>
            <w:r>
              <w:rPr>
                <w:rFonts w:ascii="Garamond"/>
                <w:sz w:val="18"/>
              </w:rPr>
              <w:t>547.65</w:t>
            </w: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159.62</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388.03</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66" w:right="170" w:hanging="89"/>
              <w:jc w:val="left"/>
              <w:rPr>
                <w:rFonts w:ascii="宋体" w:hAnsi="宋体" w:cs="宋体" w:eastAsia="宋体" w:hint="default"/>
                <w:sz w:val="18"/>
                <w:szCs w:val="18"/>
              </w:rPr>
            </w:pPr>
            <w:r>
              <w:rPr>
                <w:rFonts w:ascii="宋体" w:hAnsi="宋体" w:cs="宋体" w:eastAsia="宋体" w:hint="default"/>
                <w:sz w:val="18"/>
                <w:szCs w:val="18"/>
              </w:rPr>
              <w:t>销售与提 供劳务</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03"/>
              <w:jc w:val="left"/>
              <w:rPr>
                <w:rFonts w:ascii="宋体" w:hAnsi="宋体" w:cs="宋体" w:eastAsia="宋体" w:hint="default"/>
                <w:sz w:val="18"/>
                <w:szCs w:val="18"/>
              </w:rPr>
            </w:pPr>
            <w:r>
              <w:rPr>
                <w:rFonts w:ascii="宋体" w:hAnsi="宋体" w:cs="宋体" w:eastAsia="宋体" w:hint="default"/>
                <w:spacing w:val="10"/>
                <w:sz w:val="18"/>
                <w:szCs w:val="18"/>
              </w:rPr>
              <w:t>深圳市龙江生猪批发市场有限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13.00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155.00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Garamond" w:hAnsi="Garamond" w:cs="Garamond" w:eastAsia="Garamond" w:hint="default"/>
                <w:sz w:val="18"/>
                <w:szCs w:val="18"/>
              </w:rPr>
            </w:pPr>
            <w:r>
              <w:rPr>
                <w:rFonts w:ascii="Garamond"/>
                <w:w w:val="100"/>
                <w:sz w:val="18"/>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168.00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721.38</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3" w:right="0"/>
              <w:jc w:val="center"/>
              <w:rPr>
                <w:rFonts w:ascii="Garamond" w:hAnsi="Garamond" w:cs="Garamond" w:eastAsia="Garamond" w:hint="default"/>
                <w:sz w:val="18"/>
                <w:szCs w:val="18"/>
              </w:rPr>
            </w:pPr>
            <w:r>
              <w:rPr>
                <w:rFonts w:ascii="Garamond"/>
                <w:w w:val="100"/>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3" w:right="0"/>
              <w:jc w:val="center"/>
              <w:rPr>
                <w:rFonts w:ascii="Garamond" w:hAnsi="Garamond" w:cs="Garamond" w:eastAsia="Garamond" w:hint="default"/>
                <w:sz w:val="18"/>
                <w:szCs w:val="18"/>
              </w:rPr>
            </w:pPr>
            <w:r>
              <w:rPr>
                <w:rFonts w:ascii="Garamond"/>
                <w:w w:val="100"/>
                <w:sz w:val="18"/>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721.38</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05" w:right="103"/>
              <w:jc w:val="left"/>
              <w:rPr>
                <w:rFonts w:ascii="宋体" w:hAnsi="宋体" w:cs="宋体" w:eastAsia="宋体" w:hint="default"/>
                <w:sz w:val="18"/>
                <w:szCs w:val="18"/>
              </w:rPr>
            </w:pPr>
            <w:r>
              <w:rPr>
                <w:rFonts w:ascii="宋体" w:hAnsi="宋体" w:cs="宋体" w:eastAsia="宋体" w:hint="default"/>
                <w:spacing w:val="10"/>
                <w:sz w:val="18"/>
                <w:szCs w:val="18"/>
              </w:rPr>
              <w:t>深圳市博丽雅设计装饰工程有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144.07</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Garamond" w:hAnsi="Garamond" w:cs="Garamond" w:eastAsia="Garamond" w:hint="default"/>
                <w:sz w:val="18"/>
                <w:szCs w:val="18"/>
              </w:rPr>
            </w:pPr>
            <w:r>
              <w:rPr>
                <w:rFonts w:ascii="Garamond"/>
                <w:w w:val="100"/>
                <w:sz w:val="18"/>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144.07</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99.23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3" w:right="0"/>
              <w:jc w:val="center"/>
              <w:rPr>
                <w:rFonts w:ascii="Garamond" w:hAnsi="Garamond" w:cs="Garamond" w:eastAsia="Garamond" w:hint="default"/>
                <w:sz w:val="18"/>
                <w:szCs w:val="18"/>
              </w:rPr>
            </w:pPr>
            <w:r>
              <w:rPr>
                <w:rFonts w:ascii="Garamond"/>
                <w:w w:val="100"/>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3" w:right="0"/>
              <w:jc w:val="center"/>
              <w:rPr>
                <w:rFonts w:ascii="Garamond" w:hAnsi="Garamond" w:cs="Garamond" w:eastAsia="Garamond" w:hint="default"/>
                <w:sz w:val="18"/>
                <w:szCs w:val="18"/>
              </w:rPr>
            </w:pPr>
            <w:r>
              <w:rPr>
                <w:rFonts w:ascii="Garamond"/>
                <w:w w:val="100"/>
                <w:sz w:val="18"/>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99.23</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31"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深圳市倜拓实业有限公司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34.75</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3" w:right="0"/>
              <w:jc w:val="center"/>
              <w:rPr>
                <w:rFonts w:ascii="Garamond" w:hAnsi="Garamond" w:cs="Garamond" w:eastAsia="Garamond" w:hint="default"/>
                <w:sz w:val="18"/>
                <w:szCs w:val="18"/>
              </w:rPr>
            </w:pPr>
            <w:r>
              <w:rPr>
                <w:rFonts w:ascii="Garamond"/>
                <w:w w:val="100"/>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34.75</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3" w:right="0"/>
              <w:jc w:val="center"/>
              <w:rPr>
                <w:rFonts w:ascii="Garamond" w:hAnsi="Garamond" w:cs="Garamond" w:eastAsia="Garamond" w:hint="default"/>
                <w:sz w:val="18"/>
                <w:szCs w:val="18"/>
              </w:rPr>
            </w:pPr>
            <w:r>
              <w:rPr>
                <w:rFonts w:ascii="Garamond"/>
                <w:w w:val="100"/>
                <w:sz w:val="18"/>
              </w:rPr>
              <w:t>-</w:t>
            </w: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260" w:type="dxa"/>
            <w:vMerge/>
            <w:tcBorders>
              <w:left w:val="single" w:sz="4" w:space="0" w:color="000008"/>
              <w:bottom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03"/>
              <w:jc w:val="left"/>
              <w:rPr>
                <w:rFonts w:ascii="宋体" w:hAnsi="宋体" w:cs="宋体" w:eastAsia="宋体" w:hint="default"/>
                <w:sz w:val="18"/>
                <w:szCs w:val="18"/>
              </w:rPr>
            </w:pPr>
            <w:r>
              <w:rPr>
                <w:rFonts w:ascii="宋体" w:hAnsi="宋体" w:cs="宋体" w:eastAsia="宋体" w:hint="default"/>
                <w:spacing w:val="10"/>
                <w:sz w:val="18"/>
                <w:szCs w:val="18"/>
              </w:rPr>
              <w:t>深圳市民润农产品配送连锁商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15,356.14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3,017.60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Garamond" w:hAnsi="Garamond" w:cs="Garamond" w:eastAsia="Garamond" w:hint="default"/>
                <w:sz w:val="18"/>
                <w:szCs w:val="18"/>
              </w:rPr>
            </w:pPr>
            <w:r>
              <w:rPr>
                <w:rFonts w:ascii="Garamond"/>
                <w:sz w:val="18"/>
              </w:rPr>
              <w:t>4,099.54</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Garamond" w:hAnsi="Garamond" w:cs="Garamond" w:eastAsia="Garamond" w:hint="default"/>
                <w:sz w:val="18"/>
                <w:szCs w:val="18"/>
              </w:rPr>
            </w:pPr>
            <w:r>
              <w:rPr>
                <w:rFonts w:ascii="Garamond"/>
                <w:sz w:val="18"/>
              </w:rPr>
              <w:t>14,274.20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bl>
    <w:p>
      <w:pPr>
        <w:spacing w:after="0" w:line="240" w:lineRule="auto"/>
        <w:jc w:val="center"/>
        <w:rPr>
          <w:rFonts w:ascii="宋体" w:hAnsi="宋体" w:cs="宋体" w:eastAsia="宋体" w:hint="default"/>
          <w:sz w:val="18"/>
          <w:szCs w:val="18"/>
        </w:rPr>
        <w:sectPr>
          <w:headerReference w:type="default" r:id="rId133"/>
          <w:footerReference w:type="default" r:id="rId134"/>
          <w:pgSz w:w="16840" w:h="11910" w:orient="landscape"/>
          <w:pgMar w:header="0" w:footer="0" w:top="1100" w:bottom="280" w:left="920" w:right="220"/>
        </w:sectPr>
      </w:pPr>
    </w:p>
    <w:p>
      <w:pPr>
        <w:spacing w:line="240" w:lineRule="auto" w:before="11"/>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260"/>
        <w:gridCol w:w="2700"/>
        <w:gridCol w:w="1620"/>
        <w:gridCol w:w="1440"/>
        <w:gridCol w:w="1260"/>
        <w:gridCol w:w="1440"/>
        <w:gridCol w:w="1440"/>
        <w:gridCol w:w="1800"/>
        <w:gridCol w:w="1080"/>
        <w:gridCol w:w="1440"/>
      </w:tblGrid>
      <w:tr>
        <w:trPr>
          <w:trHeight w:val="329" w:hRule="exact"/>
        </w:trPr>
        <w:tc>
          <w:tcPr>
            <w:tcW w:w="1260" w:type="dxa"/>
            <w:vMerge w:val="restart"/>
            <w:tcBorders>
              <w:top w:val="single" w:sz="4" w:space="0" w:color="000008"/>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Garamond" w:hAnsi="Garamond" w:cs="Garamond" w:eastAsia="Garamond" w:hint="default"/>
                <w:sz w:val="18"/>
                <w:szCs w:val="18"/>
              </w:rPr>
            </w:pPr>
            <w:r>
              <w:rPr>
                <w:rFonts w:ascii="Garamond"/>
                <w:sz w:val="18"/>
              </w:rPr>
              <w:t>16.90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3" w:right="0"/>
              <w:jc w:val="center"/>
              <w:rPr>
                <w:rFonts w:ascii="Garamond" w:hAnsi="Garamond" w:cs="Garamond" w:eastAsia="Garamond" w:hint="default"/>
                <w:sz w:val="18"/>
                <w:szCs w:val="18"/>
              </w:rPr>
            </w:pPr>
            <w:r>
              <w:rPr>
                <w:rFonts w:ascii="Garamond"/>
                <w:w w:val="100"/>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
              <w:jc w:val="center"/>
              <w:rPr>
                <w:rFonts w:ascii="Garamond" w:hAnsi="Garamond" w:cs="Garamond" w:eastAsia="Garamond" w:hint="default"/>
                <w:sz w:val="18"/>
                <w:szCs w:val="18"/>
              </w:rPr>
            </w:pPr>
            <w:r>
              <w:rPr>
                <w:rFonts w:ascii="Garamond"/>
                <w:sz w:val="18"/>
              </w:rPr>
              <w:t>16.90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3" w:right="0"/>
              <w:jc w:val="center"/>
              <w:rPr>
                <w:rFonts w:ascii="Garamond" w:hAnsi="Garamond" w:cs="Garamond" w:eastAsia="Garamond" w:hint="default"/>
                <w:sz w:val="18"/>
                <w:szCs w:val="18"/>
              </w:rPr>
            </w:pPr>
            <w:r>
              <w:rPr>
                <w:rFonts w:ascii="Garamond"/>
                <w:w w:val="100"/>
                <w:sz w:val="18"/>
              </w:rPr>
              <w:t>-</w:t>
            </w: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2,775.89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3" w:right="0"/>
              <w:jc w:val="center"/>
              <w:rPr>
                <w:rFonts w:ascii="Garamond" w:hAnsi="Garamond" w:cs="Garamond" w:eastAsia="Garamond" w:hint="default"/>
                <w:sz w:val="18"/>
                <w:szCs w:val="18"/>
              </w:rPr>
            </w:pPr>
            <w:r>
              <w:rPr>
                <w:rFonts w:ascii="Garamond"/>
                <w:w w:val="100"/>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127.77</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2,648.12</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31"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合盈实业有限公司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310.14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302.57</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310.14</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302.57</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深圳南方农产品物流有限公司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right="0"/>
              <w:jc w:val="center"/>
              <w:rPr>
                <w:rFonts w:ascii="Garamond" w:hAnsi="Garamond" w:cs="Garamond" w:eastAsia="Garamond" w:hint="default"/>
                <w:sz w:val="18"/>
                <w:szCs w:val="18"/>
              </w:rPr>
            </w:pPr>
            <w:r>
              <w:rPr>
                <w:rFonts w:ascii="Garamond"/>
                <w:sz w:val="18"/>
              </w:rPr>
              <w:t>110.40</w:t>
            </w:r>
          </w:p>
        </w:tc>
        <w:tc>
          <w:tcPr>
            <w:tcW w:w="14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right="0"/>
              <w:jc w:val="center"/>
              <w:rPr>
                <w:rFonts w:ascii="Garamond" w:hAnsi="Garamond" w:cs="Garamond" w:eastAsia="Garamond" w:hint="default"/>
                <w:sz w:val="18"/>
                <w:szCs w:val="18"/>
              </w:rPr>
            </w:pPr>
            <w:r>
              <w:rPr>
                <w:rFonts w:ascii="Garamond"/>
                <w:sz w:val="18"/>
              </w:rPr>
              <w:t>110.40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03"/>
              <w:jc w:val="left"/>
              <w:rPr>
                <w:rFonts w:ascii="宋体" w:hAnsi="宋体" w:cs="宋体" w:eastAsia="宋体" w:hint="default"/>
                <w:sz w:val="18"/>
                <w:szCs w:val="18"/>
              </w:rPr>
            </w:pPr>
            <w:r>
              <w:rPr>
                <w:rFonts w:ascii="宋体" w:hAnsi="宋体" w:cs="宋体" w:eastAsia="宋体" w:hint="default"/>
                <w:spacing w:val="10"/>
                <w:sz w:val="18"/>
                <w:szCs w:val="18"/>
              </w:rPr>
              <w:t>北京市大红门京深海鲜批发市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1,242.64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1,320.94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1,533.84</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1,029.74</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bottom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2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21,226.13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5,052.08</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6,339.06</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19,939.15</w:t>
            </w: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26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77" w:right="170"/>
              <w:jc w:val="both"/>
              <w:rPr>
                <w:rFonts w:ascii="宋体" w:hAnsi="宋体" w:cs="宋体" w:eastAsia="宋体" w:hint="default"/>
                <w:sz w:val="18"/>
                <w:szCs w:val="18"/>
              </w:rPr>
            </w:pPr>
            <w:r>
              <w:rPr>
                <w:rFonts w:ascii="宋体" w:hAnsi="宋体" w:cs="宋体" w:eastAsia="宋体" w:hint="default"/>
                <w:sz w:val="18"/>
                <w:szCs w:val="18"/>
              </w:rPr>
              <w:t>上市公司的 子公司及其 附属企业</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03"/>
              <w:jc w:val="left"/>
              <w:rPr>
                <w:rFonts w:ascii="宋体" w:hAnsi="宋体" w:cs="宋体" w:eastAsia="宋体" w:hint="default"/>
                <w:sz w:val="18"/>
                <w:szCs w:val="18"/>
              </w:rPr>
            </w:pPr>
            <w:r>
              <w:rPr>
                <w:rFonts w:ascii="宋体" w:hAnsi="宋体" w:cs="宋体" w:eastAsia="宋体" w:hint="default"/>
                <w:spacing w:val="10"/>
                <w:sz w:val="18"/>
                <w:szCs w:val="18"/>
              </w:rPr>
              <w:t>长沙马王堆农产品股份有限公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7,048.04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6,175.71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7,328.48</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5,895.27</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05" w:right="103"/>
              <w:jc w:val="left"/>
              <w:rPr>
                <w:rFonts w:ascii="宋体" w:hAnsi="宋体" w:cs="宋体" w:eastAsia="宋体" w:hint="default"/>
                <w:sz w:val="18"/>
                <w:szCs w:val="18"/>
              </w:rPr>
            </w:pPr>
            <w:r>
              <w:rPr>
                <w:rFonts w:ascii="宋体" w:hAnsi="宋体" w:cs="宋体" w:eastAsia="宋体" w:hint="default"/>
                <w:spacing w:val="10"/>
                <w:sz w:val="18"/>
                <w:szCs w:val="18"/>
              </w:rPr>
              <w:t>成都农产品中心批发市场有限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2,058.55</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Garamond" w:hAnsi="Garamond" w:cs="Garamond" w:eastAsia="Garamond" w:hint="default"/>
                <w:sz w:val="18"/>
                <w:szCs w:val="18"/>
              </w:rPr>
            </w:pPr>
            <w:r>
              <w:rPr>
                <w:rFonts w:ascii="Garamond"/>
                <w:sz w:val="18"/>
              </w:rPr>
              <w:t>4.00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16.47</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2,046.08</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05" w:right="103"/>
              <w:jc w:val="left"/>
              <w:rPr>
                <w:rFonts w:ascii="宋体" w:hAnsi="宋体" w:cs="宋体" w:eastAsia="宋体" w:hint="default"/>
                <w:sz w:val="18"/>
                <w:szCs w:val="18"/>
              </w:rPr>
            </w:pPr>
            <w:r>
              <w:rPr>
                <w:rFonts w:ascii="宋体" w:hAnsi="宋体" w:cs="宋体" w:eastAsia="宋体" w:hint="default"/>
                <w:spacing w:val="10"/>
                <w:sz w:val="18"/>
                <w:szCs w:val="18"/>
              </w:rPr>
              <w:t>惠州农产品物流配送中心有限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3,769.31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418.80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3,631.45</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556.66</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6"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05" w:right="103"/>
              <w:jc w:val="left"/>
              <w:rPr>
                <w:rFonts w:ascii="宋体" w:hAnsi="宋体" w:cs="宋体" w:eastAsia="宋体" w:hint="default"/>
                <w:sz w:val="18"/>
                <w:szCs w:val="18"/>
              </w:rPr>
            </w:pPr>
            <w:r>
              <w:rPr>
                <w:rFonts w:ascii="宋体" w:hAnsi="宋体" w:cs="宋体" w:eastAsia="宋体" w:hint="default"/>
                <w:spacing w:val="10"/>
                <w:sz w:val="18"/>
                <w:szCs w:val="18"/>
              </w:rPr>
              <w:t>广西大宗茧丝交易市场有限责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任公司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1,000.00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54.60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54.60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1,000.00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03"/>
              <w:jc w:val="left"/>
              <w:rPr>
                <w:rFonts w:ascii="宋体" w:hAnsi="宋体" w:cs="宋体" w:eastAsia="宋体" w:hint="default"/>
                <w:sz w:val="18"/>
                <w:szCs w:val="18"/>
              </w:rPr>
            </w:pPr>
            <w:r>
              <w:rPr>
                <w:rFonts w:ascii="宋体" w:hAnsi="宋体" w:cs="宋体" w:eastAsia="宋体" w:hint="default"/>
                <w:spacing w:val="10"/>
                <w:sz w:val="18"/>
                <w:szCs w:val="18"/>
              </w:rPr>
              <w:t>广西海吉星国际农产品物流有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300.00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7,931.20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131.20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8,100.00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03"/>
              <w:jc w:val="left"/>
              <w:rPr>
                <w:rFonts w:ascii="宋体" w:hAnsi="宋体" w:cs="宋体" w:eastAsia="宋体" w:hint="default"/>
                <w:sz w:val="18"/>
                <w:szCs w:val="18"/>
              </w:rPr>
            </w:pPr>
            <w:r>
              <w:rPr>
                <w:rFonts w:ascii="宋体" w:hAnsi="宋体" w:cs="宋体" w:eastAsia="宋体" w:hint="default"/>
                <w:spacing w:val="10"/>
                <w:sz w:val="18"/>
                <w:szCs w:val="18"/>
              </w:rPr>
              <w:t>宁夏海吉星国际农产品物流有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Garamond" w:hAnsi="Garamond" w:cs="Garamond" w:eastAsia="Garamond" w:hint="default"/>
                <w:sz w:val="18"/>
                <w:szCs w:val="18"/>
              </w:rPr>
            </w:pPr>
            <w:r>
              <w:rPr>
                <w:rFonts w:ascii="Garamond"/>
                <w:w w:val="100"/>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Garamond" w:hAnsi="Garamond" w:cs="Garamond" w:eastAsia="Garamond" w:hint="default"/>
                <w:sz w:val="18"/>
                <w:szCs w:val="18"/>
              </w:rPr>
            </w:pPr>
            <w:r>
              <w:rPr>
                <w:rFonts w:ascii="Garamond"/>
                <w:sz w:val="18"/>
              </w:rPr>
              <w:t>3.00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Garamond" w:hAnsi="Garamond" w:cs="Garamond" w:eastAsia="Garamond" w:hint="default"/>
                <w:sz w:val="18"/>
                <w:szCs w:val="18"/>
              </w:rPr>
            </w:pPr>
            <w:r>
              <w:rPr>
                <w:rFonts w:ascii="Garamond"/>
                <w:w w:val="100"/>
                <w:sz w:val="18"/>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Garamond" w:hAnsi="Garamond" w:cs="Garamond" w:eastAsia="Garamond" w:hint="default"/>
                <w:sz w:val="18"/>
                <w:szCs w:val="18"/>
              </w:rPr>
            </w:pPr>
            <w:r>
              <w:rPr>
                <w:rFonts w:ascii="Garamond"/>
                <w:sz w:val="18"/>
              </w:rPr>
              <w:t>3.00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
              <w:jc w:val="center"/>
              <w:rPr>
                <w:rFonts w:ascii="Garamond" w:hAnsi="Garamond" w:cs="Garamond" w:eastAsia="Garamond" w:hint="default"/>
                <w:sz w:val="18"/>
                <w:szCs w:val="18"/>
              </w:rPr>
            </w:pPr>
            <w:r>
              <w:rPr>
                <w:rFonts w:ascii="Garamond"/>
                <w:sz w:val="18"/>
              </w:rPr>
              <w:t>1,365.34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2" w:right="0"/>
              <w:jc w:val="center"/>
              <w:rPr>
                <w:rFonts w:ascii="Garamond" w:hAnsi="Garamond" w:cs="Garamond" w:eastAsia="Garamond" w:hint="default"/>
                <w:sz w:val="18"/>
                <w:szCs w:val="18"/>
              </w:rPr>
            </w:pPr>
            <w:r>
              <w:rPr>
                <w:rFonts w:ascii="Garamond"/>
                <w:sz w:val="18"/>
              </w:rPr>
              <w:t>8.73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Garamond" w:hAnsi="Garamond" w:cs="Garamond" w:eastAsia="Garamond" w:hint="default"/>
                <w:sz w:val="18"/>
                <w:szCs w:val="18"/>
              </w:rPr>
            </w:pPr>
            <w:r>
              <w:rPr>
                <w:rFonts w:ascii="Garamond"/>
                <w:sz w:val="18"/>
              </w:rPr>
              <w:t>886.40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Garamond" w:hAnsi="Garamond" w:cs="Garamond" w:eastAsia="Garamond" w:hint="default"/>
                <w:sz w:val="18"/>
                <w:szCs w:val="18"/>
              </w:rPr>
            </w:pPr>
            <w:r>
              <w:rPr>
                <w:rFonts w:ascii="Garamond"/>
                <w:sz w:val="18"/>
              </w:rPr>
              <w:t>487.67</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深圳海吉星渔港实业有限公司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10,700.93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13,129.01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3" w:right="0"/>
              <w:jc w:val="center"/>
              <w:rPr>
                <w:rFonts w:ascii="Garamond" w:hAnsi="Garamond" w:cs="Garamond" w:eastAsia="Garamond" w:hint="default"/>
                <w:sz w:val="18"/>
                <w:szCs w:val="18"/>
              </w:rPr>
            </w:pPr>
            <w:r>
              <w:rPr>
                <w:rFonts w:ascii="Garamond"/>
                <w:w w:val="100"/>
                <w:sz w:val="18"/>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23,829.94</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05" w:right="103"/>
              <w:jc w:val="left"/>
              <w:rPr>
                <w:rFonts w:ascii="宋体" w:hAnsi="宋体" w:cs="宋体" w:eastAsia="宋体" w:hint="default"/>
                <w:sz w:val="18"/>
                <w:szCs w:val="18"/>
              </w:rPr>
            </w:pPr>
            <w:r>
              <w:rPr>
                <w:rFonts w:ascii="宋体" w:hAnsi="宋体" w:cs="宋体" w:eastAsia="宋体" w:hint="default"/>
                <w:spacing w:val="10"/>
                <w:sz w:val="18"/>
                <w:szCs w:val="18"/>
              </w:rPr>
              <w:t>深圳市布吉海鲜批发市场有限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1,284.24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100.67</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-302.80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1,687.71</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3,976.98</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12.20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302.00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3,687.18</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
              <w:jc w:val="center"/>
              <w:rPr>
                <w:rFonts w:ascii="Garamond" w:hAnsi="Garamond" w:cs="Garamond" w:eastAsia="Garamond" w:hint="default"/>
                <w:sz w:val="18"/>
                <w:szCs w:val="18"/>
              </w:rPr>
            </w:pPr>
            <w:r>
              <w:rPr>
                <w:rFonts w:ascii="Garamond"/>
                <w:sz w:val="18"/>
              </w:rPr>
              <w:t>1,845.90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2" w:right="0"/>
              <w:jc w:val="center"/>
              <w:rPr>
                <w:rFonts w:ascii="Garamond" w:hAnsi="Garamond" w:cs="Garamond" w:eastAsia="Garamond" w:hint="default"/>
                <w:sz w:val="18"/>
                <w:szCs w:val="18"/>
              </w:rPr>
            </w:pPr>
            <w:r>
              <w:rPr>
                <w:rFonts w:ascii="Garamond"/>
                <w:sz w:val="18"/>
              </w:rPr>
              <w:t>1.50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
              <w:jc w:val="center"/>
              <w:rPr>
                <w:rFonts w:ascii="Garamond" w:hAnsi="Garamond" w:cs="Garamond" w:eastAsia="Garamond" w:hint="default"/>
                <w:sz w:val="18"/>
                <w:szCs w:val="18"/>
              </w:rPr>
            </w:pPr>
            <w:r>
              <w:rPr>
                <w:rFonts w:ascii="Garamond"/>
                <w:sz w:val="18"/>
              </w:rPr>
              <w:t>12.38</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Garamond" w:hAnsi="Garamond" w:cs="Garamond" w:eastAsia="Garamond" w:hint="default"/>
                <w:sz w:val="18"/>
                <w:szCs w:val="18"/>
              </w:rPr>
            </w:pPr>
            <w:r>
              <w:rPr>
                <w:rFonts w:ascii="Garamond"/>
                <w:sz w:val="18"/>
              </w:rPr>
              <w:t>1,835.02</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6,340.84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32.46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3,059.50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3,313.80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31" w:hRule="exact"/>
        </w:trPr>
        <w:tc>
          <w:tcPr>
            <w:tcW w:w="1260" w:type="dxa"/>
            <w:vMerge/>
            <w:tcBorders>
              <w:left w:val="single" w:sz="4" w:space="0" w:color="000008"/>
              <w:bottom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10"/>
                <w:sz w:val="18"/>
                <w:szCs w:val="18"/>
              </w:rPr>
              <w:t>深圳市农产品交易大厦有限公</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2,852.64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42.00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167.00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2,727.64</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bl>
    <w:p>
      <w:pPr>
        <w:spacing w:after="0" w:line="240" w:lineRule="auto"/>
        <w:jc w:val="right"/>
        <w:rPr>
          <w:rFonts w:ascii="宋体" w:hAnsi="宋体" w:cs="宋体" w:eastAsia="宋体" w:hint="default"/>
          <w:sz w:val="18"/>
          <w:szCs w:val="18"/>
        </w:rPr>
        <w:sectPr>
          <w:headerReference w:type="default" r:id="rId135"/>
          <w:footerReference w:type="default" r:id="rId136"/>
          <w:pgSz w:w="16840" w:h="11910" w:orient="landscape"/>
          <w:pgMar w:header="689" w:footer="777" w:top="1380" w:bottom="960" w:left="920" w:right="220"/>
          <w:pgNumType w:start="71"/>
        </w:sectPr>
      </w:pPr>
    </w:p>
    <w:p>
      <w:pPr>
        <w:spacing w:line="240" w:lineRule="auto" w:before="11"/>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260"/>
        <w:gridCol w:w="2700"/>
        <w:gridCol w:w="1620"/>
        <w:gridCol w:w="1440"/>
        <w:gridCol w:w="1260"/>
        <w:gridCol w:w="1440"/>
        <w:gridCol w:w="1440"/>
        <w:gridCol w:w="1800"/>
        <w:gridCol w:w="1080"/>
        <w:gridCol w:w="1440"/>
      </w:tblGrid>
      <w:tr>
        <w:trPr>
          <w:trHeight w:val="329" w:hRule="exact"/>
        </w:trPr>
        <w:tc>
          <w:tcPr>
            <w:tcW w:w="1260" w:type="dxa"/>
            <w:vMerge w:val="restart"/>
            <w:tcBorders>
              <w:top w:val="single" w:sz="4" w:space="0" w:color="000008"/>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2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深圳市农产品交易中心公司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5" w:right="0"/>
              <w:jc w:val="center"/>
              <w:rPr>
                <w:rFonts w:ascii="Garamond" w:hAnsi="Garamond" w:cs="Garamond" w:eastAsia="Garamond" w:hint="default"/>
                <w:sz w:val="18"/>
                <w:szCs w:val="18"/>
              </w:rPr>
            </w:pPr>
            <w:r>
              <w:rPr>
                <w:rFonts w:ascii="Garamond"/>
                <w:w w:val="100"/>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2" w:right="0"/>
              <w:jc w:val="center"/>
              <w:rPr>
                <w:rFonts w:ascii="Garamond" w:hAnsi="Garamond" w:cs="Garamond" w:eastAsia="Garamond" w:hint="default"/>
                <w:sz w:val="18"/>
                <w:szCs w:val="18"/>
              </w:rPr>
            </w:pPr>
            <w:r>
              <w:rPr>
                <w:rFonts w:ascii="Garamond"/>
                <w:sz w:val="18"/>
              </w:rPr>
              <w:t>9.04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3" w:right="0"/>
              <w:jc w:val="center"/>
              <w:rPr>
                <w:rFonts w:ascii="Garamond" w:hAnsi="Garamond" w:cs="Garamond" w:eastAsia="Garamond" w:hint="default"/>
                <w:sz w:val="18"/>
                <w:szCs w:val="18"/>
              </w:rPr>
            </w:pPr>
            <w:r>
              <w:rPr>
                <w:rFonts w:ascii="Garamond"/>
                <w:w w:val="100"/>
                <w:sz w:val="18"/>
              </w:rPr>
              <w:t>-</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2" w:right="0"/>
              <w:jc w:val="center"/>
              <w:rPr>
                <w:rFonts w:ascii="Garamond" w:hAnsi="Garamond" w:cs="Garamond" w:eastAsia="Garamond" w:hint="default"/>
                <w:sz w:val="18"/>
                <w:szCs w:val="18"/>
              </w:rPr>
            </w:pPr>
            <w:r>
              <w:rPr>
                <w:rFonts w:ascii="Garamond"/>
                <w:sz w:val="18"/>
              </w:rPr>
              <w:t>9.04</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6"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05" w:right="103"/>
              <w:jc w:val="left"/>
              <w:rPr>
                <w:rFonts w:ascii="宋体" w:hAnsi="宋体" w:cs="宋体" w:eastAsia="宋体" w:hint="default"/>
                <w:sz w:val="18"/>
                <w:szCs w:val="18"/>
              </w:rPr>
            </w:pPr>
            <w:r>
              <w:rPr>
                <w:rFonts w:ascii="宋体" w:hAnsi="宋体" w:cs="宋体" w:eastAsia="宋体" w:hint="default"/>
                <w:spacing w:val="10"/>
                <w:sz w:val="18"/>
                <w:szCs w:val="18"/>
              </w:rPr>
              <w:t>深圳市农产品配送中心有限公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103.37</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21.50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19.20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105.67</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634"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5" w:right="103"/>
              <w:jc w:val="left"/>
              <w:rPr>
                <w:rFonts w:ascii="宋体" w:hAnsi="宋体" w:cs="宋体" w:eastAsia="宋体" w:hint="default"/>
                <w:sz w:val="18"/>
                <w:szCs w:val="18"/>
              </w:rPr>
            </w:pPr>
            <w:r>
              <w:rPr>
                <w:rFonts w:ascii="宋体" w:hAnsi="宋体" w:cs="宋体" w:eastAsia="宋体" w:hint="default"/>
                <w:spacing w:val="10"/>
                <w:sz w:val="18"/>
                <w:szCs w:val="18"/>
              </w:rPr>
              <w:t>深圳市农产品肉类配送有限公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Garamond" w:hAnsi="Garamond" w:cs="Garamond" w:eastAsia="Garamond" w:hint="default"/>
                <w:sz w:val="18"/>
                <w:szCs w:val="18"/>
              </w:rPr>
            </w:pPr>
            <w:r>
              <w:rPr>
                <w:rFonts w:ascii="Garamond"/>
                <w:sz w:val="18"/>
              </w:rPr>
              <w:t>66.10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31.00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35.00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Garamond" w:hAnsi="Garamond" w:cs="Garamond" w:eastAsia="Garamond" w:hint="default"/>
                <w:sz w:val="18"/>
                <w:szCs w:val="18"/>
              </w:rPr>
            </w:pPr>
            <w:r>
              <w:rPr>
                <w:rFonts w:ascii="Garamond"/>
                <w:sz w:val="18"/>
              </w:rPr>
              <w:t>62.10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深圳市农牧实业公司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387.99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2" w:right="0"/>
              <w:jc w:val="center"/>
              <w:rPr>
                <w:rFonts w:ascii="Garamond" w:hAnsi="Garamond" w:cs="Garamond" w:eastAsia="Garamond" w:hint="default"/>
                <w:sz w:val="18"/>
                <w:szCs w:val="18"/>
              </w:rPr>
            </w:pPr>
            <w:r>
              <w:rPr>
                <w:rFonts w:ascii="Garamond"/>
                <w:sz w:val="18"/>
              </w:rPr>
              <w:t>6.00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left="2" w:right="0"/>
              <w:jc w:val="center"/>
              <w:rPr>
                <w:rFonts w:ascii="Garamond" w:hAnsi="Garamond" w:cs="Garamond" w:eastAsia="Garamond" w:hint="default"/>
                <w:sz w:val="18"/>
                <w:szCs w:val="18"/>
              </w:rPr>
            </w:pPr>
            <w:r>
              <w:rPr>
                <w:rFonts w:ascii="Garamond"/>
                <w:sz w:val="18"/>
              </w:rPr>
              <w:t>6.00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387.99</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西安摩尔农产品有限责任公司</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
              <w:jc w:val="center"/>
              <w:rPr>
                <w:rFonts w:ascii="Garamond" w:hAnsi="Garamond" w:cs="Garamond" w:eastAsia="Garamond" w:hint="default"/>
                <w:sz w:val="18"/>
                <w:szCs w:val="18"/>
              </w:rPr>
            </w:pPr>
            <w:r>
              <w:rPr>
                <w:rFonts w:ascii="Garamond"/>
                <w:sz w:val="18"/>
              </w:rPr>
              <w:t>4,337.98</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Garamond" w:hAnsi="Garamond" w:cs="Garamond" w:eastAsia="Garamond" w:hint="default"/>
                <w:sz w:val="18"/>
                <w:szCs w:val="18"/>
              </w:rPr>
            </w:pPr>
            <w:r>
              <w:rPr>
                <w:rFonts w:ascii="Garamond"/>
                <w:sz w:val="18"/>
              </w:rPr>
              <w:t>2,200.94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2" w:right="0"/>
              <w:jc w:val="center"/>
              <w:rPr>
                <w:rFonts w:ascii="Garamond" w:hAnsi="Garamond" w:cs="Garamond" w:eastAsia="Garamond" w:hint="default"/>
                <w:sz w:val="18"/>
                <w:szCs w:val="18"/>
              </w:rPr>
            </w:pPr>
            <w:r>
              <w:rPr>
                <w:rFonts w:ascii="Garamond"/>
                <w:sz w:val="18"/>
              </w:rPr>
              <w:t>3.78</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Garamond" w:hAnsi="Garamond" w:cs="Garamond" w:eastAsia="Garamond" w:hint="default"/>
                <w:sz w:val="18"/>
                <w:szCs w:val="18"/>
              </w:rPr>
            </w:pPr>
            <w:r>
              <w:rPr>
                <w:rFonts w:ascii="Garamond"/>
                <w:sz w:val="18"/>
              </w:rPr>
              <w:t>6,535.14</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0"/>
              <w:jc w:val="righ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60" w:type="dxa"/>
            <w:vMerge/>
            <w:tcBorders>
              <w:left w:val="single" w:sz="4" w:space="0" w:color="000008"/>
              <w:bottom w:val="single" w:sz="4" w:space="0" w:color="000008"/>
              <w:right w:val="single" w:sz="4" w:space="0" w:color="000008"/>
            </w:tcBorders>
          </w:tcPr>
          <w:p>
            <w:pP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2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47,438.21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30,182.36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15,350.66</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62,269.91</w:t>
            </w: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329" w:hRule="exact"/>
        </w:trPr>
        <w:tc>
          <w:tcPr>
            <w:tcW w:w="7020"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0"/>
              <w:jc w:val="center"/>
              <w:rPr>
                <w:rFonts w:ascii="Garamond" w:hAnsi="Garamond" w:cs="Garamond" w:eastAsia="Garamond" w:hint="default"/>
                <w:sz w:val="18"/>
                <w:szCs w:val="18"/>
              </w:rPr>
            </w:pPr>
            <w:r>
              <w:rPr>
                <w:rFonts w:ascii="Garamond"/>
                <w:sz w:val="18"/>
              </w:rPr>
              <w:t>68,664.34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35,234.44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21,689.72</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8"/>
              <w:ind w:right="1"/>
              <w:jc w:val="center"/>
              <w:rPr>
                <w:rFonts w:ascii="Garamond" w:hAnsi="Garamond" w:cs="Garamond" w:eastAsia="Garamond" w:hint="default"/>
                <w:sz w:val="18"/>
                <w:szCs w:val="18"/>
              </w:rPr>
            </w:pPr>
            <w:r>
              <w:rPr>
                <w:rFonts w:ascii="Garamond"/>
                <w:sz w:val="18"/>
              </w:rPr>
              <w:t>82,209.06</w:t>
            </w:r>
          </w:p>
        </w:tc>
        <w:tc>
          <w:tcPr>
            <w:tcW w:w="108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pStyle w:val="BodyText"/>
        <w:tabs>
          <w:tab w:pos="1909" w:val="left" w:leader="none"/>
        </w:tabs>
        <w:spacing w:line="357" w:lineRule="auto" w:before="26"/>
        <w:ind w:left="949" w:right="1450"/>
        <w:jc w:val="left"/>
      </w:pPr>
      <w:r>
        <w:rPr/>
        <w:t>第十节</w:t>
        <w:tab/>
        <w:t>信息披露报刊和网站 </w:t>
      </w:r>
      <w:r>
        <w:rPr>
          <w:spacing w:val="5"/>
        </w:rPr>
        <w:t>报告期内，公司选定《证券时报》、《中国证券报》、《上海证券报》和《证券日报》作为指定信息披露报刊，巨潮资讯网</w:t>
      </w:r>
    </w:p>
    <w:p>
      <w:pPr>
        <w:pStyle w:val="BodyText"/>
        <w:spacing w:line="240" w:lineRule="auto"/>
        <w:ind w:left="469" w:right="1450"/>
        <w:jc w:val="left"/>
      </w:pPr>
      <w:hyperlink r:id="rId10">
        <w:r>
          <w:rPr/>
          <w:t>（www.cninfo.com.cn</w:t>
        </w:r>
      </w:hyperlink>
      <w:r>
        <w:rPr/>
        <w:t>）作为指定信息披露网站。</w:t>
      </w:r>
    </w:p>
    <w:p>
      <w:pPr>
        <w:spacing w:after="0" w:line="240" w:lineRule="auto"/>
        <w:jc w:val="left"/>
        <w:sectPr>
          <w:pgSz w:w="16840" w:h="11910" w:orient="landscape"/>
          <w:pgMar w:header="689" w:footer="777" w:top="1380" w:bottom="960" w:left="920" w:right="220"/>
        </w:sectPr>
      </w:pPr>
    </w:p>
    <w:p>
      <w:pPr>
        <w:spacing w:line="240" w:lineRule="auto" w:before="2"/>
        <w:rPr>
          <w:rFonts w:ascii="宋体" w:hAnsi="宋体" w:cs="宋体" w:eastAsia="宋体" w:hint="default"/>
          <w:sz w:val="9"/>
          <w:szCs w:val="9"/>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5.9pt;height:.75pt;mso-position-horizontal-relative:char;mso-position-vertical-relative:line" coordorigin="0,0" coordsize="8518,15">
            <v:group style="position:absolute;left:7;top:7;width:8504;height:2" coordorigin="7,7" coordsize="8504,2">
              <v:shape style="position:absolute;left:7;top:7;width:8504;height:2" coordorigin="7,7" coordsize="8504,0" path="m7,7l8510,7e" filled="false" stroked="true" strokeweight=".72pt" strokecolor="#000008">
                <v:path arrowok="t"/>
              </v:shape>
            </v:group>
          </v:group>
        </w:pict>
      </w:r>
      <w:r>
        <w:rPr>
          <w:rFonts w:ascii="宋体" w:hAnsi="宋体" w:cs="宋体" w:eastAsia="宋体" w:hint="default"/>
          <w:sz w:val="2"/>
          <w:szCs w:val="2"/>
        </w:rPr>
      </w:r>
    </w:p>
    <w:p>
      <w:pPr>
        <w:pStyle w:val="Heading4"/>
        <w:spacing w:line="240" w:lineRule="auto" w:before="68"/>
        <w:ind w:right="3156"/>
        <w:jc w:val="center"/>
      </w:pPr>
      <w:r>
        <w:rPr/>
        <w:t>第八章</w:t>
      </w:r>
      <w:r>
        <w:rPr>
          <w:spacing w:val="7"/>
        </w:rPr>
        <w:t> </w:t>
      </w:r>
      <w:r>
        <w:rPr/>
        <w:t>监事会报告</w:t>
      </w:r>
    </w:p>
    <w:p>
      <w:pPr>
        <w:pStyle w:val="BodyText"/>
        <w:spacing w:line="357" w:lineRule="auto" w:before="186"/>
        <w:ind w:left="137" w:right="146" w:firstLine="480"/>
        <w:jc w:val="both"/>
      </w:pPr>
      <w:r>
        <w:rPr/>
        <w:t>2009</w:t>
      </w:r>
      <w:r>
        <w:rPr>
          <w:spacing w:val="-60"/>
        </w:rPr>
        <w:t> </w:t>
      </w:r>
      <w:r>
        <w:rPr/>
        <w:t>年是农产品公司“网络化”战略全面推进的一年，面对全球经济危机和</w:t>
      </w:r>
      <w:r>
        <w:rPr/>
        <w:t> 行业竞争的加剧，公司董事会和经理班子积极采取应对措施，努力化解各种不利</w:t>
      </w:r>
      <w:r>
        <w:rPr>
          <w:spacing w:val="-91"/>
        </w:rPr>
        <w:t> </w:t>
      </w:r>
      <w:r>
        <w:rPr>
          <w:spacing w:val="-91"/>
        </w:rPr>
      </w:r>
      <w:r>
        <w:rPr/>
        <w:t>影响，坚定不移地推进电子结算等网络化基础工作。公司监事会认为，董事会决</w:t>
      </w:r>
      <w:r>
        <w:rPr>
          <w:spacing w:val="-91"/>
        </w:rPr>
        <w:t> </w:t>
      </w:r>
      <w:r>
        <w:rPr>
          <w:spacing w:val="-91"/>
        </w:rPr>
      </w:r>
      <w:r>
        <w:rPr/>
        <w:t>策符合形势发展的需要，经理班子在执行战略过程中重点突出、措施得力，取得</w:t>
      </w:r>
      <w:r>
        <w:rPr>
          <w:spacing w:val="-91"/>
        </w:rPr>
        <w:t> </w:t>
      </w:r>
      <w:r>
        <w:rPr>
          <w:spacing w:val="-91"/>
        </w:rPr>
      </w:r>
      <w:r>
        <w:rPr/>
        <w:t>了良好的业绩，在经营创新、管理提升和公司治理等方面也取得了显著成效。</w:t>
      </w:r>
    </w:p>
    <w:p>
      <w:pPr>
        <w:pStyle w:val="BodyText"/>
        <w:spacing w:line="357" w:lineRule="auto"/>
        <w:ind w:left="137" w:right="141" w:firstLine="480"/>
        <w:jc w:val="both"/>
      </w:pPr>
      <w:r>
        <w:rPr>
          <w:spacing w:val="-6"/>
        </w:rPr>
        <w:t>报告期内，监事会依照国家有关法律法规和《公司章程》，本着保证公司依法</w:t>
      </w:r>
      <w:r>
        <w:rPr/>
        <w:t> </w:t>
      </w:r>
      <w:r>
        <w:rPr>
          <w:spacing w:val="-2"/>
          <w:w w:val="95"/>
        </w:rPr>
        <w:t>规范运作和对全体股东负责的精神，认真履行职责，对公司依法运作、财务状况、</w:t>
      </w:r>
      <w:r>
        <w:rPr>
          <w:spacing w:val="98"/>
          <w:w w:val="95"/>
        </w:rPr>
        <w:t> </w:t>
      </w:r>
      <w:r>
        <w:rPr>
          <w:spacing w:val="98"/>
          <w:w w:val="95"/>
        </w:rPr>
      </w:r>
      <w:r>
        <w:rPr/>
        <w:t>风险管理体系建设和工程项目建设等事项进行了认真监督检查，保障了公司和股</w:t>
      </w:r>
      <w:r>
        <w:rPr>
          <w:spacing w:val="-91"/>
        </w:rPr>
        <w:t> </w:t>
      </w:r>
      <w:r>
        <w:rPr>
          <w:spacing w:val="-91"/>
        </w:rPr>
      </w:r>
      <w:r>
        <w:rPr/>
        <w:t>东的利益。</w:t>
      </w:r>
    </w:p>
    <w:p>
      <w:pPr>
        <w:pStyle w:val="BodyText"/>
        <w:tabs>
          <w:tab w:pos="1697" w:val="left" w:leader="none"/>
        </w:tabs>
        <w:spacing w:line="240" w:lineRule="auto"/>
        <w:ind w:left="617" w:right="25"/>
        <w:jc w:val="left"/>
      </w:pPr>
      <w:r>
        <w:rPr/>
        <w:t>第一节</w:t>
        <w:tab/>
        <w:t>监事会会议情况</w:t>
      </w:r>
    </w:p>
    <w:p>
      <w:pPr>
        <w:pStyle w:val="BodyText"/>
        <w:spacing w:line="240" w:lineRule="auto" w:before="154"/>
        <w:ind w:left="617" w:right="25"/>
        <w:jc w:val="left"/>
      </w:pPr>
      <w:r>
        <w:rPr/>
        <w:t>2009</w:t>
      </w:r>
      <w:r>
        <w:rPr>
          <w:spacing w:val="-60"/>
        </w:rPr>
        <w:t> </w:t>
      </w:r>
      <w:r>
        <w:rPr/>
        <w:t>年，监事会共召开了</w:t>
      </w:r>
      <w:r>
        <w:rPr>
          <w:spacing w:val="-60"/>
        </w:rPr>
        <w:t> </w:t>
      </w:r>
      <w:r>
        <w:rPr/>
        <w:t>8</w:t>
      </w:r>
      <w:r>
        <w:rPr>
          <w:spacing w:val="-60"/>
        </w:rPr>
        <w:t> </w:t>
      </w:r>
      <w:r>
        <w:rPr/>
        <w:t>次会议，审议通过了</w:t>
      </w:r>
      <w:r>
        <w:rPr>
          <w:spacing w:val="-60"/>
        </w:rPr>
        <w:t> </w:t>
      </w:r>
      <w:r>
        <w:rPr/>
        <w:t>22</w:t>
      </w:r>
      <w:r>
        <w:rPr>
          <w:spacing w:val="-60"/>
        </w:rPr>
        <w:t> </w:t>
      </w:r>
      <w:r>
        <w:rPr/>
        <w:t>个议案。</w:t>
      </w:r>
    </w:p>
    <w:p>
      <w:pPr>
        <w:pStyle w:val="BodyText"/>
        <w:spacing w:line="240" w:lineRule="auto" w:before="154"/>
        <w:ind w:left="617" w:right="25"/>
        <w:jc w:val="left"/>
      </w:pPr>
      <w:r>
        <w:rPr/>
        <w:t>1、第五届监事会第八次会议于</w:t>
      </w:r>
      <w:r>
        <w:rPr>
          <w:spacing w:val="-60"/>
        </w:rPr>
        <w:t> </w:t>
      </w:r>
      <w:r>
        <w:rPr/>
        <w:t>2009</w:t>
      </w:r>
      <w:r>
        <w:rPr>
          <w:spacing w:val="-54"/>
        </w:rPr>
        <w:t> </w:t>
      </w:r>
      <w:r>
        <w:rPr/>
        <w:t>年</w:t>
      </w:r>
      <w:r>
        <w:rPr>
          <w:spacing w:val="-54"/>
        </w:rPr>
        <w:t> </w:t>
      </w:r>
      <w:r>
        <w:rPr/>
        <w:t>2</w:t>
      </w:r>
      <w:r>
        <w:rPr>
          <w:spacing w:val="-54"/>
        </w:rPr>
        <w:t> </w:t>
      </w:r>
      <w:r>
        <w:rPr/>
        <w:t>月</w:t>
      </w:r>
      <w:r>
        <w:rPr>
          <w:spacing w:val="-54"/>
        </w:rPr>
        <w:t> </w:t>
      </w:r>
      <w:r>
        <w:rPr/>
        <w:t>17</w:t>
      </w:r>
      <w:r>
        <w:rPr>
          <w:spacing w:val="-54"/>
        </w:rPr>
        <w:t> </w:t>
      </w:r>
      <w:r>
        <w:rPr/>
        <w:t>日下午</w:t>
      </w:r>
      <w:r>
        <w:rPr>
          <w:spacing w:val="-54"/>
        </w:rPr>
        <w:t> </w:t>
      </w:r>
      <w:r>
        <w:rPr/>
        <w:t>4:30</w:t>
      </w:r>
      <w:r>
        <w:rPr>
          <w:spacing w:val="-54"/>
        </w:rPr>
        <w:t> </w:t>
      </w:r>
      <w:r>
        <w:rPr/>
        <w:t>在深圳市罗湖区</w:t>
      </w:r>
    </w:p>
    <w:p>
      <w:pPr>
        <w:pStyle w:val="BodyText"/>
        <w:spacing w:line="240" w:lineRule="auto" w:before="154"/>
        <w:ind w:left="137" w:right="25"/>
        <w:jc w:val="left"/>
      </w:pPr>
      <w:r>
        <w:rPr/>
        <w:t>布吉路</w:t>
      </w:r>
      <w:r>
        <w:rPr>
          <w:spacing w:val="-63"/>
        </w:rPr>
        <w:t> </w:t>
      </w:r>
      <w:r>
        <w:rPr/>
        <w:t>1021</w:t>
      </w:r>
      <w:r>
        <w:rPr>
          <w:spacing w:val="-67"/>
        </w:rPr>
        <w:t> </w:t>
      </w:r>
      <w:r>
        <w:rPr>
          <w:spacing w:val="2"/>
        </w:rPr>
        <w:t>号天乐大厦</w:t>
      </w:r>
      <w:r>
        <w:rPr>
          <w:spacing w:val="-61"/>
        </w:rPr>
        <w:t> </w:t>
      </w:r>
      <w:r>
        <w:rPr/>
        <w:t>22</w:t>
      </w:r>
      <w:r>
        <w:rPr>
          <w:spacing w:val="-67"/>
        </w:rPr>
        <w:t> </w:t>
      </w:r>
      <w:r>
        <w:rPr>
          <w:spacing w:val="3"/>
        </w:rPr>
        <w:t>楼会议室召开；会议应到监事</w:t>
      </w:r>
      <w:r>
        <w:rPr>
          <w:spacing w:val="-61"/>
        </w:rPr>
        <w:t> </w:t>
      </w:r>
      <w:r>
        <w:rPr/>
        <w:t>5</w:t>
      </w:r>
      <w:r>
        <w:rPr>
          <w:spacing w:val="-67"/>
        </w:rPr>
        <w:t> </w:t>
      </w:r>
      <w:r>
        <w:rPr>
          <w:spacing w:val="2"/>
        </w:rPr>
        <w:t>人，实到监事</w:t>
      </w:r>
      <w:r>
        <w:rPr>
          <w:spacing w:val="-63"/>
        </w:rPr>
        <w:t> </w:t>
      </w:r>
      <w:r>
        <w:rPr/>
        <w:t>5</w:t>
      </w:r>
      <w:r>
        <w:rPr>
          <w:spacing w:val="-67"/>
        </w:rPr>
        <w:t> </w:t>
      </w:r>
      <w:r>
        <w:rPr/>
        <w:t>人</w:t>
      </w:r>
      <w:r>
        <w:rPr>
          <w:spacing w:val="-72"/>
        </w:rPr>
        <w:t> </w:t>
      </w:r>
      <w:r>
        <w:rPr/>
        <w:t>。</w:t>
      </w:r>
    </w:p>
    <w:p>
      <w:pPr>
        <w:pStyle w:val="BodyText"/>
        <w:spacing w:line="357" w:lineRule="auto" w:before="154"/>
        <w:ind w:left="137" w:right="140"/>
        <w:jc w:val="left"/>
      </w:pPr>
      <w:r>
        <w:rPr/>
        <w:t>会议审议通过</w:t>
      </w:r>
      <w:r>
        <w:rPr>
          <w:spacing w:val="-27"/>
        </w:rPr>
        <w:t>了</w:t>
      </w:r>
      <w:r>
        <w:rPr>
          <w:spacing w:val="-3"/>
        </w:rPr>
        <w:t>《</w:t>
      </w:r>
      <w:r>
        <w:rPr/>
        <w:t>深圳市农产品股份公司</w:t>
      </w:r>
      <w:r>
        <w:rPr>
          <w:spacing w:val="-60"/>
        </w:rPr>
        <w:t> </w:t>
      </w:r>
      <w:r>
        <w:rPr/>
        <w:t>2008</w:t>
      </w:r>
      <w:r>
        <w:rPr>
          <w:spacing w:val="-60"/>
        </w:rPr>
        <w:t> </w:t>
      </w:r>
      <w:r>
        <w:rPr>
          <w:spacing w:val="19"/>
          <w:w w:val="92"/>
        </w:rPr>
        <w:t>年度监事会工作总</w:t>
      </w:r>
      <w:r>
        <w:rPr>
          <w:w w:val="92"/>
        </w:rPr>
        <w:t>结</w:t>
      </w:r>
      <w:r>
        <w:rPr>
          <w:spacing w:val="-101"/>
        </w:rPr>
        <w:t> </w:t>
      </w:r>
      <w:r>
        <w:rPr>
          <w:spacing w:val="-100"/>
          <w:w w:val="92"/>
        </w:rPr>
        <w:t>》</w:t>
      </w:r>
      <w:r>
        <w:rPr>
          <w:spacing w:val="-129"/>
          <w:w w:val="92"/>
        </w:rPr>
        <w:t>、</w:t>
      </w:r>
      <w:r>
        <w:rPr>
          <w:spacing w:val="17"/>
          <w:w w:val="92"/>
        </w:rPr>
        <w:t>《</w:t>
      </w:r>
      <w:r>
        <w:rPr>
          <w:w w:val="92"/>
        </w:rPr>
        <w:t>关</w:t>
      </w:r>
      <w:r>
        <w:rPr>
          <w:spacing w:val="-101"/>
        </w:rPr>
        <w:t> </w:t>
      </w:r>
      <w:r>
        <w:rPr>
          <w:spacing w:val="19"/>
          <w:w w:val="92"/>
        </w:rPr>
        <w:t>于</w:t>
      </w:r>
      <w:r>
        <w:rPr>
          <w:spacing w:val="10"/>
          <w:w w:val="92"/>
        </w:rPr>
        <w:t>变</w:t>
      </w:r>
      <w:r>
        <w:rPr/>
        <w:t>更</w:t>
      </w:r>
      <w:r>
        <w:rPr/>
        <w:t> 公司部分监事的议案》和《关于变更公司部分独立董事的议案</w:t>
      </w:r>
      <w:r>
        <w:rPr>
          <w:spacing w:val="-118"/>
        </w:rPr>
        <w:t>》</w:t>
      </w:r>
      <w:r>
        <w:rPr/>
        <w:t>。</w:t>
      </w:r>
    </w:p>
    <w:p>
      <w:pPr>
        <w:pStyle w:val="BodyText"/>
        <w:spacing w:line="240" w:lineRule="auto"/>
        <w:ind w:left="617" w:right="25"/>
        <w:jc w:val="left"/>
      </w:pPr>
      <w:r>
        <w:rPr/>
        <w:t>2、第五届监事会第九次会议于</w:t>
      </w:r>
      <w:r>
        <w:rPr>
          <w:spacing w:val="-60"/>
        </w:rPr>
        <w:t> </w:t>
      </w:r>
      <w:r>
        <w:rPr/>
        <w:t>2009</w:t>
      </w:r>
      <w:r>
        <w:rPr>
          <w:spacing w:val="-54"/>
        </w:rPr>
        <w:t> </w:t>
      </w:r>
      <w:r>
        <w:rPr/>
        <w:t>年</w:t>
      </w:r>
      <w:r>
        <w:rPr>
          <w:spacing w:val="-54"/>
        </w:rPr>
        <w:t> </w:t>
      </w:r>
      <w:r>
        <w:rPr/>
        <w:t>3</w:t>
      </w:r>
      <w:r>
        <w:rPr>
          <w:spacing w:val="-54"/>
        </w:rPr>
        <w:t> </w:t>
      </w:r>
      <w:r>
        <w:rPr/>
        <w:t>月</w:t>
      </w:r>
      <w:r>
        <w:rPr>
          <w:spacing w:val="-54"/>
        </w:rPr>
        <w:t> </w:t>
      </w:r>
      <w:r>
        <w:rPr/>
        <w:t>10</w:t>
      </w:r>
      <w:r>
        <w:rPr>
          <w:spacing w:val="-54"/>
        </w:rPr>
        <w:t> </w:t>
      </w:r>
      <w:r>
        <w:rPr/>
        <w:t>日下午</w:t>
      </w:r>
      <w:r>
        <w:rPr>
          <w:spacing w:val="-54"/>
        </w:rPr>
        <w:t> </w:t>
      </w:r>
      <w:r>
        <w:rPr/>
        <w:t>4:00</w:t>
      </w:r>
      <w:r>
        <w:rPr>
          <w:spacing w:val="-54"/>
        </w:rPr>
        <w:t> </w:t>
      </w:r>
      <w:r>
        <w:rPr/>
        <w:t>在深圳市罗湖区</w:t>
      </w:r>
    </w:p>
    <w:p>
      <w:pPr>
        <w:pStyle w:val="BodyText"/>
        <w:spacing w:line="357" w:lineRule="auto" w:before="154"/>
        <w:ind w:left="137" w:right="25"/>
        <w:jc w:val="left"/>
      </w:pPr>
      <w:r>
        <w:rPr/>
        <w:t>布吉路</w:t>
      </w:r>
      <w:r>
        <w:rPr>
          <w:spacing w:val="-63"/>
        </w:rPr>
        <w:t> </w:t>
      </w:r>
      <w:r>
        <w:rPr/>
        <w:t>1021</w:t>
      </w:r>
      <w:r>
        <w:rPr>
          <w:spacing w:val="-67"/>
        </w:rPr>
        <w:t> </w:t>
      </w:r>
      <w:r>
        <w:rPr>
          <w:spacing w:val="2"/>
        </w:rPr>
        <w:t>号天乐大厦</w:t>
      </w:r>
      <w:r>
        <w:rPr>
          <w:spacing w:val="-60"/>
        </w:rPr>
        <w:t> </w:t>
      </w:r>
      <w:r>
        <w:rPr/>
        <w:t>22</w:t>
      </w:r>
      <w:r>
        <w:rPr>
          <w:spacing w:val="-67"/>
        </w:rPr>
        <w:t> </w:t>
      </w:r>
      <w:r>
        <w:rPr>
          <w:spacing w:val="3"/>
        </w:rPr>
        <w:t>楼会议室召开。会议应到监事</w:t>
      </w:r>
      <w:r>
        <w:rPr>
          <w:spacing w:val="-60"/>
        </w:rPr>
        <w:t> </w:t>
      </w:r>
      <w:r>
        <w:rPr/>
        <w:t>5</w:t>
      </w:r>
      <w:r>
        <w:rPr>
          <w:spacing w:val="-67"/>
        </w:rPr>
        <w:t> </w:t>
      </w:r>
      <w:r>
        <w:rPr>
          <w:spacing w:val="2"/>
        </w:rPr>
        <w:t>人，实到监事</w:t>
      </w:r>
      <w:r>
        <w:rPr>
          <w:spacing w:val="-63"/>
        </w:rPr>
        <w:t> </w:t>
      </w:r>
      <w:r>
        <w:rPr/>
        <w:t>5</w:t>
      </w:r>
      <w:r>
        <w:rPr>
          <w:spacing w:val="-67"/>
        </w:rPr>
        <w:t> </w:t>
      </w:r>
      <w:r>
        <w:rPr/>
        <w:t>人</w:t>
      </w:r>
      <w:r>
        <w:rPr>
          <w:spacing w:val="-72"/>
        </w:rPr>
        <w:t> </w:t>
      </w:r>
      <w:r>
        <w:rPr/>
        <w:t>。</w:t>
      </w:r>
      <w:r>
        <w:rPr>
          <w:w w:val="76"/>
        </w:rPr>
        <w:t> </w:t>
      </w:r>
      <w:r>
        <w:rPr>
          <w:spacing w:val="-5"/>
        </w:rPr>
        <w:t>会议审议通过了《关于选举公司监事会主席的议案》。</w:t>
      </w:r>
    </w:p>
    <w:p>
      <w:pPr>
        <w:pStyle w:val="BodyText"/>
        <w:spacing w:line="240" w:lineRule="auto"/>
        <w:ind w:left="617" w:right="25"/>
        <w:jc w:val="left"/>
      </w:pPr>
      <w:r>
        <w:rPr/>
        <w:t>3、第五届监事会第十次会议于</w:t>
      </w:r>
      <w:r>
        <w:rPr>
          <w:spacing w:val="-60"/>
        </w:rPr>
        <w:t> </w:t>
      </w:r>
      <w:r>
        <w:rPr/>
        <w:t>2009</w:t>
      </w:r>
      <w:r>
        <w:rPr>
          <w:spacing w:val="-54"/>
        </w:rPr>
        <w:t> </w:t>
      </w:r>
      <w:r>
        <w:rPr/>
        <w:t>年</w:t>
      </w:r>
      <w:r>
        <w:rPr>
          <w:spacing w:val="-54"/>
        </w:rPr>
        <w:t> </w:t>
      </w:r>
      <w:r>
        <w:rPr/>
        <w:t>4</w:t>
      </w:r>
      <w:r>
        <w:rPr>
          <w:spacing w:val="-54"/>
        </w:rPr>
        <w:t> </w:t>
      </w:r>
      <w:r>
        <w:rPr/>
        <w:t>月</w:t>
      </w:r>
      <w:r>
        <w:rPr>
          <w:spacing w:val="-54"/>
        </w:rPr>
        <w:t> </w:t>
      </w:r>
      <w:r>
        <w:rPr/>
        <w:t>22</w:t>
      </w:r>
      <w:r>
        <w:rPr>
          <w:spacing w:val="-54"/>
        </w:rPr>
        <w:t> </w:t>
      </w:r>
      <w:r>
        <w:rPr/>
        <w:t>日下午</w:t>
      </w:r>
      <w:r>
        <w:rPr>
          <w:spacing w:val="-54"/>
        </w:rPr>
        <w:t> </w:t>
      </w:r>
      <w:r>
        <w:rPr/>
        <w:t>2:30</w:t>
      </w:r>
      <w:r>
        <w:rPr>
          <w:spacing w:val="-54"/>
        </w:rPr>
        <w:t> </w:t>
      </w:r>
      <w:r>
        <w:rPr/>
        <w:t>在深圳市罗湖区</w:t>
      </w:r>
    </w:p>
    <w:p>
      <w:pPr>
        <w:pStyle w:val="BodyText"/>
        <w:spacing w:line="240" w:lineRule="auto" w:before="154"/>
        <w:ind w:left="137" w:right="25"/>
        <w:jc w:val="left"/>
      </w:pPr>
      <w:r>
        <w:rPr/>
        <w:t>布吉路</w:t>
      </w:r>
      <w:r>
        <w:rPr>
          <w:spacing w:val="-63"/>
        </w:rPr>
        <w:t> </w:t>
      </w:r>
      <w:r>
        <w:rPr/>
        <w:t>1021</w:t>
      </w:r>
      <w:r>
        <w:rPr>
          <w:spacing w:val="-67"/>
        </w:rPr>
        <w:t> </w:t>
      </w:r>
      <w:r>
        <w:rPr>
          <w:spacing w:val="2"/>
        </w:rPr>
        <w:t>号天乐大厦</w:t>
      </w:r>
      <w:r>
        <w:rPr>
          <w:spacing w:val="-61"/>
        </w:rPr>
        <w:t> </w:t>
      </w:r>
      <w:r>
        <w:rPr/>
        <w:t>22</w:t>
      </w:r>
      <w:r>
        <w:rPr>
          <w:spacing w:val="-67"/>
        </w:rPr>
        <w:t> </w:t>
      </w:r>
      <w:r>
        <w:rPr>
          <w:spacing w:val="3"/>
        </w:rPr>
        <w:t>楼会议室召开。会议应到监事</w:t>
      </w:r>
      <w:r>
        <w:rPr>
          <w:spacing w:val="-61"/>
        </w:rPr>
        <w:t> </w:t>
      </w:r>
      <w:r>
        <w:rPr/>
        <w:t>5</w:t>
      </w:r>
      <w:r>
        <w:rPr>
          <w:spacing w:val="-67"/>
        </w:rPr>
        <w:t> </w:t>
      </w:r>
      <w:r>
        <w:rPr>
          <w:spacing w:val="2"/>
        </w:rPr>
        <w:t>人，实到监事</w:t>
      </w:r>
      <w:r>
        <w:rPr>
          <w:spacing w:val="-63"/>
        </w:rPr>
        <w:t> </w:t>
      </w:r>
      <w:r>
        <w:rPr/>
        <w:t>5</w:t>
      </w:r>
      <w:r>
        <w:rPr>
          <w:spacing w:val="-67"/>
        </w:rPr>
        <w:t> </w:t>
      </w:r>
      <w:r>
        <w:rPr/>
        <w:t>人</w:t>
      </w:r>
      <w:r>
        <w:rPr>
          <w:spacing w:val="-72"/>
        </w:rPr>
        <w:t> </w:t>
      </w:r>
      <w:r>
        <w:rPr/>
        <w:t>。</w:t>
      </w:r>
    </w:p>
    <w:p>
      <w:pPr>
        <w:pStyle w:val="BodyText"/>
        <w:spacing w:line="240" w:lineRule="auto" w:before="154"/>
        <w:ind w:left="137" w:right="25"/>
        <w:jc w:val="left"/>
      </w:pPr>
      <w:r>
        <w:rPr/>
        <w:t>会</w:t>
      </w:r>
      <w:r>
        <w:rPr>
          <w:spacing w:val="2"/>
        </w:rPr>
        <w:t>议审议通过了《关于公</w:t>
      </w:r>
      <w:r>
        <w:rPr/>
        <w:t>司</w:t>
      </w:r>
      <w:r>
        <w:rPr>
          <w:spacing w:val="-48"/>
        </w:rPr>
        <w:t> </w:t>
      </w:r>
      <w:r>
        <w:rPr/>
        <w:t>2008</w:t>
      </w:r>
      <w:r>
        <w:rPr>
          <w:spacing w:val="-58"/>
        </w:rPr>
        <w:t> </w:t>
      </w:r>
      <w:r>
        <w:rPr/>
        <w:t>年</w:t>
      </w:r>
      <w:r>
        <w:rPr>
          <w:spacing w:val="2"/>
        </w:rPr>
        <w:t>度监事会工作报告的议</w:t>
      </w:r>
      <w:r>
        <w:rPr/>
        <w:t>案</w:t>
      </w:r>
      <w:r>
        <w:rPr>
          <w:spacing w:val="-108"/>
        </w:rPr>
        <w:t>》</w:t>
      </w:r>
      <w:r>
        <w:rPr>
          <w:spacing w:val="-118"/>
        </w:rPr>
        <w:t>、</w:t>
      </w:r>
      <w:r>
        <w:rPr/>
        <w:t>《关</w:t>
      </w:r>
      <w:r>
        <w:rPr>
          <w:spacing w:val="2"/>
        </w:rPr>
        <w:t>于公</w:t>
      </w:r>
      <w:r>
        <w:rPr/>
        <w:t>司</w:t>
      </w:r>
      <w:r>
        <w:rPr>
          <w:spacing w:val="-46"/>
        </w:rPr>
        <w:t> </w:t>
      </w:r>
      <w:r>
        <w:rPr/>
        <w:t>2008</w:t>
      </w:r>
    </w:p>
    <w:p>
      <w:pPr>
        <w:pStyle w:val="BodyText"/>
        <w:spacing w:line="240" w:lineRule="auto" w:before="154"/>
        <w:ind w:left="137" w:right="25"/>
        <w:jc w:val="left"/>
      </w:pPr>
      <w:r>
        <w:rPr>
          <w:spacing w:val="13"/>
          <w:w w:val="94"/>
        </w:rPr>
        <w:t>年年度报告及其摘要的议案</w:t>
      </w:r>
      <w:r>
        <w:rPr>
          <w:spacing w:val="-104"/>
          <w:w w:val="94"/>
        </w:rPr>
        <w:t>》</w:t>
      </w:r>
      <w:r>
        <w:rPr>
          <w:spacing w:val="-163"/>
          <w:w w:val="94"/>
        </w:rPr>
        <w:t>、</w:t>
      </w:r>
      <w:r>
        <w:rPr>
          <w:spacing w:val="13"/>
          <w:w w:val="94"/>
        </w:rPr>
        <w:t>《关于公</w:t>
      </w:r>
      <w:r>
        <w:rPr>
          <w:w w:val="94"/>
        </w:rPr>
        <w:t>司</w:t>
      </w:r>
      <w:r>
        <w:rPr>
          <w:spacing w:val="-35"/>
        </w:rPr>
        <w:t> </w:t>
      </w:r>
      <w:r>
        <w:rPr/>
        <w:t>2008</w:t>
      </w:r>
      <w:r>
        <w:rPr>
          <w:spacing w:val="-60"/>
        </w:rPr>
        <w:t> </w:t>
      </w:r>
      <w:r>
        <w:rPr/>
        <w:t>年度审计报告带强调事项意见的专</w:t>
      </w:r>
    </w:p>
    <w:p>
      <w:pPr>
        <w:pStyle w:val="BodyText"/>
        <w:spacing w:line="240" w:lineRule="auto" w:before="154"/>
        <w:ind w:left="137" w:right="25"/>
        <w:jc w:val="left"/>
      </w:pPr>
      <w:r>
        <w:rPr>
          <w:spacing w:val="21"/>
          <w:w w:val="91"/>
        </w:rPr>
        <w:t>项说</w:t>
      </w:r>
      <w:r>
        <w:rPr>
          <w:w w:val="91"/>
        </w:rPr>
        <w:t>明</w:t>
      </w:r>
      <w:r>
        <w:rPr>
          <w:spacing w:val="-99"/>
        </w:rPr>
        <w:t> </w:t>
      </w:r>
      <w:r>
        <w:rPr>
          <w:spacing w:val="-97"/>
          <w:w w:val="91"/>
        </w:rPr>
        <w:t>》</w:t>
      </w:r>
      <w:r>
        <w:rPr>
          <w:spacing w:val="-127"/>
          <w:w w:val="91"/>
        </w:rPr>
        <w:t>、</w:t>
      </w:r>
      <w:r>
        <w:rPr>
          <w:w w:val="91"/>
        </w:rPr>
        <w:t>《</w:t>
      </w:r>
      <w:r>
        <w:rPr>
          <w:spacing w:val="-101"/>
        </w:rPr>
        <w:t> </w:t>
      </w:r>
      <w:r>
        <w:rPr>
          <w:spacing w:val="21"/>
          <w:w w:val="91"/>
        </w:rPr>
        <w:t>关于公</w:t>
      </w:r>
      <w:r>
        <w:rPr>
          <w:w w:val="91"/>
        </w:rPr>
        <w:t>司</w:t>
      </w:r>
      <w:r>
        <w:rPr>
          <w:spacing w:val="-41"/>
        </w:rPr>
        <w:t> </w:t>
      </w:r>
      <w:r>
        <w:rPr/>
        <w:t>2008</w:t>
      </w:r>
      <w:r>
        <w:rPr>
          <w:spacing w:val="-60"/>
        </w:rPr>
        <w:t> </w:t>
      </w:r>
      <w:r>
        <w:rPr/>
        <w:t>年度财务决算报告和利润分配预案的议案</w:t>
      </w:r>
      <w:r>
        <w:rPr>
          <w:spacing w:val="-118"/>
        </w:rPr>
        <w:t>》</w:t>
      </w:r>
      <w:r>
        <w:rPr>
          <w:spacing w:val="-147"/>
        </w:rPr>
        <w:t>、</w:t>
      </w:r>
      <w:r>
        <w:rPr>
          <w:spacing w:val="-3"/>
        </w:rPr>
        <w:t>《</w:t>
      </w:r>
      <w:r>
        <w:rPr/>
        <w:t>关于</w:t>
      </w:r>
      <w:r>
        <w:rPr>
          <w:spacing w:val="-3"/>
        </w:rPr>
        <w:t>修</w:t>
      </w:r>
      <w:r>
        <w:rPr/>
        <w:t>改</w:t>
      </w:r>
    </w:p>
    <w:p>
      <w:pPr>
        <w:pStyle w:val="BodyText"/>
        <w:spacing w:line="240" w:lineRule="auto" w:before="154"/>
        <w:ind w:left="137" w:right="25"/>
        <w:jc w:val="left"/>
      </w:pPr>
      <w:r>
        <w:rPr>
          <w:spacing w:val="17"/>
          <w:w w:val="93"/>
        </w:rPr>
        <w:t>公司章程的议案</w:t>
      </w:r>
      <w:r>
        <w:rPr>
          <w:spacing w:val="-101"/>
          <w:w w:val="93"/>
        </w:rPr>
        <w:t>》</w:t>
      </w:r>
      <w:r>
        <w:rPr>
          <w:spacing w:val="-132"/>
          <w:w w:val="93"/>
        </w:rPr>
        <w:t>、</w:t>
      </w:r>
      <w:r>
        <w:rPr>
          <w:spacing w:val="13"/>
          <w:w w:val="93"/>
        </w:rPr>
        <w:t>《</w:t>
      </w:r>
      <w:r>
        <w:rPr>
          <w:spacing w:val="17"/>
          <w:w w:val="93"/>
        </w:rPr>
        <w:t>关于公司资产减值准备的议案</w:t>
      </w:r>
      <w:r>
        <w:rPr>
          <w:spacing w:val="-101"/>
          <w:w w:val="93"/>
        </w:rPr>
        <w:t>》</w:t>
      </w:r>
      <w:r>
        <w:rPr>
          <w:spacing w:val="-130"/>
          <w:w w:val="93"/>
        </w:rPr>
        <w:t>、</w:t>
      </w:r>
      <w:r>
        <w:rPr>
          <w:spacing w:val="13"/>
          <w:w w:val="93"/>
        </w:rPr>
        <w:t>《</w:t>
      </w:r>
      <w:r>
        <w:rPr>
          <w:spacing w:val="17"/>
          <w:w w:val="93"/>
        </w:rPr>
        <w:t>关于公</w:t>
      </w:r>
      <w:r>
        <w:rPr>
          <w:w w:val="93"/>
        </w:rPr>
        <w:t>司</w:t>
      </w:r>
      <w:r>
        <w:rPr>
          <w:spacing w:val="-70"/>
        </w:rPr>
        <w:t> </w:t>
      </w:r>
      <w:r>
        <w:rPr/>
        <w:t>2008</w:t>
      </w:r>
      <w:r>
        <w:rPr>
          <w:spacing w:val="-60"/>
        </w:rPr>
        <w:t> </w:t>
      </w:r>
      <w:r>
        <w:rPr/>
        <w:t>年度内部控</w:t>
      </w:r>
    </w:p>
    <w:p>
      <w:pPr>
        <w:pStyle w:val="BodyText"/>
        <w:spacing w:line="240" w:lineRule="auto" w:before="154"/>
        <w:ind w:left="137" w:right="25"/>
        <w:jc w:val="left"/>
      </w:pPr>
      <w:r>
        <w:rPr>
          <w:spacing w:val="13"/>
          <w:w w:val="94"/>
        </w:rPr>
        <w:t>制自我评估报告的议案</w:t>
      </w:r>
      <w:r>
        <w:rPr>
          <w:spacing w:val="-104"/>
          <w:w w:val="94"/>
        </w:rPr>
        <w:t>》</w:t>
      </w:r>
      <w:r>
        <w:rPr>
          <w:spacing w:val="-163"/>
          <w:w w:val="94"/>
        </w:rPr>
        <w:t>、</w:t>
      </w:r>
      <w:r>
        <w:rPr>
          <w:spacing w:val="13"/>
          <w:w w:val="94"/>
        </w:rPr>
        <w:t>《关于公</w:t>
      </w:r>
      <w:r>
        <w:rPr>
          <w:w w:val="94"/>
        </w:rPr>
        <w:t>司</w:t>
      </w:r>
      <w:r>
        <w:rPr>
          <w:spacing w:val="-37"/>
        </w:rPr>
        <w:t> </w:t>
      </w:r>
      <w:r>
        <w:rPr/>
        <w:t>2008</w:t>
      </w:r>
      <w:r>
        <w:rPr>
          <w:spacing w:val="-60"/>
        </w:rPr>
        <w:t> </w:t>
      </w:r>
      <w:r>
        <w:rPr/>
        <w:t>年度募集资金存放及使用情况专项说明</w:t>
      </w:r>
    </w:p>
    <w:p>
      <w:pPr>
        <w:pStyle w:val="BodyText"/>
        <w:spacing w:line="240" w:lineRule="auto" w:before="154"/>
        <w:ind w:left="137" w:right="25"/>
        <w:jc w:val="left"/>
      </w:pPr>
      <w:r>
        <w:rPr>
          <w:spacing w:val="21"/>
          <w:w w:val="91"/>
        </w:rPr>
        <w:t>的议</w:t>
      </w:r>
      <w:r>
        <w:rPr>
          <w:w w:val="91"/>
        </w:rPr>
        <w:t>案</w:t>
      </w:r>
      <w:r>
        <w:rPr>
          <w:spacing w:val="-99"/>
        </w:rPr>
        <w:t> </w:t>
      </w:r>
      <w:r>
        <w:rPr>
          <w:spacing w:val="-97"/>
          <w:w w:val="91"/>
        </w:rPr>
        <w:t>》</w:t>
      </w:r>
      <w:r>
        <w:rPr>
          <w:spacing w:val="-118"/>
          <w:w w:val="91"/>
        </w:rPr>
        <w:t>、</w:t>
      </w:r>
      <w:r>
        <w:rPr>
          <w:w w:val="91"/>
        </w:rPr>
        <w:t>《</w:t>
      </w:r>
      <w:r>
        <w:rPr>
          <w:spacing w:val="-99"/>
        </w:rPr>
        <w:t> </w:t>
      </w:r>
      <w:r>
        <w:rPr>
          <w:spacing w:val="21"/>
          <w:w w:val="91"/>
        </w:rPr>
        <w:t>关于聘</w:t>
      </w:r>
      <w:r>
        <w:rPr>
          <w:w w:val="91"/>
        </w:rPr>
        <w:t>任</w:t>
      </w:r>
      <w:r>
        <w:rPr>
          <w:spacing w:val="-43"/>
        </w:rPr>
        <w:t> </w:t>
      </w:r>
      <w:r>
        <w:rPr/>
        <w:t>2009</w:t>
      </w:r>
      <w:r>
        <w:rPr>
          <w:spacing w:val="-60"/>
        </w:rPr>
        <w:t> </w:t>
      </w:r>
      <w:r>
        <w:rPr/>
        <w:t>年度会计师事务所及其审计报酬的议案</w:t>
      </w:r>
      <w:r>
        <w:rPr>
          <w:spacing w:val="-17"/>
        </w:rPr>
        <w:t>》</w:t>
      </w:r>
      <w:r>
        <w:rPr>
          <w:spacing w:val="-20"/>
        </w:rPr>
        <w:t>和</w:t>
      </w:r>
      <w:r>
        <w:rPr/>
        <w:t>《关于</w:t>
      </w:r>
      <w:r>
        <w:rPr>
          <w:spacing w:val="-3"/>
        </w:rPr>
        <w:t>部</w:t>
      </w:r>
      <w:r>
        <w:rPr/>
        <w:t>分</w:t>
      </w:r>
    </w:p>
    <w:p>
      <w:pPr>
        <w:pStyle w:val="BodyText"/>
        <w:spacing w:line="240" w:lineRule="auto" w:before="154"/>
        <w:ind w:left="137" w:right="25"/>
        <w:jc w:val="left"/>
      </w:pPr>
      <w:r>
        <w:rPr/>
        <w:t>暂未使用的募集资金继续用于补充流动资金的议案》等</w:t>
      </w:r>
      <w:r>
        <w:rPr>
          <w:spacing w:val="-60"/>
        </w:rPr>
        <w:t> </w:t>
      </w:r>
      <w:r>
        <w:rPr/>
        <w:t>10</w:t>
      </w:r>
      <w:r>
        <w:rPr>
          <w:spacing w:val="-60"/>
        </w:rPr>
        <w:t> </w:t>
      </w:r>
      <w:r>
        <w:rPr/>
        <w:t>个议案。</w:t>
      </w:r>
    </w:p>
    <w:p>
      <w:pPr>
        <w:pStyle w:val="BodyText"/>
        <w:spacing w:line="240" w:lineRule="auto" w:before="154"/>
        <w:ind w:left="617" w:right="25"/>
        <w:jc w:val="left"/>
      </w:pPr>
      <w:r>
        <w:rPr>
          <w:spacing w:val="-4"/>
        </w:rPr>
        <w:t>4、第五届监事会第十一次会议于</w:t>
      </w:r>
      <w:r>
        <w:rPr>
          <w:spacing w:val="-63"/>
        </w:rPr>
        <w:t> </w:t>
      </w:r>
      <w:r>
        <w:rPr/>
        <w:t>2009</w:t>
      </w:r>
      <w:r>
        <w:rPr>
          <w:spacing w:val="-60"/>
        </w:rPr>
        <w:t> </w:t>
      </w:r>
      <w:r>
        <w:rPr/>
        <w:t>年</w:t>
      </w:r>
      <w:r>
        <w:rPr>
          <w:spacing w:val="-60"/>
        </w:rPr>
        <w:t> </w:t>
      </w:r>
      <w:r>
        <w:rPr/>
        <w:t>7</w:t>
      </w:r>
      <w:r>
        <w:rPr>
          <w:spacing w:val="-60"/>
        </w:rPr>
        <w:t> </w:t>
      </w:r>
      <w:r>
        <w:rPr/>
        <w:t>月</w:t>
      </w:r>
      <w:r>
        <w:rPr>
          <w:spacing w:val="-60"/>
        </w:rPr>
        <w:t> </w:t>
      </w:r>
      <w:r>
        <w:rPr/>
        <w:t>13</w:t>
      </w:r>
      <w:r>
        <w:rPr>
          <w:spacing w:val="-60"/>
        </w:rPr>
        <w:t> </w:t>
      </w:r>
      <w:r>
        <w:rPr/>
        <w:t>日下午</w:t>
      </w:r>
      <w:r>
        <w:rPr>
          <w:spacing w:val="-60"/>
        </w:rPr>
        <w:t> </w:t>
      </w:r>
      <w:r>
        <w:rPr/>
        <w:t>17:30</w:t>
      </w:r>
      <w:r>
        <w:rPr>
          <w:spacing w:val="-60"/>
        </w:rPr>
        <w:t> </w:t>
      </w:r>
      <w:r>
        <w:rPr/>
        <w:t>在深圳市罗湖</w:t>
      </w:r>
    </w:p>
    <w:p>
      <w:pPr>
        <w:spacing w:after="0" w:line="240" w:lineRule="auto"/>
        <w:jc w:val="left"/>
        <w:sectPr>
          <w:headerReference w:type="default" r:id="rId137"/>
          <w:footerReference w:type="default" r:id="rId138"/>
          <w:pgSz w:w="11910" w:h="16840"/>
          <w:pgMar w:header="859" w:footer="835" w:top="1420" w:bottom="1020" w:left="1660" w:right="1500"/>
          <w:pgNumType w:start="73"/>
        </w:sectPr>
      </w:pPr>
    </w:p>
    <w:p>
      <w:pPr>
        <w:pStyle w:val="BodyText"/>
        <w:spacing w:line="357" w:lineRule="auto" w:before="96"/>
        <w:ind w:left="137" w:right="141"/>
        <w:jc w:val="both"/>
      </w:pPr>
      <w:r>
        <w:rPr/>
        <w:pict>
          <v:group style="position:absolute;margin-left:88.799995pt;margin-top:6.335606pt;width:425.2pt;height:.1pt;mso-position-horizontal-relative:page;mso-position-vertical-relative:paragraph;z-index:-1141240" coordorigin="1776,127" coordsize="8504,2">
            <v:shape style="position:absolute;left:1776;top:127;width:8504;height:2" coordorigin="1776,127" coordsize="8504,0" path="m1776,127l10279,127e" filled="false" stroked="true" strokeweight=".72pt" strokecolor="#000008">
              <v:path arrowok="t"/>
            </v:shape>
            <w10:wrap type="none"/>
          </v:group>
        </w:pict>
      </w:r>
      <w:r>
        <w:rPr/>
        <w:t>区布吉路</w:t>
      </w:r>
      <w:r>
        <w:rPr>
          <w:spacing w:val="-73"/>
        </w:rPr>
        <w:t> </w:t>
      </w:r>
      <w:r>
        <w:rPr/>
        <w:t>1021</w:t>
      </w:r>
      <w:r>
        <w:rPr>
          <w:spacing w:val="-73"/>
        </w:rPr>
        <w:t> </w:t>
      </w:r>
      <w:r>
        <w:rPr/>
        <w:t>号天乐大厦</w:t>
      </w:r>
      <w:r>
        <w:rPr>
          <w:spacing w:val="-73"/>
        </w:rPr>
        <w:t> </w:t>
      </w:r>
      <w:r>
        <w:rPr/>
        <w:t>22</w:t>
      </w:r>
      <w:r>
        <w:rPr>
          <w:spacing w:val="-73"/>
        </w:rPr>
        <w:t> </w:t>
      </w:r>
      <w:r>
        <w:rPr>
          <w:spacing w:val="-3"/>
        </w:rPr>
        <w:t>楼会议室召开。会议应到监事</w:t>
      </w:r>
      <w:r>
        <w:rPr>
          <w:spacing w:val="-73"/>
        </w:rPr>
        <w:t> </w:t>
      </w:r>
      <w:r>
        <w:rPr/>
        <w:t>5</w:t>
      </w:r>
      <w:r>
        <w:rPr>
          <w:spacing w:val="-73"/>
        </w:rPr>
        <w:t> </w:t>
      </w:r>
      <w:r>
        <w:rPr>
          <w:spacing w:val="-5"/>
        </w:rPr>
        <w:t>人，实到监事</w:t>
      </w:r>
      <w:r>
        <w:rPr>
          <w:spacing w:val="-76"/>
        </w:rPr>
        <w:t> </w:t>
      </w:r>
      <w:r>
        <w:rPr/>
        <w:t>5</w:t>
      </w:r>
      <w:r>
        <w:rPr>
          <w:spacing w:val="-73"/>
        </w:rPr>
        <w:t> </w:t>
      </w:r>
      <w:r>
        <w:rPr/>
        <w:t>人。</w:t>
      </w:r>
      <w:r>
        <w:rPr>
          <w:w w:val="51"/>
        </w:rPr>
        <w:t> </w:t>
      </w:r>
      <w:r>
        <w:rPr/>
        <w:t>会议审议通过了《关于发行公司第二期短期融资券的议案》和《关于修改公司章</w:t>
      </w:r>
      <w:r>
        <w:rPr>
          <w:spacing w:val="-91"/>
        </w:rPr>
        <w:t> </w:t>
      </w:r>
      <w:r>
        <w:rPr>
          <w:spacing w:val="-91"/>
        </w:rPr>
      </w:r>
      <w:r>
        <w:rPr>
          <w:spacing w:val="17"/>
          <w:w w:val="91"/>
        </w:rPr>
        <w:t>程的议案</w:t>
      </w:r>
      <w:r>
        <w:rPr>
          <w:spacing w:val="-83"/>
          <w:w w:val="91"/>
        </w:rPr>
        <w:t> </w:t>
      </w:r>
      <w:r>
        <w:rPr>
          <w:spacing w:val="-54"/>
          <w:w w:val="91"/>
        </w:rPr>
        <w:t>》。</w:t>
      </w:r>
      <w:r>
        <w:rPr>
          <w:spacing w:val="-54"/>
        </w:rPr>
      </w:r>
    </w:p>
    <w:p>
      <w:pPr>
        <w:pStyle w:val="BodyText"/>
        <w:spacing w:line="240" w:lineRule="auto"/>
        <w:ind w:left="617" w:right="25"/>
        <w:jc w:val="left"/>
      </w:pPr>
      <w:r>
        <w:rPr>
          <w:spacing w:val="-4"/>
        </w:rPr>
        <w:t>5、第五届监事会第十二次会议于</w:t>
      </w:r>
      <w:r>
        <w:rPr>
          <w:spacing w:val="-63"/>
        </w:rPr>
        <w:t> </w:t>
      </w:r>
      <w:r>
        <w:rPr/>
        <w:t>2009</w:t>
      </w:r>
      <w:r>
        <w:rPr>
          <w:spacing w:val="-60"/>
        </w:rPr>
        <w:t> </w:t>
      </w:r>
      <w:r>
        <w:rPr/>
        <w:t>年</w:t>
      </w:r>
      <w:r>
        <w:rPr>
          <w:spacing w:val="-60"/>
        </w:rPr>
        <w:t> </w:t>
      </w:r>
      <w:r>
        <w:rPr/>
        <w:t>8</w:t>
      </w:r>
      <w:r>
        <w:rPr>
          <w:spacing w:val="-60"/>
        </w:rPr>
        <w:t> </w:t>
      </w:r>
      <w:r>
        <w:rPr/>
        <w:t>月</w:t>
      </w:r>
      <w:r>
        <w:rPr>
          <w:spacing w:val="-60"/>
        </w:rPr>
        <w:t> </w:t>
      </w:r>
      <w:r>
        <w:rPr/>
        <w:t>11</w:t>
      </w:r>
      <w:r>
        <w:rPr>
          <w:spacing w:val="-60"/>
        </w:rPr>
        <w:t> </w:t>
      </w:r>
      <w:r>
        <w:rPr/>
        <w:t>日下午</w:t>
      </w:r>
      <w:r>
        <w:rPr>
          <w:spacing w:val="-60"/>
        </w:rPr>
        <w:t> </w:t>
      </w:r>
      <w:r>
        <w:rPr/>
        <w:t>14:30</w:t>
      </w:r>
      <w:r>
        <w:rPr>
          <w:spacing w:val="-60"/>
        </w:rPr>
        <w:t> </w:t>
      </w:r>
      <w:r>
        <w:rPr/>
        <w:t>在深圳市罗湖</w:t>
      </w:r>
    </w:p>
    <w:p>
      <w:pPr>
        <w:pStyle w:val="BodyText"/>
        <w:spacing w:line="240" w:lineRule="auto" w:before="154"/>
        <w:ind w:left="137" w:right="0"/>
        <w:jc w:val="both"/>
      </w:pPr>
      <w:r>
        <w:rPr/>
        <w:t>区布吉路</w:t>
      </w:r>
      <w:r>
        <w:rPr>
          <w:spacing w:val="-74"/>
        </w:rPr>
        <w:t> </w:t>
      </w:r>
      <w:r>
        <w:rPr/>
        <w:t>1021</w:t>
      </w:r>
      <w:r>
        <w:rPr>
          <w:spacing w:val="-74"/>
        </w:rPr>
        <w:t> </w:t>
      </w:r>
      <w:r>
        <w:rPr/>
        <w:t>号天乐大厦</w:t>
      </w:r>
      <w:r>
        <w:rPr>
          <w:spacing w:val="-74"/>
        </w:rPr>
        <w:t> </w:t>
      </w:r>
      <w:r>
        <w:rPr/>
        <w:t>22</w:t>
      </w:r>
      <w:r>
        <w:rPr>
          <w:spacing w:val="-74"/>
        </w:rPr>
        <w:t> </w:t>
      </w:r>
      <w:r>
        <w:rPr>
          <w:spacing w:val="-3"/>
        </w:rPr>
        <w:t>楼会议室召开。会议应到监事</w:t>
      </w:r>
      <w:r>
        <w:rPr>
          <w:spacing w:val="-74"/>
        </w:rPr>
        <w:t> </w:t>
      </w:r>
      <w:r>
        <w:rPr/>
        <w:t>5</w:t>
      </w:r>
      <w:r>
        <w:rPr>
          <w:spacing w:val="-74"/>
        </w:rPr>
        <w:t> </w:t>
      </w:r>
      <w:r>
        <w:rPr>
          <w:spacing w:val="-5"/>
        </w:rPr>
        <w:t>人，实到监事</w:t>
      </w:r>
      <w:r>
        <w:rPr>
          <w:spacing w:val="-76"/>
        </w:rPr>
        <w:t> </w:t>
      </w:r>
      <w:r>
        <w:rPr/>
        <w:t>5</w:t>
      </w:r>
      <w:r>
        <w:rPr>
          <w:spacing w:val="-74"/>
        </w:rPr>
        <w:t> </w:t>
      </w:r>
      <w:r>
        <w:rPr/>
        <w:t>人。</w:t>
      </w:r>
    </w:p>
    <w:p>
      <w:pPr>
        <w:pStyle w:val="BodyText"/>
        <w:spacing w:line="357" w:lineRule="auto" w:before="154"/>
        <w:ind w:left="137" w:right="145"/>
        <w:jc w:val="both"/>
      </w:pPr>
      <w:r>
        <w:rPr>
          <w:spacing w:val="-3"/>
        </w:rPr>
        <w:t>会议审议通过了《关于公司</w:t>
      </w:r>
      <w:r>
        <w:rPr>
          <w:spacing w:val="-53"/>
        </w:rPr>
        <w:t> </w:t>
      </w:r>
      <w:r>
        <w:rPr/>
        <w:t>2009</w:t>
      </w:r>
      <w:r>
        <w:rPr>
          <w:spacing w:val="-53"/>
        </w:rPr>
        <w:t> </w:t>
      </w:r>
      <w:r>
        <w:rPr>
          <w:spacing w:val="-1"/>
          <w:w w:val="94"/>
        </w:rPr>
        <w:t>年半年度报告及其摘要的议案》、《关于为下属</w:t>
      </w:r>
      <w:r>
        <w:rPr>
          <w:spacing w:val="-81"/>
          <w:w w:val="94"/>
        </w:rPr>
        <w:t> </w:t>
      </w:r>
      <w:r>
        <w:rPr/>
        <w:t>企</w:t>
      </w:r>
      <w:r>
        <w:rPr>
          <w:spacing w:val="-118"/>
        </w:rPr>
        <w:t> </w:t>
      </w:r>
      <w:r>
        <w:rPr>
          <w:spacing w:val="-118"/>
        </w:rPr>
      </w:r>
      <w:r>
        <w:rPr/>
        <w:t>业深圳市海鲜批发市场有限公司提供贷款担保的议案》和《关于建立事务所选聘</w:t>
      </w:r>
      <w:r>
        <w:rPr>
          <w:spacing w:val="-91"/>
        </w:rPr>
        <w:t> </w:t>
      </w:r>
      <w:r>
        <w:rPr>
          <w:spacing w:val="-91"/>
        </w:rPr>
      </w:r>
      <w:r>
        <w:rPr>
          <w:spacing w:val="-2"/>
          <w:w w:val="94"/>
        </w:rPr>
        <w:t>管理办法的议案》。</w:t>
      </w:r>
      <w:r>
        <w:rPr>
          <w:spacing w:val="-2"/>
        </w:rPr>
      </w:r>
    </w:p>
    <w:p>
      <w:pPr>
        <w:pStyle w:val="BodyText"/>
        <w:spacing w:line="240" w:lineRule="auto"/>
        <w:ind w:left="617" w:right="25"/>
        <w:jc w:val="left"/>
      </w:pPr>
      <w:r>
        <w:rPr>
          <w:spacing w:val="-4"/>
        </w:rPr>
        <w:t>6、第五届监事会第十三次会议于</w:t>
      </w:r>
      <w:r>
        <w:rPr>
          <w:spacing w:val="-63"/>
        </w:rPr>
        <w:t> </w:t>
      </w:r>
      <w:r>
        <w:rPr/>
        <w:t>2009</w:t>
      </w:r>
      <w:r>
        <w:rPr>
          <w:spacing w:val="-60"/>
        </w:rPr>
        <w:t> </w:t>
      </w:r>
      <w:r>
        <w:rPr/>
        <w:t>年</w:t>
      </w:r>
      <w:r>
        <w:rPr>
          <w:spacing w:val="-60"/>
        </w:rPr>
        <w:t> </w:t>
      </w:r>
      <w:r>
        <w:rPr/>
        <w:t>10</w:t>
      </w:r>
      <w:r>
        <w:rPr>
          <w:spacing w:val="-60"/>
        </w:rPr>
        <w:t> </w:t>
      </w:r>
      <w:r>
        <w:rPr/>
        <w:t>月</w:t>
      </w:r>
      <w:r>
        <w:rPr>
          <w:spacing w:val="-60"/>
        </w:rPr>
        <w:t> </w:t>
      </w:r>
      <w:r>
        <w:rPr/>
        <w:t>10</w:t>
      </w:r>
      <w:r>
        <w:rPr>
          <w:spacing w:val="-60"/>
        </w:rPr>
        <w:t> </w:t>
      </w:r>
      <w:r>
        <w:rPr/>
        <w:t>日上午</w:t>
      </w:r>
      <w:r>
        <w:rPr>
          <w:spacing w:val="-60"/>
        </w:rPr>
        <w:t> </w:t>
      </w:r>
      <w:r>
        <w:rPr/>
        <w:t>9:30</w:t>
      </w:r>
      <w:r>
        <w:rPr>
          <w:spacing w:val="-60"/>
        </w:rPr>
        <w:t> </w:t>
      </w:r>
      <w:r>
        <w:rPr/>
        <w:t>在深圳市罗湖</w:t>
      </w:r>
    </w:p>
    <w:p>
      <w:pPr>
        <w:pStyle w:val="BodyText"/>
        <w:spacing w:line="357" w:lineRule="auto" w:before="154"/>
        <w:ind w:left="137" w:right="141"/>
        <w:jc w:val="both"/>
      </w:pPr>
      <w:r>
        <w:rPr/>
        <w:t>区布吉路</w:t>
      </w:r>
      <w:r>
        <w:rPr>
          <w:spacing w:val="-73"/>
        </w:rPr>
        <w:t> </w:t>
      </w:r>
      <w:r>
        <w:rPr/>
        <w:t>1021</w:t>
      </w:r>
      <w:r>
        <w:rPr>
          <w:spacing w:val="-73"/>
        </w:rPr>
        <w:t> </w:t>
      </w:r>
      <w:r>
        <w:rPr/>
        <w:t>号天乐大厦</w:t>
      </w:r>
      <w:r>
        <w:rPr>
          <w:spacing w:val="-73"/>
        </w:rPr>
        <w:t> </w:t>
      </w:r>
      <w:r>
        <w:rPr/>
        <w:t>21</w:t>
      </w:r>
      <w:r>
        <w:rPr>
          <w:spacing w:val="-73"/>
        </w:rPr>
        <w:t> </w:t>
      </w:r>
      <w:r>
        <w:rPr>
          <w:spacing w:val="-3"/>
        </w:rPr>
        <w:t>楼会议室召开。会议应到监事</w:t>
      </w:r>
      <w:r>
        <w:rPr>
          <w:spacing w:val="-73"/>
        </w:rPr>
        <w:t> </w:t>
      </w:r>
      <w:r>
        <w:rPr/>
        <w:t>5</w:t>
      </w:r>
      <w:r>
        <w:rPr>
          <w:spacing w:val="-73"/>
        </w:rPr>
        <w:t> </w:t>
      </w:r>
      <w:r>
        <w:rPr>
          <w:spacing w:val="-5"/>
        </w:rPr>
        <w:t>人，实到监事</w:t>
      </w:r>
      <w:r>
        <w:rPr>
          <w:spacing w:val="-76"/>
        </w:rPr>
        <w:t> </w:t>
      </w:r>
      <w:r>
        <w:rPr/>
        <w:t>5</w:t>
      </w:r>
      <w:r>
        <w:rPr>
          <w:spacing w:val="-73"/>
        </w:rPr>
        <w:t> </w:t>
      </w:r>
      <w:r>
        <w:rPr/>
        <w:t>人。</w:t>
      </w:r>
      <w:r>
        <w:rPr>
          <w:w w:val="51"/>
        </w:rPr>
        <w:t> </w:t>
      </w:r>
      <w:r>
        <w:rPr/>
        <w:t>会议审议通过了《关于为深圳市民润农产品配送连锁商业有限公司提供贷款担保</w:t>
      </w:r>
      <w:r>
        <w:rPr>
          <w:spacing w:val="-91"/>
        </w:rPr>
        <w:t> </w:t>
      </w:r>
      <w:r>
        <w:rPr>
          <w:spacing w:val="-91"/>
        </w:rPr>
      </w:r>
      <w:r>
        <w:rPr>
          <w:spacing w:val="18"/>
          <w:w w:val="89"/>
        </w:rPr>
        <w:t>的议案</w:t>
      </w:r>
      <w:r>
        <w:rPr>
          <w:spacing w:val="-74"/>
          <w:w w:val="89"/>
        </w:rPr>
        <w:t> </w:t>
      </w:r>
      <w:r>
        <w:rPr>
          <w:spacing w:val="-52"/>
          <w:w w:val="89"/>
        </w:rPr>
        <w:t>》。</w:t>
      </w:r>
      <w:r>
        <w:rPr>
          <w:spacing w:val="-52"/>
        </w:rPr>
      </w:r>
    </w:p>
    <w:p>
      <w:pPr>
        <w:pStyle w:val="BodyText"/>
        <w:spacing w:line="240" w:lineRule="auto"/>
        <w:ind w:left="617" w:right="25"/>
        <w:jc w:val="left"/>
      </w:pPr>
      <w:r>
        <w:rPr>
          <w:spacing w:val="-4"/>
        </w:rPr>
        <w:t>7、第五届监事会第十四次会议于</w:t>
      </w:r>
      <w:r>
        <w:rPr>
          <w:spacing w:val="-63"/>
        </w:rPr>
        <w:t> </w:t>
      </w:r>
      <w:r>
        <w:rPr/>
        <w:t>2009</w:t>
      </w:r>
      <w:r>
        <w:rPr>
          <w:spacing w:val="-60"/>
        </w:rPr>
        <w:t> </w:t>
      </w:r>
      <w:r>
        <w:rPr/>
        <w:t>年</w:t>
      </w:r>
      <w:r>
        <w:rPr>
          <w:spacing w:val="-60"/>
        </w:rPr>
        <w:t> </w:t>
      </w:r>
      <w:r>
        <w:rPr/>
        <w:t>12</w:t>
      </w:r>
      <w:r>
        <w:rPr>
          <w:spacing w:val="-60"/>
        </w:rPr>
        <w:t> </w:t>
      </w:r>
      <w:r>
        <w:rPr/>
        <w:t>月</w:t>
      </w:r>
      <w:r>
        <w:rPr>
          <w:spacing w:val="-60"/>
        </w:rPr>
        <w:t> </w:t>
      </w:r>
      <w:r>
        <w:rPr/>
        <w:t>1</w:t>
      </w:r>
      <w:r>
        <w:rPr>
          <w:spacing w:val="-60"/>
        </w:rPr>
        <w:t> </w:t>
      </w:r>
      <w:r>
        <w:rPr/>
        <w:t>日下午</w:t>
      </w:r>
      <w:r>
        <w:rPr>
          <w:spacing w:val="-60"/>
        </w:rPr>
        <w:t> </w:t>
      </w:r>
      <w:r>
        <w:rPr/>
        <w:t>17:00</w:t>
      </w:r>
      <w:r>
        <w:rPr>
          <w:spacing w:val="-60"/>
        </w:rPr>
        <w:t> </w:t>
      </w:r>
      <w:r>
        <w:rPr/>
        <w:t>在深圳市罗湖</w:t>
      </w:r>
    </w:p>
    <w:p>
      <w:pPr>
        <w:pStyle w:val="BodyText"/>
        <w:spacing w:line="357" w:lineRule="auto" w:before="154"/>
        <w:ind w:left="137" w:right="141"/>
        <w:jc w:val="both"/>
      </w:pPr>
      <w:r>
        <w:rPr/>
        <w:t>区布吉路</w:t>
      </w:r>
      <w:r>
        <w:rPr>
          <w:spacing w:val="-73"/>
        </w:rPr>
        <w:t> </w:t>
      </w:r>
      <w:r>
        <w:rPr/>
        <w:t>1021</w:t>
      </w:r>
      <w:r>
        <w:rPr>
          <w:spacing w:val="-73"/>
        </w:rPr>
        <w:t> </w:t>
      </w:r>
      <w:r>
        <w:rPr/>
        <w:t>号天乐大厦</w:t>
      </w:r>
      <w:r>
        <w:rPr>
          <w:spacing w:val="-73"/>
        </w:rPr>
        <w:t> </w:t>
      </w:r>
      <w:r>
        <w:rPr/>
        <w:t>22</w:t>
      </w:r>
      <w:r>
        <w:rPr>
          <w:spacing w:val="-73"/>
        </w:rPr>
        <w:t> </w:t>
      </w:r>
      <w:r>
        <w:rPr>
          <w:spacing w:val="-3"/>
        </w:rPr>
        <w:t>楼会议室召开。会议应到监事</w:t>
      </w:r>
      <w:r>
        <w:rPr>
          <w:spacing w:val="-73"/>
        </w:rPr>
        <w:t> </w:t>
      </w:r>
      <w:r>
        <w:rPr/>
        <w:t>5</w:t>
      </w:r>
      <w:r>
        <w:rPr>
          <w:spacing w:val="-73"/>
        </w:rPr>
        <w:t> </w:t>
      </w:r>
      <w:r>
        <w:rPr>
          <w:spacing w:val="-5"/>
        </w:rPr>
        <w:t>人，实到监事</w:t>
      </w:r>
      <w:r>
        <w:rPr>
          <w:spacing w:val="-76"/>
        </w:rPr>
        <w:t> </w:t>
      </w:r>
      <w:r>
        <w:rPr/>
        <w:t>5</w:t>
      </w:r>
      <w:r>
        <w:rPr>
          <w:spacing w:val="-73"/>
        </w:rPr>
        <w:t> </w:t>
      </w:r>
      <w:r>
        <w:rPr/>
        <w:t>人。</w:t>
      </w:r>
      <w:r>
        <w:rPr>
          <w:w w:val="51"/>
        </w:rPr>
        <w:t> </w:t>
      </w:r>
      <w:r>
        <w:rPr>
          <w:spacing w:val="-5"/>
        </w:rPr>
        <w:t>会议审议通过了《关于公司监事会换届推选监事候选人的议案》。</w:t>
      </w:r>
    </w:p>
    <w:p>
      <w:pPr>
        <w:pStyle w:val="BodyText"/>
        <w:spacing w:line="240" w:lineRule="auto"/>
        <w:ind w:left="617" w:right="25"/>
        <w:jc w:val="left"/>
      </w:pPr>
      <w:r>
        <w:rPr/>
        <w:t>8、第六届监事会第一次会议于</w:t>
      </w:r>
      <w:r>
        <w:rPr>
          <w:spacing w:val="-60"/>
        </w:rPr>
        <w:t> </w:t>
      </w:r>
      <w:r>
        <w:rPr/>
        <w:t>2009</w:t>
      </w:r>
      <w:r>
        <w:rPr>
          <w:spacing w:val="-54"/>
        </w:rPr>
        <w:t> </w:t>
      </w:r>
      <w:r>
        <w:rPr/>
        <w:t>年</w:t>
      </w:r>
      <w:r>
        <w:rPr>
          <w:spacing w:val="-54"/>
        </w:rPr>
        <w:t> </w:t>
      </w:r>
      <w:r>
        <w:rPr/>
        <w:t>12</w:t>
      </w:r>
      <w:r>
        <w:rPr>
          <w:spacing w:val="-54"/>
        </w:rPr>
        <w:t> </w:t>
      </w:r>
      <w:r>
        <w:rPr/>
        <w:t>月</w:t>
      </w:r>
      <w:r>
        <w:rPr>
          <w:spacing w:val="-54"/>
        </w:rPr>
        <w:t> </w:t>
      </w:r>
      <w:r>
        <w:rPr/>
        <w:t>18</w:t>
      </w:r>
      <w:r>
        <w:rPr>
          <w:spacing w:val="-54"/>
        </w:rPr>
        <w:t> </w:t>
      </w:r>
      <w:r>
        <w:rPr/>
        <w:t>日下午</w:t>
      </w:r>
      <w:r>
        <w:rPr>
          <w:spacing w:val="-54"/>
        </w:rPr>
        <w:t> </w:t>
      </w:r>
      <w:r>
        <w:rPr/>
        <w:t>16:00</w:t>
      </w:r>
      <w:r>
        <w:rPr>
          <w:spacing w:val="-54"/>
        </w:rPr>
        <w:t> </w:t>
      </w:r>
      <w:r>
        <w:rPr/>
        <w:t>在深圳市罗湖</w:t>
      </w:r>
    </w:p>
    <w:p>
      <w:pPr>
        <w:pStyle w:val="BodyText"/>
        <w:spacing w:line="357" w:lineRule="auto" w:before="154"/>
        <w:ind w:left="137" w:right="141"/>
        <w:jc w:val="both"/>
      </w:pPr>
      <w:r>
        <w:rPr/>
        <w:t>区布吉路</w:t>
      </w:r>
      <w:r>
        <w:rPr>
          <w:spacing w:val="-73"/>
        </w:rPr>
        <w:t> </w:t>
      </w:r>
      <w:r>
        <w:rPr/>
        <w:t>1021</w:t>
      </w:r>
      <w:r>
        <w:rPr>
          <w:spacing w:val="-73"/>
        </w:rPr>
        <w:t> </w:t>
      </w:r>
      <w:r>
        <w:rPr/>
        <w:t>号天乐大厦</w:t>
      </w:r>
      <w:r>
        <w:rPr>
          <w:spacing w:val="-73"/>
        </w:rPr>
        <w:t> </w:t>
      </w:r>
      <w:r>
        <w:rPr/>
        <w:t>22</w:t>
      </w:r>
      <w:r>
        <w:rPr>
          <w:spacing w:val="-73"/>
        </w:rPr>
        <w:t> </w:t>
      </w:r>
      <w:r>
        <w:rPr>
          <w:spacing w:val="-3"/>
        </w:rPr>
        <w:t>楼会议室召开。会议应到监事</w:t>
      </w:r>
      <w:r>
        <w:rPr>
          <w:spacing w:val="-73"/>
        </w:rPr>
        <w:t> </w:t>
      </w:r>
      <w:r>
        <w:rPr/>
        <w:t>5</w:t>
      </w:r>
      <w:r>
        <w:rPr>
          <w:spacing w:val="-73"/>
        </w:rPr>
        <w:t> </w:t>
      </w:r>
      <w:r>
        <w:rPr>
          <w:spacing w:val="-5"/>
        </w:rPr>
        <w:t>人，实到监事</w:t>
      </w:r>
      <w:r>
        <w:rPr>
          <w:spacing w:val="-76"/>
        </w:rPr>
        <w:t> </w:t>
      </w:r>
      <w:r>
        <w:rPr/>
        <w:t>5</w:t>
      </w:r>
      <w:r>
        <w:rPr>
          <w:spacing w:val="-73"/>
        </w:rPr>
        <w:t> </w:t>
      </w:r>
      <w:r>
        <w:rPr/>
        <w:t>人。</w:t>
      </w:r>
      <w:r>
        <w:rPr>
          <w:w w:val="51"/>
        </w:rPr>
        <w:t> </w:t>
      </w:r>
      <w:r>
        <w:rPr>
          <w:spacing w:val="-5"/>
        </w:rPr>
        <w:t>会议审议通过了《关于选举公司第六届监事会主席的议案》。</w:t>
      </w:r>
    </w:p>
    <w:p>
      <w:pPr>
        <w:spacing w:line="240" w:lineRule="auto" w:before="0"/>
        <w:rPr>
          <w:rFonts w:ascii="宋体" w:hAnsi="宋体" w:cs="宋体" w:eastAsia="宋体" w:hint="default"/>
          <w:sz w:val="24"/>
          <w:szCs w:val="24"/>
        </w:rPr>
      </w:pPr>
    </w:p>
    <w:p>
      <w:pPr>
        <w:pStyle w:val="BodyText"/>
        <w:tabs>
          <w:tab w:pos="1697" w:val="left" w:leader="none"/>
        </w:tabs>
        <w:spacing w:line="357" w:lineRule="auto" w:before="190"/>
        <w:ind w:left="617" w:right="5366"/>
        <w:jc w:val="left"/>
      </w:pPr>
      <w:r>
        <w:rPr/>
        <w:t>第二节</w:t>
        <w:tab/>
        <w:t>监事会履职情况 一、监事会主要工作</w:t>
      </w:r>
    </w:p>
    <w:p>
      <w:pPr>
        <w:pStyle w:val="BodyText"/>
        <w:spacing w:line="357" w:lineRule="auto"/>
        <w:ind w:left="706" w:right="133"/>
        <w:jc w:val="left"/>
      </w:pPr>
      <w:r>
        <w:rPr/>
        <w:t>（一）正确行使事前、事中监督权，确保重大事项规范运作。 </w:t>
      </w:r>
      <w:r>
        <w:rPr>
          <w:spacing w:val="-1"/>
        </w:rPr>
        <w:t>监事会积极关注公司在经营活动中的重大决策行为，正确行使事前、事中监</w:t>
      </w:r>
    </w:p>
    <w:p>
      <w:pPr>
        <w:pStyle w:val="BodyText"/>
        <w:spacing w:line="357" w:lineRule="auto"/>
        <w:ind w:left="137" w:right="170"/>
        <w:jc w:val="both"/>
      </w:pPr>
      <w:r>
        <w:rPr/>
        <w:t>督权。对公司平湖国际物流园、农牧美益肉业项目、果菜益民豆制品生产基地等</w:t>
      </w:r>
      <w:r>
        <w:rPr>
          <w:spacing w:val="-91"/>
        </w:rPr>
        <w:t> </w:t>
      </w:r>
      <w:r>
        <w:rPr>
          <w:spacing w:val="-91"/>
        </w:rPr>
      </w:r>
      <w:r>
        <w:rPr/>
        <w:t>重大建设项目，均予以高度关注。一方面认真听取各方面的意见，另一方面深入</w:t>
      </w:r>
      <w:r>
        <w:rPr>
          <w:spacing w:val="-91"/>
        </w:rPr>
        <w:t> </w:t>
      </w:r>
      <w:r>
        <w:rPr>
          <w:spacing w:val="-91"/>
        </w:rPr>
      </w:r>
      <w:r>
        <w:rPr/>
        <w:t>项目现场实地了解具体情况，充分掌握第一手资料，并在正式会议上表明监事会</w:t>
      </w:r>
      <w:r>
        <w:rPr>
          <w:spacing w:val="-91"/>
        </w:rPr>
        <w:t> </w:t>
      </w:r>
      <w:r>
        <w:rPr>
          <w:spacing w:val="-91"/>
        </w:rPr>
      </w:r>
      <w:r>
        <w:rPr/>
        <w:t>的态度，使监督权落到了实处。从我们掌握到的情况来看，公司对重大问题的决</w:t>
      </w:r>
      <w:r>
        <w:rPr>
          <w:spacing w:val="-91"/>
        </w:rPr>
        <w:t> </w:t>
      </w:r>
      <w:r>
        <w:rPr>
          <w:spacing w:val="-91"/>
        </w:rPr>
      </w:r>
      <w:r>
        <w:rPr/>
        <w:t>策，程序规范、态度严谨、方法科学，运作过程中没有发现违法违规现象。</w:t>
      </w:r>
    </w:p>
    <w:p>
      <w:pPr>
        <w:pStyle w:val="BodyText"/>
        <w:spacing w:line="240" w:lineRule="auto"/>
        <w:ind w:left="711" w:right="25"/>
        <w:jc w:val="left"/>
      </w:pPr>
      <w:r>
        <w:rPr/>
        <w:t>（二）突出监督重点，为企业健康运行保驾护航。</w:t>
      </w:r>
    </w:p>
    <w:p>
      <w:pPr>
        <w:spacing w:after="0" w:line="240" w:lineRule="auto"/>
        <w:jc w:val="left"/>
        <w:sectPr>
          <w:pgSz w:w="11910" w:h="16840"/>
          <w:pgMar w:header="859" w:footer="835" w:top="1420" w:bottom="1020" w:left="1660" w:right="1500"/>
        </w:sectPr>
      </w:pPr>
    </w:p>
    <w:p>
      <w:pPr>
        <w:pStyle w:val="BodyText"/>
        <w:spacing w:line="357" w:lineRule="auto" w:before="96"/>
        <w:ind w:left="617" w:right="188"/>
        <w:jc w:val="left"/>
      </w:pPr>
      <w:r>
        <w:rPr/>
        <w:pict>
          <v:group style="position:absolute;margin-left:88.799995pt;margin-top:6.335606pt;width:425.2pt;height:.1pt;mso-position-horizontal-relative:page;mso-position-vertical-relative:paragraph;z-index:-1141216" coordorigin="1776,127" coordsize="8504,2">
            <v:shape style="position:absolute;left:1776;top:127;width:8504;height:2" coordorigin="1776,127" coordsize="8504,0" path="m1776,127l10279,127e" filled="false" stroked="true" strokeweight=".72pt" strokecolor="#000008">
              <v:path arrowok="t"/>
            </v:shape>
            <w10:wrap type="none"/>
          </v:group>
        </w:pict>
      </w:r>
      <w:r>
        <w:rPr/>
        <w:t>1、积极稳妥地推进全面风险管理体系建设 公司监事会将全面风险管理体系建设作为</w:t>
      </w:r>
      <w:r>
        <w:rPr>
          <w:spacing w:val="-57"/>
        </w:rPr>
        <w:t> </w:t>
      </w:r>
      <w:r>
        <w:rPr/>
        <w:t>2009</w:t>
      </w:r>
      <w:r>
        <w:rPr>
          <w:spacing w:val="-57"/>
        </w:rPr>
        <w:t> </w:t>
      </w:r>
      <w:r>
        <w:rPr>
          <w:spacing w:val="-5"/>
        </w:rPr>
        <w:t>年的重要工作内容之一，主动</w:t>
      </w:r>
    </w:p>
    <w:p>
      <w:pPr>
        <w:pStyle w:val="BodyText"/>
        <w:spacing w:line="357" w:lineRule="auto"/>
        <w:ind w:left="137" w:right="0"/>
        <w:jc w:val="left"/>
      </w:pPr>
      <w:r>
        <w:rPr/>
        <w:t>与董事会和经理班子协商沟通，多次研究，统一思想，协调行动，针对农产品公</w:t>
      </w:r>
      <w:r>
        <w:rPr>
          <w:spacing w:val="-91"/>
        </w:rPr>
        <w:t> </w:t>
      </w:r>
      <w:r>
        <w:rPr>
          <w:spacing w:val="-91"/>
        </w:rPr>
      </w:r>
      <w:r>
        <w:rPr/>
        <w:t>司的实际情况，按照“稳妥推进、分步实施、注重实效”的总体思路，在公司董</w:t>
      </w:r>
      <w:r>
        <w:rPr>
          <w:spacing w:val="-97"/>
        </w:rPr>
        <w:t> </w:t>
      </w:r>
      <w:r>
        <w:rPr>
          <w:spacing w:val="-97"/>
        </w:rPr>
      </w:r>
      <w:r>
        <w:rPr/>
        <w:t>事会和经理班子的高度重视下，很快在全公司范围内掀起了全面风险管理体系建</w:t>
      </w:r>
      <w:r>
        <w:rPr>
          <w:spacing w:val="-91"/>
        </w:rPr>
        <w:t> </w:t>
      </w:r>
      <w:r>
        <w:rPr>
          <w:spacing w:val="-91"/>
        </w:rPr>
      </w:r>
      <w:r>
        <w:rPr/>
        <w:t>设的热潮。公司成立了风控建设领导小组，董事长、总经理均亲自挂帅。在专项</w:t>
      </w:r>
      <w:r>
        <w:rPr>
          <w:spacing w:val="-91"/>
        </w:rPr>
        <w:t> </w:t>
      </w:r>
      <w:r>
        <w:rPr>
          <w:spacing w:val="-91"/>
        </w:rPr>
      </w:r>
      <w:r>
        <w:rPr>
          <w:spacing w:val="3"/>
        </w:rPr>
        <w:t>领导小组的带领下，公司高效完成了《农产品公司全面风险管理工作规划方案》</w:t>
      </w:r>
      <w:r>
        <w:rPr>
          <w:spacing w:val="-96"/>
        </w:rPr>
        <w:t> </w:t>
      </w:r>
      <w:r>
        <w:rPr>
          <w:spacing w:val="-96"/>
        </w:rPr>
      </w:r>
      <w:r>
        <w:rPr/>
        <w:t>和《2009</w:t>
      </w:r>
      <w:r>
        <w:rPr>
          <w:spacing w:val="-60"/>
        </w:rPr>
        <w:t> </w:t>
      </w:r>
      <w:r>
        <w:rPr/>
        <w:t>年度风险管理工作计划》等指导性文件的草拟、修订和报批工作。经过</w:t>
      </w:r>
      <w:r>
        <w:rPr/>
        <w:t> 充分筹备，公司于</w:t>
      </w:r>
      <w:r>
        <w:rPr>
          <w:spacing w:val="-53"/>
        </w:rPr>
        <w:t> </w:t>
      </w:r>
      <w:r>
        <w:rPr/>
        <w:t>5</w:t>
      </w:r>
      <w:r>
        <w:rPr>
          <w:spacing w:val="-53"/>
        </w:rPr>
        <w:t> </w:t>
      </w:r>
      <w:r>
        <w:rPr/>
        <w:t>月份召开了全系统动员大会，公司监事会主席受董事长的委</w:t>
      </w:r>
      <w:r>
        <w:rPr>
          <w:spacing w:val="-108"/>
        </w:rPr>
        <w:t> </w:t>
      </w:r>
      <w:r>
        <w:rPr>
          <w:spacing w:val="-108"/>
        </w:rPr>
      </w:r>
      <w:r>
        <w:rPr/>
        <w:t>托，就农产品公司全面风险管理工作进行了动员，并传达了总公司开展全面风险</w:t>
      </w:r>
      <w:r>
        <w:rPr>
          <w:spacing w:val="-91"/>
        </w:rPr>
        <w:t> </w:t>
      </w:r>
      <w:r>
        <w:rPr>
          <w:spacing w:val="-91"/>
        </w:rPr>
      </w:r>
      <w:r>
        <w:rPr/>
        <w:t>管理工作的实施意见,宣导了深入开展风险管理工作总体规划,部署了</w:t>
      </w:r>
      <w:r>
        <w:rPr>
          <w:spacing w:val="-89"/>
        </w:rPr>
        <w:t> </w:t>
      </w:r>
      <w:r>
        <w:rPr/>
        <w:t>2009</w:t>
      </w:r>
      <w:r>
        <w:rPr>
          <w:spacing w:val="-89"/>
        </w:rPr>
        <w:t> </w:t>
      </w:r>
      <w:r>
        <w:rPr/>
        <w:t>年度风</w:t>
      </w:r>
      <w:r>
        <w:rPr/>
        <w:t> 险管理工作的具体安排,明确了风控体系建设的指导思想、指导原则和方法步骤。</w:t>
      </w:r>
      <w:r>
        <w:rPr>
          <w:spacing w:val="-93"/>
        </w:rPr>
        <w:t> </w:t>
      </w:r>
      <w:r>
        <w:rPr>
          <w:spacing w:val="-93"/>
        </w:rPr>
      </w:r>
      <w:r>
        <w:rPr/>
        <w:t>会后，系统内各单位迅速行动，按照公司总体要求积极部署，认真完成阶段性工</w:t>
      </w:r>
      <w:r>
        <w:rPr>
          <w:spacing w:val="-91"/>
        </w:rPr>
        <w:t> </w:t>
      </w:r>
      <w:r>
        <w:rPr>
          <w:spacing w:val="-91"/>
        </w:rPr>
      </w:r>
      <w:r>
        <w:rPr/>
        <w:t>作目标。同时，还通过前往兄弟单位学习取经、开展内外结合的专业培训、定期</w:t>
      </w:r>
      <w:r>
        <w:rPr>
          <w:spacing w:val="-91"/>
        </w:rPr>
        <w:t> </w:t>
      </w:r>
      <w:r>
        <w:rPr>
          <w:spacing w:val="-91"/>
        </w:rPr>
      </w:r>
      <w:r>
        <w:rPr>
          <w:w w:val="95"/>
        </w:rPr>
        <w:t>召开风控专员会议，以及通过公司网站和企业报刊的宣传报道等多种形式和渠道，</w:t>
      </w:r>
      <w:r>
        <w:rPr>
          <w:spacing w:val="27"/>
          <w:w w:val="95"/>
        </w:rPr>
        <w:t> </w:t>
      </w:r>
      <w:r>
        <w:rPr>
          <w:spacing w:val="27"/>
          <w:w w:val="95"/>
        </w:rPr>
      </w:r>
      <w:r>
        <w:rPr/>
        <w:t>大力树立全员风险管理意识，培育良好的风险管理文化，提高相关工作人员的理</w:t>
      </w:r>
      <w:r>
        <w:rPr>
          <w:spacing w:val="-95"/>
        </w:rPr>
        <w:t> </w:t>
      </w:r>
      <w:r>
        <w:rPr>
          <w:spacing w:val="-95"/>
        </w:rPr>
      </w:r>
      <w:r>
        <w:rPr/>
        <w:t>论水平和实操技能，为建立全面风险管理体系提供扎实有力的基础保障。</w:t>
      </w:r>
    </w:p>
    <w:p>
      <w:pPr>
        <w:pStyle w:val="BodyText"/>
        <w:spacing w:line="357" w:lineRule="auto"/>
        <w:ind w:left="137" w:right="201" w:firstLine="480"/>
        <w:jc w:val="both"/>
      </w:pPr>
      <w:r>
        <w:rPr>
          <w:spacing w:val="-2"/>
          <w:w w:val="95"/>
        </w:rPr>
        <w:t>在监事会的督导下，农产品公司的风控体系建设一年来取得了阶段性的成果，</w:t>
      </w:r>
      <w:r>
        <w:rPr>
          <w:w w:val="51"/>
        </w:rPr>
        <w:t> </w:t>
      </w:r>
      <w:r>
        <w:rPr/>
        <w:t>为下一步风控体系的建设奠定了良好的基础，具体成果如下：</w:t>
      </w:r>
    </w:p>
    <w:p>
      <w:pPr>
        <w:pStyle w:val="BodyText"/>
        <w:spacing w:line="357" w:lineRule="auto"/>
        <w:ind w:left="137" w:right="205" w:firstLine="480"/>
        <w:jc w:val="both"/>
      </w:pPr>
      <w:r>
        <w:rPr/>
        <w:t>⑴</w:t>
      </w:r>
      <w:r>
        <w:rPr>
          <w:spacing w:val="-57"/>
        </w:rPr>
        <w:t> </w:t>
      </w:r>
      <w:r>
        <w:rPr/>
        <w:t>建设全面风险管理组织体系，为开展风险管理工作提供组织保障。除公司</w:t>
      </w:r>
      <w:r>
        <w:rPr/>
        <w:t> 总部成立了风险控制建设领导小组外，公司各部门、各企业均组织建立了风险控</w:t>
      </w:r>
      <w:r>
        <w:rPr>
          <w:spacing w:val="-91"/>
        </w:rPr>
        <w:t> </w:t>
      </w:r>
      <w:r>
        <w:rPr>
          <w:spacing w:val="-91"/>
        </w:rPr>
      </w:r>
      <w:r>
        <w:rPr/>
        <w:t>制建设执行小组，公司风险控制建设体系内成员达</w:t>
      </w:r>
      <w:r>
        <w:rPr>
          <w:spacing w:val="-60"/>
        </w:rPr>
        <w:t> </w:t>
      </w:r>
      <w:r>
        <w:rPr/>
        <w:t>203</w:t>
      </w:r>
      <w:r>
        <w:rPr>
          <w:spacing w:val="-60"/>
        </w:rPr>
        <w:t> </w:t>
      </w:r>
      <w:r>
        <w:rPr/>
        <w:t>人，其中风控协管专员</w:t>
      </w:r>
      <w:r>
        <w:rPr>
          <w:spacing w:val="-60"/>
        </w:rPr>
        <w:t> </w:t>
      </w:r>
      <w:r>
        <w:rPr/>
        <w:t>37</w:t>
      </w:r>
      <w:r>
        <w:rPr/>
        <w:t> 人。通过建立公司风险管理机构和成立风控协管专员队伍，为全面推进公司的风</w:t>
      </w:r>
      <w:r>
        <w:rPr>
          <w:spacing w:val="-91"/>
        </w:rPr>
        <w:t> </w:t>
      </w:r>
      <w:r>
        <w:rPr>
          <w:spacing w:val="-91"/>
        </w:rPr>
      </w:r>
      <w:r>
        <w:rPr/>
        <w:t>险管理工作提供了强有力的组织保障。</w:t>
      </w:r>
    </w:p>
    <w:p>
      <w:pPr>
        <w:pStyle w:val="BodyText"/>
        <w:spacing w:line="357" w:lineRule="auto"/>
        <w:ind w:left="137" w:right="205" w:firstLine="480"/>
        <w:jc w:val="both"/>
      </w:pPr>
      <w:r>
        <w:rPr/>
        <w:t>⑵</w:t>
      </w:r>
      <w:r>
        <w:rPr>
          <w:spacing w:val="-57"/>
        </w:rPr>
        <w:t> </w:t>
      </w:r>
      <w:r>
        <w:rPr/>
        <w:t>组织风险管理知识普及和培训，营造风险管理文化氛围，增强全员风险管</w:t>
      </w:r>
      <w:r>
        <w:rPr/>
        <w:t> 理意识。对总部管理层、二级控股企业负责人和风控协管专员进行风险管理知识</w:t>
      </w:r>
      <w:r>
        <w:rPr>
          <w:spacing w:val="-91"/>
        </w:rPr>
        <w:t> </w:t>
      </w:r>
      <w:r>
        <w:rPr>
          <w:spacing w:val="-91"/>
        </w:rPr>
      </w:r>
      <w:r>
        <w:rPr/>
        <w:t>培训，重点强化公司高、中层管理人员的风险管理理念和意识；利用公司的培训</w:t>
      </w:r>
      <w:r>
        <w:rPr>
          <w:spacing w:val="-91"/>
        </w:rPr>
        <w:t> </w:t>
      </w:r>
      <w:r>
        <w:rPr>
          <w:spacing w:val="-91"/>
        </w:rPr>
      </w:r>
      <w:r>
        <w:rPr/>
        <w:t>平台，对公司的储备干部进行风险管理知识普及。同时，邀请专业风险管理咨询</w:t>
      </w:r>
      <w:r>
        <w:rPr>
          <w:spacing w:val="-91"/>
        </w:rPr>
        <w:t> </w:t>
      </w:r>
      <w:r>
        <w:rPr>
          <w:spacing w:val="-91"/>
        </w:rPr>
      </w:r>
      <w:r>
        <w:rPr/>
        <w:t>机构进行指导，强化了公司管理人员的风险管理意识，有效掌握企业风险等各方</w:t>
      </w:r>
    </w:p>
    <w:p>
      <w:pPr>
        <w:spacing w:after="0" w:line="357" w:lineRule="auto"/>
        <w:jc w:val="both"/>
        <w:sectPr>
          <w:pgSz w:w="11910" w:h="16840"/>
          <w:pgMar w:header="859" w:footer="835" w:top="1420" w:bottom="1020" w:left="1660" w:right="1440"/>
        </w:sectPr>
      </w:pPr>
    </w:p>
    <w:p>
      <w:pPr>
        <w:pStyle w:val="BodyText"/>
        <w:spacing w:line="357" w:lineRule="auto" w:before="96"/>
        <w:ind w:left="137" w:right="230"/>
        <w:jc w:val="both"/>
      </w:pPr>
      <w:r>
        <w:rPr/>
        <w:pict>
          <v:group style="position:absolute;margin-left:88.799995pt;margin-top:6.335606pt;width:425.2pt;height:.1pt;mso-position-horizontal-relative:page;mso-position-vertical-relative:paragraph;z-index:-1141192" coordorigin="1776,127" coordsize="8504,2">
            <v:shape style="position:absolute;left:1776;top:127;width:8504;height:2" coordorigin="1776,127" coordsize="8504,0" path="m1776,127l10279,127e" filled="false" stroked="true" strokeweight=".72pt" strokecolor="#000008">
              <v:path arrowok="t"/>
            </v:shape>
            <w10:wrap type="none"/>
          </v:group>
        </w:pict>
      </w:r>
      <w:r>
        <w:rPr/>
        <w:t>面信息。利用公司报刊及网站，宣传公司风险管理工作，建立良好的企业风险管</w:t>
      </w:r>
      <w:r>
        <w:rPr>
          <w:spacing w:val="-91"/>
        </w:rPr>
        <w:t> </w:t>
      </w:r>
      <w:r>
        <w:rPr>
          <w:spacing w:val="-91"/>
        </w:rPr>
      </w:r>
      <w:r>
        <w:rPr/>
        <w:t>理文化。</w:t>
      </w:r>
    </w:p>
    <w:p>
      <w:pPr>
        <w:pStyle w:val="BodyText"/>
        <w:spacing w:line="357" w:lineRule="auto"/>
        <w:ind w:left="137" w:right="0" w:firstLine="480"/>
        <w:jc w:val="left"/>
      </w:pPr>
      <w:r>
        <w:rPr/>
        <w:t>⑶</w:t>
      </w:r>
      <w:r>
        <w:rPr>
          <w:spacing w:val="-33"/>
        </w:rPr>
        <w:t> </w:t>
      </w:r>
      <w:r>
        <w:rPr/>
        <w:t>汇总及认真梳理业务流程，实施控制机制现状调研，确保风控建设措施的</w:t>
      </w:r>
      <w:r>
        <w:rPr/>
        <w:t> </w:t>
      </w:r>
      <w:r>
        <w:rPr>
          <w:spacing w:val="3"/>
        </w:rPr>
        <w:t>有效落实。对公司各部门和二级企业现行内部管理制度进行收集、梳理和汇总，</w:t>
      </w:r>
      <w:r>
        <w:rPr>
          <w:spacing w:val="-96"/>
        </w:rPr>
        <w:t> </w:t>
      </w:r>
      <w:r>
        <w:rPr>
          <w:spacing w:val="-96"/>
        </w:rPr>
      </w:r>
      <w:r>
        <w:rPr/>
        <w:t>对所隐含的各个风险点进行排查和归纳，将存在的问题进行了归纳总结，并通过</w:t>
      </w:r>
    </w:p>
    <w:p>
      <w:pPr>
        <w:pStyle w:val="BodyText"/>
        <w:spacing w:line="357" w:lineRule="auto"/>
        <w:ind w:left="137" w:right="230"/>
        <w:jc w:val="both"/>
      </w:pPr>
      <w:r>
        <w:rPr/>
        <w:t>《制度整改建议函》的形式与企业交换意见，进而完善现有内控制度。并对深圳</w:t>
      </w:r>
      <w:r>
        <w:rPr>
          <w:spacing w:val="-91"/>
        </w:rPr>
        <w:t> </w:t>
      </w:r>
      <w:r>
        <w:rPr>
          <w:spacing w:val="-91"/>
        </w:rPr>
      </w:r>
      <w:r>
        <w:rPr/>
        <w:t>福田农批市场、广西糖网、山东青联公司相关控制机制进行摸底、调研，了解相</w:t>
      </w:r>
      <w:r>
        <w:rPr>
          <w:spacing w:val="-91"/>
        </w:rPr>
        <w:t> </w:t>
      </w:r>
      <w:r>
        <w:rPr>
          <w:spacing w:val="-91"/>
        </w:rPr>
      </w:r>
      <w:r>
        <w:rPr/>
        <w:t>关公司的业务运作模式及制度流程，分析相关企业公司及业务层面存在的主要风</w:t>
      </w:r>
      <w:r>
        <w:rPr>
          <w:spacing w:val="-91"/>
        </w:rPr>
        <w:t> </w:t>
      </w:r>
      <w:r>
        <w:rPr>
          <w:spacing w:val="-91"/>
        </w:rPr>
      </w:r>
      <w:r>
        <w:rPr/>
        <w:t>险，为下一步推行风控建设工作提供依据。</w:t>
      </w:r>
    </w:p>
    <w:p>
      <w:pPr>
        <w:pStyle w:val="BodyText"/>
        <w:spacing w:line="357" w:lineRule="auto"/>
        <w:ind w:left="137" w:right="201" w:firstLine="480"/>
        <w:jc w:val="both"/>
      </w:pPr>
      <w:r>
        <w:rPr/>
        <w:t>⑷</w:t>
      </w:r>
      <w:r>
        <w:rPr>
          <w:spacing w:val="-55"/>
        </w:rPr>
        <w:t> </w:t>
      </w:r>
      <w:r>
        <w:rPr/>
        <w:t>全面开展风险识别分析及评估工作，撰写风险识别评估分析报告，准确识</w:t>
      </w:r>
      <w:r>
        <w:rPr/>
        <w:t> 别关键风险及提出应对措施。全面查找分析各单位经营管理活动和重要业务流程</w:t>
      </w:r>
      <w:r>
        <w:rPr>
          <w:spacing w:val="-91"/>
        </w:rPr>
        <w:t> </w:t>
      </w:r>
      <w:r>
        <w:rPr>
          <w:spacing w:val="-91"/>
        </w:rPr>
      </w:r>
      <w:r>
        <w:rPr>
          <w:spacing w:val="-2"/>
          <w:w w:val="95"/>
        </w:rPr>
        <w:t>中的关键风险事件，引导各单位合理利用资源，对重大风险采取有效的管控措施，</w:t>
      </w:r>
      <w:r>
        <w:rPr>
          <w:spacing w:val="98"/>
          <w:w w:val="95"/>
        </w:rPr>
        <w:t> </w:t>
      </w:r>
      <w:r>
        <w:rPr>
          <w:spacing w:val="98"/>
          <w:w w:val="95"/>
        </w:rPr>
      </w:r>
      <w:r>
        <w:rPr/>
        <w:t>以保障目标的实现。</w:t>
      </w:r>
    </w:p>
    <w:p>
      <w:pPr>
        <w:pStyle w:val="BodyText"/>
        <w:spacing w:line="357" w:lineRule="auto"/>
        <w:ind w:left="137" w:right="201" w:firstLine="480"/>
        <w:jc w:val="both"/>
      </w:pPr>
      <w:r>
        <w:rPr/>
        <w:t>⑸</w:t>
      </w:r>
      <w:r>
        <w:rPr>
          <w:spacing w:val="-55"/>
        </w:rPr>
        <w:t> </w:t>
      </w:r>
      <w:r>
        <w:rPr/>
        <w:t>建立健全全面风险管理制度，落实风险管理体系建设，开展流程标准化试</w:t>
      </w:r>
      <w:r>
        <w:rPr/>
        <w:t> 点工作，进一步推进全面风险管理工作。制定公司统一的制度体系和框架。主要</w:t>
      </w:r>
      <w:r>
        <w:rPr>
          <w:spacing w:val="-91"/>
        </w:rPr>
        <w:t> </w:t>
      </w:r>
      <w:r>
        <w:rPr>
          <w:spacing w:val="-91"/>
        </w:rPr>
      </w:r>
      <w:r>
        <w:rPr/>
        <w:t>分为战略管理、内部监督管理、业务运营、投资管理、财务管理、人力资源管理</w:t>
      </w:r>
      <w:r>
        <w:rPr>
          <w:spacing w:val="-91"/>
        </w:rPr>
        <w:t> </w:t>
      </w:r>
      <w:r>
        <w:rPr>
          <w:spacing w:val="-91"/>
        </w:rPr>
      </w:r>
      <w:r>
        <w:rPr/>
        <w:t>等</w:t>
      </w:r>
      <w:r>
        <w:rPr>
          <w:spacing w:val="-88"/>
        </w:rPr>
        <w:t> </w:t>
      </w:r>
      <w:r>
        <w:rPr/>
        <w:t>11</w:t>
      </w:r>
      <w:r>
        <w:rPr>
          <w:spacing w:val="-88"/>
        </w:rPr>
        <w:t> </w:t>
      </w:r>
      <w:r>
        <w:rPr/>
        <w:t>个大类，通过制定统一的制度体系和框架，为各部门、各企业的制度梳理提</w:t>
      </w:r>
      <w:r>
        <w:rPr/>
        <w:t> </w:t>
      </w:r>
      <w:r>
        <w:rPr>
          <w:spacing w:val="-6"/>
        </w:rPr>
        <w:t>供了参考标准。并制定《风控协管专员管理暂行办法》、《风险识别评价分析工作</w:t>
      </w:r>
      <w:r>
        <w:rPr>
          <w:spacing w:val="-117"/>
        </w:rPr>
        <w:t> </w:t>
      </w:r>
      <w:r>
        <w:rPr>
          <w:spacing w:val="-117"/>
        </w:rPr>
      </w:r>
      <w:r>
        <w:rPr>
          <w:spacing w:val="-9"/>
          <w:w w:val="98"/>
        </w:rPr>
        <w:t>指引》、《流程标准指引》等风险管理制度，实现公司风险控制建设的全方位覆盖。</w:t>
      </w:r>
      <w:r>
        <w:rPr>
          <w:spacing w:val="-87"/>
          <w:w w:val="98"/>
        </w:rPr>
        <w:t> </w:t>
      </w:r>
      <w:r>
        <w:rPr>
          <w:spacing w:val="-87"/>
          <w:w w:val="98"/>
        </w:rPr>
      </w:r>
      <w:r>
        <w:rPr/>
        <w:t>此外，以广西糖网为公司风险控制制度建设的试点企业，开展流程标准化的试点</w:t>
      </w:r>
      <w:r>
        <w:rPr>
          <w:spacing w:val="-91"/>
        </w:rPr>
        <w:t> </w:t>
      </w:r>
      <w:r>
        <w:rPr>
          <w:spacing w:val="-91"/>
        </w:rPr>
      </w:r>
      <w:r>
        <w:rPr/>
        <w:t>工作，为下一步全面铺开提供范例。</w:t>
      </w:r>
    </w:p>
    <w:p>
      <w:pPr>
        <w:pStyle w:val="BodyText"/>
        <w:spacing w:line="357" w:lineRule="auto"/>
        <w:ind w:left="617" w:right="197"/>
        <w:jc w:val="left"/>
      </w:pPr>
      <w:r>
        <w:rPr/>
        <w:t>2、认真督导工程建设专项治理工作 </w:t>
      </w:r>
      <w:r>
        <w:rPr>
          <w:spacing w:val="-2"/>
        </w:rPr>
        <w:t>根据市国资局《关于贯彻落实&lt;深圳市工程建设领域突出问题专项治理工作实</w:t>
      </w:r>
    </w:p>
    <w:p>
      <w:pPr>
        <w:pStyle w:val="BodyText"/>
        <w:spacing w:line="357" w:lineRule="auto"/>
        <w:ind w:left="137" w:right="205"/>
        <w:jc w:val="both"/>
      </w:pPr>
      <w:r>
        <w:rPr>
          <w:spacing w:val="-1"/>
          <w:w w:val="95"/>
        </w:rPr>
        <w:t>施方案&gt;的通知》（深国资局〔</w:t>
      </w:r>
      <w:r>
        <w:rPr>
          <w:spacing w:val="-93"/>
          <w:w w:val="95"/>
        </w:rPr>
        <w:t> </w:t>
      </w:r>
      <w:r>
        <w:rPr/>
        <w:t>2009〕42</w:t>
      </w:r>
      <w:r>
        <w:rPr>
          <w:spacing w:val="-56"/>
        </w:rPr>
        <w:t> </w:t>
      </w:r>
      <w:r>
        <w:rPr/>
        <w:t>号）和《关于开展市属国有企业工程建设</w:t>
      </w:r>
      <w:r>
        <w:rPr/>
        <w:t> </w:t>
      </w:r>
      <w:r>
        <w:rPr>
          <w:spacing w:val="-7"/>
          <w:w w:val="99"/>
        </w:rPr>
        <w:t>领域突出问题排查工作的通知》（深国资局〔2009〕69</w:t>
      </w:r>
      <w:r>
        <w:rPr>
          <w:spacing w:val="-48"/>
          <w:w w:val="99"/>
        </w:rPr>
        <w:t> </w:t>
      </w:r>
      <w:r>
        <w:rPr>
          <w:spacing w:val="-4"/>
        </w:rPr>
        <w:t>号）的文件精神，公司监事</w:t>
      </w:r>
      <w:r>
        <w:rPr>
          <w:spacing w:val="-118"/>
        </w:rPr>
        <w:t> </w:t>
      </w:r>
      <w:r>
        <w:rPr>
          <w:spacing w:val="-118"/>
        </w:rPr>
      </w:r>
      <w:r>
        <w:rPr/>
        <w:t>会将工程建设专项治理工作作为监事会</w:t>
      </w:r>
      <w:r>
        <w:rPr>
          <w:spacing w:val="-36"/>
        </w:rPr>
        <w:t> </w:t>
      </w:r>
      <w:r>
        <w:rPr/>
        <w:t>09</w:t>
      </w:r>
      <w:r>
        <w:rPr>
          <w:spacing w:val="-50"/>
        </w:rPr>
        <w:t> </w:t>
      </w:r>
      <w:r>
        <w:rPr>
          <w:spacing w:val="2"/>
        </w:rPr>
        <w:t>年下半年的工作重点之一。09</w:t>
      </w:r>
      <w:r>
        <w:rPr>
          <w:spacing w:val="-48"/>
        </w:rPr>
        <w:t> </w:t>
      </w:r>
      <w:r>
        <w:rPr/>
        <w:t>年下半</w:t>
      </w:r>
      <w:r>
        <w:rPr>
          <w:spacing w:val="-114"/>
        </w:rPr>
        <w:t> </w:t>
      </w:r>
      <w:r>
        <w:rPr>
          <w:spacing w:val="-114"/>
        </w:rPr>
      </w:r>
      <w:r>
        <w:rPr/>
        <w:t>年，公司领导班子换届刚一完成，监事会马上就此项工作的开展与新一届经理班</w:t>
      </w:r>
      <w:r>
        <w:rPr>
          <w:spacing w:val="-91"/>
        </w:rPr>
        <w:t> </w:t>
      </w:r>
      <w:r>
        <w:rPr>
          <w:spacing w:val="-91"/>
        </w:rPr>
      </w:r>
      <w:r>
        <w:rPr/>
        <w:t>子进行了沟通。新一届经理班子非常重视，立即组建了以分管工程的副总经理为</w:t>
      </w:r>
      <w:r>
        <w:rPr>
          <w:spacing w:val="-91"/>
        </w:rPr>
        <w:t> </w:t>
      </w:r>
      <w:r>
        <w:rPr>
          <w:spacing w:val="-91"/>
        </w:rPr>
      </w:r>
      <w:r>
        <w:rPr>
          <w:spacing w:val="-2"/>
          <w:w w:val="95"/>
        </w:rPr>
        <w:t>组长、审计部、业务三部以及监事会有关人员参加的“工程项目检查小组”，全面</w:t>
      </w:r>
    </w:p>
    <w:p>
      <w:pPr>
        <w:spacing w:after="0" w:line="357" w:lineRule="auto"/>
        <w:jc w:val="both"/>
        <w:sectPr>
          <w:pgSz w:w="11910" w:h="16840"/>
          <w:pgMar w:header="859" w:footer="835" w:top="1420" w:bottom="1020" w:left="1660" w:right="1440"/>
        </w:sectPr>
      </w:pPr>
    </w:p>
    <w:p>
      <w:pPr>
        <w:pStyle w:val="BodyText"/>
        <w:spacing w:line="357" w:lineRule="auto" w:before="96"/>
        <w:ind w:left="617" w:right="188" w:hanging="480"/>
        <w:jc w:val="left"/>
      </w:pPr>
      <w:r>
        <w:rPr/>
        <w:pict>
          <v:group style="position:absolute;margin-left:88.799995pt;margin-top:6.335606pt;width:425.2pt;height:.1pt;mso-position-horizontal-relative:page;mso-position-vertical-relative:paragraph;z-index:-1141168" coordorigin="1776,127" coordsize="8504,2">
            <v:shape style="position:absolute;left:1776;top:127;width:8504;height:2" coordorigin="1776,127" coordsize="8504,0" path="m1776,127l10279,127e" filled="false" stroked="true" strokeweight=".72pt" strokecolor="#000008">
              <v:path arrowok="t"/>
            </v:shape>
            <w10:wrap type="none"/>
          </v:group>
        </w:pict>
      </w:r>
      <w:r>
        <w:rPr/>
        <w:t>部署并开展了专项治理工作。 </w:t>
      </w:r>
      <w:r>
        <w:rPr>
          <w:spacing w:val="-6"/>
        </w:rPr>
        <w:t>公司首先对二级企业下发了《关于对工程项目进行专项检查的通知》，对系统</w:t>
      </w:r>
    </w:p>
    <w:p>
      <w:pPr>
        <w:pStyle w:val="BodyText"/>
        <w:spacing w:line="357" w:lineRule="auto"/>
        <w:ind w:left="137" w:right="131"/>
        <w:jc w:val="left"/>
      </w:pPr>
      <w:r>
        <w:rPr/>
        <w:t>内所有控股企业大于</w:t>
      </w:r>
      <w:r>
        <w:rPr>
          <w:spacing w:val="-89"/>
        </w:rPr>
        <w:t> </w:t>
      </w:r>
      <w:r>
        <w:rPr/>
        <w:t>30</w:t>
      </w:r>
      <w:r>
        <w:rPr>
          <w:spacing w:val="-89"/>
        </w:rPr>
        <w:t> </w:t>
      </w:r>
      <w:r>
        <w:rPr>
          <w:spacing w:val="-5"/>
          <w:w w:val="99"/>
        </w:rPr>
        <w:t>万元的工程项目进行专项检查。检查工作分两个阶段进行</w:t>
      </w:r>
      <w:r>
        <w:rPr>
          <w:spacing w:val="-58"/>
          <w:w w:val="99"/>
        </w:rPr>
        <w:t> </w:t>
      </w:r>
      <w:r>
        <w:rPr>
          <w:w w:val="75"/>
        </w:rPr>
        <w:t>，</w:t>
      </w:r>
      <w:r>
        <w:rPr>
          <w:w w:val="75"/>
        </w:rPr>
        <w:t> </w:t>
      </w:r>
      <w:r>
        <w:rPr>
          <w:spacing w:val="-2"/>
        </w:rPr>
        <w:t>第一阶段是各企业自查自纠，第二阶段是由检查小组对重点工程项目进行抽查。1</w:t>
      </w:r>
      <w:r>
        <w:rPr>
          <w:spacing w:val="-107"/>
        </w:rPr>
        <w:t> </w:t>
      </w:r>
      <w:r>
        <w:rPr>
          <w:spacing w:val="-107"/>
        </w:rPr>
      </w:r>
      <w:r>
        <w:rPr/>
        <w:t>月中旬，监事会主席还亲自深入到沈阳公司和平湖公司的现场开展抽查工作。通</w:t>
      </w:r>
      <w:r>
        <w:rPr>
          <w:spacing w:val="-91"/>
        </w:rPr>
        <w:t> </w:t>
      </w:r>
      <w:r>
        <w:rPr>
          <w:spacing w:val="-91"/>
        </w:rPr>
      </w:r>
      <w:r>
        <w:rPr/>
        <w:t>过本次检查，梳理了公司属下各企业工程项目的有关环节，使各企业提高了对工</w:t>
      </w:r>
      <w:r>
        <w:rPr>
          <w:spacing w:val="-91"/>
        </w:rPr>
        <w:t> </w:t>
      </w:r>
      <w:r>
        <w:rPr>
          <w:spacing w:val="-91"/>
        </w:rPr>
      </w:r>
      <w:r>
        <w:rPr/>
        <w:t>程建设领域规章制度的建立和审批程序的完善等工作的重视程度。检查小组要求</w:t>
      </w:r>
      <w:r>
        <w:rPr>
          <w:spacing w:val="-91"/>
        </w:rPr>
        <w:t> </w:t>
      </w:r>
      <w:r>
        <w:rPr>
          <w:spacing w:val="-91"/>
        </w:rPr>
      </w:r>
      <w:r>
        <w:rPr/>
        <w:t>有关企业对本次检查所发现的问题进行整改，尽快完善相关手续及流程，确保工</w:t>
      </w:r>
      <w:r>
        <w:rPr>
          <w:spacing w:val="-91"/>
        </w:rPr>
        <w:t> </w:t>
      </w:r>
      <w:r>
        <w:rPr>
          <w:spacing w:val="-91"/>
        </w:rPr>
      </w:r>
      <w:r>
        <w:rPr/>
        <w:t>程项目建设的合法化和规范化。</w:t>
      </w:r>
    </w:p>
    <w:p>
      <w:pPr>
        <w:pStyle w:val="BodyText"/>
        <w:spacing w:line="240" w:lineRule="auto"/>
        <w:ind w:left="617" w:right="188"/>
        <w:jc w:val="left"/>
      </w:pPr>
      <w:r>
        <w:rPr/>
        <w:t>（三）深入调查研究，掌握公司经营管理细节情况。</w:t>
      </w:r>
    </w:p>
    <w:p>
      <w:pPr>
        <w:pStyle w:val="BodyText"/>
        <w:spacing w:line="240" w:lineRule="auto" w:before="154"/>
        <w:ind w:left="0" w:right="205"/>
        <w:jc w:val="right"/>
      </w:pPr>
      <w:r>
        <w:rPr/>
        <w:t>2009</w:t>
      </w:r>
      <w:r>
        <w:rPr>
          <w:spacing w:val="-54"/>
        </w:rPr>
        <w:t> </w:t>
      </w:r>
      <w:r>
        <w:rPr/>
        <w:t>年</w:t>
      </w:r>
      <w:r>
        <w:rPr>
          <w:spacing w:val="-54"/>
        </w:rPr>
        <w:t> </w:t>
      </w:r>
      <w:r>
        <w:rPr/>
        <w:t>3</w:t>
      </w:r>
      <w:r>
        <w:rPr>
          <w:spacing w:val="-54"/>
        </w:rPr>
        <w:t> </w:t>
      </w:r>
      <w:r>
        <w:rPr>
          <w:spacing w:val="-3"/>
        </w:rPr>
        <w:t>月，公司变更了监事会主席。一年来，公司监事会先后前往下属</w:t>
      </w:r>
      <w:r>
        <w:rPr>
          <w:spacing w:val="-54"/>
        </w:rPr>
        <w:t> </w:t>
      </w:r>
      <w:r>
        <w:rPr/>
        <w:t>16</w:t>
      </w:r>
    </w:p>
    <w:p>
      <w:pPr>
        <w:pStyle w:val="BodyText"/>
        <w:spacing w:line="357" w:lineRule="auto" w:before="154"/>
        <w:ind w:left="137" w:right="0"/>
        <w:jc w:val="left"/>
      </w:pPr>
      <w:r>
        <w:rPr>
          <w:spacing w:val="-3"/>
        </w:rPr>
        <w:t>家企业进行调研（其中异地企业</w:t>
      </w:r>
      <w:r>
        <w:rPr>
          <w:spacing w:val="-53"/>
        </w:rPr>
        <w:t> </w:t>
      </w:r>
      <w:r>
        <w:rPr/>
        <w:t>4</w:t>
      </w:r>
      <w:r>
        <w:rPr>
          <w:spacing w:val="-53"/>
        </w:rPr>
        <w:t> </w:t>
      </w:r>
      <w:r>
        <w:rPr>
          <w:spacing w:val="-8"/>
        </w:rPr>
        <w:t>家），与这些企业的领导班子成员就完善法人治</w:t>
      </w:r>
      <w:r>
        <w:rPr>
          <w:spacing w:val="-107"/>
        </w:rPr>
        <w:t> </w:t>
      </w:r>
      <w:r>
        <w:rPr>
          <w:spacing w:val="-107"/>
        </w:rPr>
      </w:r>
      <w:r>
        <w:rPr>
          <w:spacing w:val="3"/>
        </w:rPr>
        <w:t>理结构、规范决策程序、强化风险意识以及监事会工作等进行深入座谈。事后，</w:t>
      </w:r>
      <w:r>
        <w:rPr>
          <w:spacing w:val="-96"/>
        </w:rPr>
        <w:t> </w:t>
      </w:r>
      <w:r>
        <w:rPr>
          <w:spacing w:val="-96"/>
        </w:rPr>
      </w:r>
      <w:r>
        <w:rPr>
          <w:spacing w:val="3"/>
        </w:rPr>
        <w:t>监事会有针对性地对一些问题撰写了调研考察报告，供领导班子有关人员参考。</w:t>
      </w:r>
      <w:r>
        <w:rPr>
          <w:spacing w:val="-96"/>
        </w:rPr>
        <w:t> </w:t>
      </w:r>
      <w:r>
        <w:rPr>
          <w:spacing w:val="-96"/>
        </w:rPr>
      </w:r>
      <w:r>
        <w:rPr/>
        <w:t>同时，监事会主席经常与总公司各个职能部门负责人进行沟通，参加或独立召开</w:t>
      </w:r>
      <w:r>
        <w:rPr>
          <w:spacing w:val="-91"/>
        </w:rPr>
        <w:t> </w:t>
      </w:r>
      <w:r>
        <w:rPr>
          <w:spacing w:val="-91"/>
        </w:rPr>
      </w:r>
      <w:r>
        <w:rPr/>
        <w:t>各种专题会议，并认真阅读公司近年来的工作总结、领导讲话、规章制度以及财</w:t>
      </w:r>
      <w:r>
        <w:rPr>
          <w:spacing w:val="-91"/>
        </w:rPr>
        <w:t> </w:t>
      </w:r>
      <w:r>
        <w:rPr>
          <w:spacing w:val="-91"/>
        </w:rPr>
      </w:r>
      <w:r>
        <w:rPr/>
        <w:t>务报告等大量书面材料，从而初步掌握了公司的基本情况，熟识了总公司中层以</w:t>
      </w:r>
      <w:r>
        <w:rPr>
          <w:spacing w:val="-91"/>
        </w:rPr>
        <w:t> </w:t>
      </w:r>
      <w:r>
        <w:rPr>
          <w:spacing w:val="-91"/>
        </w:rPr>
      </w:r>
      <w:r>
        <w:rPr>
          <w:w w:val="95"/>
        </w:rPr>
        <w:t>上领导骨干及二级企业的主要负责人，对公司的产业结构、业务特点、财务状况、</w:t>
      </w:r>
      <w:r>
        <w:rPr>
          <w:spacing w:val="26"/>
          <w:w w:val="95"/>
        </w:rPr>
        <w:t> </w:t>
      </w:r>
      <w:r>
        <w:rPr>
          <w:spacing w:val="26"/>
          <w:w w:val="95"/>
        </w:rPr>
      </w:r>
      <w:r>
        <w:rPr/>
        <w:t>人员组成、运作程序等心中有数，为有效履行好职责打下了基础。</w:t>
      </w:r>
    </w:p>
    <w:p>
      <w:pPr>
        <w:pStyle w:val="BodyText"/>
        <w:spacing w:line="357" w:lineRule="auto"/>
        <w:ind w:left="706" w:right="190"/>
        <w:jc w:val="left"/>
      </w:pPr>
      <w:r>
        <w:rPr/>
        <w:t>（四）顺利完成换届工作，整合监督资源，提高履职水平。 公司监事会共有成员</w:t>
      </w:r>
      <w:r>
        <w:rPr>
          <w:spacing w:val="-81"/>
        </w:rPr>
        <w:t> </w:t>
      </w:r>
      <w:r>
        <w:rPr/>
        <w:t>5</w:t>
      </w:r>
      <w:r>
        <w:rPr>
          <w:spacing w:val="-81"/>
        </w:rPr>
        <w:t> </w:t>
      </w:r>
      <w:r>
        <w:rPr/>
        <w:t>名</w:t>
      </w:r>
      <w:r>
        <w:rPr>
          <w:spacing w:val="-92"/>
        </w:rPr>
        <w:t> </w:t>
      </w:r>
      <w:r>
        <w:rPr>
          <w:spacing w:val="-11"/>
        </w:rPr>
        <w:t>，2009</w:t>
      </w:r>
      <w:r>
        <w:rPr>
          <w:spacing w:val="-81"/>
        </w:rPr>
        <w:t> </w:t>
      </w:r>
      <w:r>
        <w:rPr/>
        <w:t>年上半年由于两名监事已到退休年龄而进行</w:t>
      </w:r>
    </w:p>
    <w:p>
      <w:pPr>
        <w:pStyle w:val="BodyText"/>
        <w:spacing w:line="240" w:lineRule="auto"/>
        <w:ind w:left="137" w:right="188"/>
        <w:jc w:val="left"/>
      </w:pPr>
      <w:r>
        <w:rPr/>
        <w:t>了监事变更，下半年监事会顺利完成了换届，又变更了</w:t>
      </w:r>
      <w:r>
        <w:rPr>
          <w:spacing w:val="-49"/>
        </w:rPr>
        <w:t> </w:t>
      </w:r>
      <w:r>
        <w:rPr/>
        <w:t>2</w:t>
      </w:r>
      <w:r>
        <w:rPr>
          <w:spacing w:val="-49"/>
        </w:rPr>
        <w:t> </w:t>
      </w:r>
      <w:r>
        <w:rPr/>
        <w:t>名监事。第六届监事会</w:t>
      </w:r>
    </w:p>
    <w:p>
      <w:pPr>
        <w:pStyle w:val="BodyText"/>
        <w:spacing w:line="357" w:lineRule="auto" w:before="154"/>
        <w:ind w:left="0" w:right="201"/>
        <w:jc w:val="right"/>
      </w:pPr>
      <w:r>
        <w:rPr/>
        <w:t>由</w:t>
      </w:r>
      <w:r>
        <w:rPr>
          <w:spacing w:val="-55"/>
        </w:rPr>
        <w:t> </w:t>
      </w:r>
      <w:r>
        <w:rPr/>
        <w:t>5</w:t>
      </w:r>
      <w:r>
        <w:rPr>
          <w:spacing w:val="-53"/>
        </w:rPr>
        <w:t> </w:t>
      </w:r>
      <w:r>
        <w:rPr/>
        <w:t>名监事组成，其中职工监事</w:t>
      </w:r>
      <w:r>
        <w:rPr>
          <w:spacing w:val="-53"/>
        </w:rPr>
        <w:t> </w:t>
      </w:r>
      <w:r>
        <w:rPr/>
        <w:t>2</w:t>
      </w:r>
      <w:r>
        <w:rPr>
          <w:spacing w:val="-55"/>
        </w:rPr>
        <w:t> </w:t>
      </w:r>
      <w:r>
        <w:rPr/>
        <w:t>名。新一届监事会成员的学历、能力以及工作</w:t>
      </w:r>
      <w:r>
        <w:rPr/>
        <w:t> 责任心等综合素质均较高，监事会的力量得到了加强。监事会加大对新任监事的 培训力度，组织大家认真学习法律、法规以及有关业务知识，尽快熟悉企业情况 和监事会工作，提高履行职责的水平。监事之间互相通气，遇有需要监事会正式 </w:t>
      </w:r>
      <w:r>
        <w:rPr>
          <w:spacing w:val="-2"/>
          <w:w w:val="95"/>
        </w:rPr>
        <w:t>表态的问题，均由五人取得一致意见，力求做到监事会内部运作民主化、科学化。</w:t>
      </w:r>
      <w:r>
        <w:rPr>
          <w:spacing w:val="88"/>
          <w:w w:val="95"/>
        </w:rPr>
        <w:t> </w:t>
      </w:r>
      <w:r>
        <w:rPr>
          <w:spacing w:val="88"/>
          <w:w w:val="95"/>
        </w:rPr>
      </w:r>
      <w:r>
        <w:rPr>
          <w:spacing w:val="-1"/>
        </w:rPr>
        <w:t>同时，监事会加强与公司纪检、工会和审计部门的沟通与联系，定期不定期</w:t>
      </w:r>
    </w:p>
    <w:p>
      <w:pPr>
        <w:pStyle w:val="BodyText"/>
        <w:spacing w:line="240" w:lineRule="auto"/>
        <w:ind w:left="137" w:right="0"/>
        <w:jc w:val="left"/>
      </w:pPr>
      <w:r>
        <w:rPr>
          <w:spacing w:val="3"/>
        </w:rPr>
        <w:t>地组织召开联席会议，各监督机构通过联席会议这个平台沟通情况、研究问题、</w:t>
      </w:r>
    </w:p>
    <w:p>
      <w:pPr>
        <w:spacing w:after="0" w:line="240" w:lineRule="auto"/>
        <w:jc w:val="left"/>
        <w:sectPr>
          <w:pgSz w:w="11910" w:h="16840"/>
          <w:pgMar w:header="859" w:footer="835" w:top="1420" w:bottom="1020" w:left="1660" w:right="1440"/>
        </w:sectPr>
      </w:pPr>
    </w:p>
    <w:p>
      <w:pPr>
        <w:pStyle w:val="BodyText"/>
        <w:spacing w:line="240" w:lineRule="auto" w:before="96"/>
        <w:ind w:left="137" w:right="188"/>
        <w:jc w:val="left"/>
      </w:pPr>
      <w:r>
        <w:rPr/>
        <w:pict>
          <v:group style="position:absolute;margin-left:88.799995pt;margin-top:6.335606pt;width:425.2pt;height:.1pt;mso-position-horizontal-relative:page;mso-position-vertical-relative:paragraph;z-index:-1141144" coordorigin="1776,127" coordsize="8504,2">
            <v:shape style="position:absolute;left:1776;top:127;width:8504;height:2" coordorigin="1776,127" coordsize="8504,0" path="m1776,127l10279,127e" filled="false" stroked="true" strokeweight=".72pt" strokecolor="#000008">
              <v:path arrowok="t"/>
            </v:shape>
            <w10:wrap type="none"/>
          </v:group>
        </w:pict>
      </w:r>
      <w:r>
        <w:rPr/>
        <w:t>提出建议，保障公司规范运作。</w:t>
      </w:r>
    </w:p>
    <w:p>
      <w:pPr>
        <w:pStyle w:val="BodyText"/>
        <w:spacing w:line="357" w:lineRule="auto" w:before="154"/>
        <w:ind w:left="137" w:right="201" w:firstLine="568"/>
        <w:jc w:val="both"/>
      </w:pPr>
      <w:r>
        <w:rPr/>
        <w:t>2009</w:t>
      </w:r>
      <w:r>
        <w:rPr>
          <w:spacing w:val="-58"/>
        </w:rPr>
        <w:t> </w:t>
      </w:r>
      <w:r>
        <w:rPr>
          <w:spacing w:val="-3"/>
        </w:rPr>
        <w:t>年，监事会根据公司业务发展的阶段性需要，准确把握监督重点，严格</w:t>
      </w:r>
      <w:r>
        <w:rPr/>
        <w:t> 落实监督措施，取得了一定的监督实效。在新的年度里，公司监事会将进一步加</w:t>
      </w:r>
      <w:r>
        <w:rPr>
          <w:spacing w:val="-91"/>
        </w:rPr>
        <w:t> </w:t>
      </w:r>
      <w:r>
        <w:rPr>
          <w:spacing w:val="-91"/>
        </w:rPr>
      </w:r>
      <w:r>
        <w:rPr>
          <w:spacing w:val="-2"/>
          <w:w w:val="95"/>
        </w:rPr>
        <w:t>强和完善监督机制，本着对全体股东负责的态度，推动公司治理水平的不断提高。</w:t>
      </w:r>
      <w:r>
        <w:rPr>
          <w:spacing w:val="-2"/>
        </w:rPr>
      </w:r>
    </w:p>
    <w:p>
      <w:pPr>
        <w:pStyle w:val="BodyText"/>
        <w:spacing w:line="357" w:lineRule="auto"/>
        <w:ind w:left="617" w:right="188"/>
        <w:jc w:val="left"/>
      </w:pPr>
      <w:r>
        <w:rPr/>
        <w:t>二、公司依法运作情况 经对股东大会和董事会的召开程序、决议事项、董事会对股东大会决议的执</w:t>
      </w:r>
    </w:p>
    <w:p>
      <w:pPr>
        <w:pStyle w:val="BodyText"/>
        <w:spacing w:line="357" w:lineRule="auto"/>
        <w:ind w:left="137" w:right="0"/>
        <w:jc w:val="left"/>
      </w:pPr>
      <w:r>
        <w:rPr>
          <w:spacing w:val="3"/>
        </w:rPr>
        <w:t>行情况及公司董事、高级管理人员履行职务情况等的监督和检查，监事会认为：</w:t>
      </w:r>
      <w:r>
        <w:rPr>
          <w:spacing w:val="-96"/>
        </w:rPr>
        <w:t> </w:t>
      </w:r>
      <w:r>
        <w:rPr>
          <w:spacing w:val="-96"/>
        </w:rPr>
      </w:r>
      <w:r>
        <w:rPr/>
        <w:t>公司法人治理结构规范完善，与控股股东在人员、财产、财务、机构和业务等方</w:t>
      </w:r>
      <w:r>
        <w:rPr>
          <w:spacing w:val="-91"/>
        </w:rPr>
        <w:t> </w:t>
      </w:r>
      <w:r>
        <w:rPr>
          <w:spacing w:val="-91"/>
        </w:rPr>
      </w:r>
      <w:r>
        <w:rPr>
          <w:w w:val="95"/>
        </w:rPr>
        <w:t>面做到“五独立”，公司董事会、监事会和内部机构能够独立运作；公司信息披露</w:t>
      </w:r>
      <w:r>
        <w:rPr>
          <w:spacing w:val="22"/>
          <w:w w:val="95"/>
        </w:rPr>
        <w:t> </w:t>
      </w:r>
      <w:r>
        <w:rPr>
          <w:spacing w:val="22"/>
          <w:w w:val="95"/>
        </w:rPr>
      </w:r>
      <w:r>
        <w:rPr/>
        <w:t>做到了及时、准确、真实、完整；重大决策符合法定程序，建立了完善的内部控</w:t>
      </w:r>
      <w:r>
        <w:rPr>
          <w:spacing w:val="-91"/>
        </w:rPr>
        <w:t> </w:t>
      </w:r>
      <w:r>
        <w:rPr>
          <w:spacing w:val="-91"/>
        </w:rPr>
      </w:r>
      <w:r>
        <w:rPr/>
        <w:t>制制度。</w:t>
      </w:r>
    </w:p>
    <w:p>
      <w:pPr>
        <w:pStyle w:val="BodyText"/>
        <w:spacing w:line="357" w:lineRule="auto"/>
        <w:ind w:left="137" w:right="206" w:firstLine="480"/>
        <w:jc w:val="both"/>
      </w:pPr>
      <w:r>
        <w:rPr/>
        <w:t>在工作中，以陈少群董事长为首的公司领导班子统揽全局、审时度势，所做 出的各项重大决策符合新形势的战略要求和农产品公司的客观实际；各位董事能</w:t>
      </w:r>
      <w:r>
        <w:rPr>
          <w:spacing w:val="-91"/>
        </w:rPr>
        <w:t> </w:t>
      </w:r>
      <w:r>
        <w:rPr>
          <w:spacing w:val="-91"/>
        </w:rPr>
      </w:r>
      <w:r>
        <w:rPr/>
        <w:t>努力做到诚信勤勉、奉公守法、按章办事，维护公司和股东利益，较好地履行了</w:t>
      </w:r>
      <w:r>
        <w:rPr>
          <w:spacing w:val="-91"/>
        </w:rPr>
        <w:t> </w:t>
      </w:r>
      <w:r>
        <w:rPr>
          <w:spacing w:val="-91"/>
        </w:rPr>
      </w:r>
      <w:r>
        <w:rPr/>
        <w:t>各自的职责。先后以祝俊明、曾湃总经理为首的公司经营管理团队在推进战略实</w:t>
      </w:r>
      <w:r>
        <w:rPr>
          <w:spacing w:val="-91"/>
        </w:rPr>
        <w:t> </w:t>
      </w:r>
      <w:r>
        <w:rPr>
          <w:spacing w:val="-91"/>
        </w:rPr>
      </w:r>
      <w:r>
        <w:rPr/>
        <w:t>施过程中思路清晰、重点突出、部署周密、措施得力，全年在经营创新、管理提</w:t>
      </w:r>
      <w:r>
        <w:rPr>
          <w:spacing w:val="-91"/>
        </w:rPr>
        <w:t> </w:t>
      </w:r>
      <w:r>
        <w:rPr>
          <w:spacing w:val="-91"/>
        </w:rPr>
      </w:r>
      <w:r>
        <w:rPr/>
        <w:t>升和公司治理等方面取得了显著成效。各高管人员在履行职务时都能按照国家法</w:t>
      </w:r>
      <w:r>
        <w:rPr>
          <w:spacing w:val="-91"/>
        </w:rPr>
        <w:t> </w:t>
      </w:r>
      <w:r>
        <w:rPr>
          <w:spacing w:val="-91"/>
        </w:rPr>
      </w:r>
      <w:r>
        <w:rPr/>
        <w:t>律、法规、公司章程的规定办事，努力做到诚信勤勉、廉洁自律、恪尽职守，较</w:t>
      </w:r>
      <w:r>
        <w:rPr>
          <w:spacing w:val="-91"/>
        </w:rPr>
        <w:t> </w:t>
      </w:r>
      <w:r>
        <w:rPr>
          <w:spacing w:val="-91"/>
        </w:rPr>
      </w:r>
      <w:r>
        <w:rPr/>
        <w:t>好地发挥了各自应有的作用。特别要指出的是，2009</w:t>
      </w:r>
      <w:r>
        <w:rPr>
          <w:spacing w:val="-60"/>
        </w:rPr>
        <w:t> </w:t>
      </w:r>
      <w:r>
        <w:rPr/>
        <w:t>年是农产品公司的班子换届</w:t>
      </w:r>
      <w:r>
        <w:rPr/>
        <w:t> 年，领导班子各成员心定气正，未发现有跑官要官现象，更没有因班子换届而松</w:t>
      </w:r>
      <w:r>
        <w:rPr>
          <w:spacing w:val="-91"/>
        </w:rPr>
        <w:t> </w:t>
      </w:r>
      <w:r>
        <w:rPr>
          <w:spacing w:val="-91"/>
        </w:rPr>
      </w:r>
      <w:r>
        <w:rPr/>
        <w:t>懈管理，影响工作。</w:t>
      </w:r>
    </w:p>
    <w:p>
      <w:pPr>
        <w:pStyle w:val="BodyText"/>
        <w:spacing w:line="357" w:lineRule="auto"/>
        <w:ind w:left="706" w:right="193" w:firstLine="31"/>
        <w:jc w:val="left"/>
      </w:pPr>
      <w:r>
        <w:rPr/>
        <w:t>三、公司财务检查情况 </w:t>
      </w:r>
      <w:r>
        <w:rPr>
          <w:spacing w:val="-1"/>
        </w:rPr>
        <w:t>监事会把公司的财务管理和会计活动作为重要的监督客体，坚持做到定期查</w:t>
      </w:r>
    </w:p>
    <w:p>
      <w:pPr>
        <w:pStyle w:val="BodyText"/>
        <w:spacing w:line="357" w:lineRule="auto"/>
        <w:ind w:left="137" w:right="205"/>
        <w:jc w:val="both"/>
      </w:pPr>
      <w:r>
        <w:rPr/>
        <w:t>阅各类财务报表，及时搜集重要财务信息，与公司计财部保持密切联系。根据公</w:t>
      </w:r>
      <w:r>
        <w:rPr>
          <w:spacing w:val="-91"/>
        </w:rPr>
        <w:t> </w:t>
      </w:r>
      <w:r>
        <w:rPr>
          <w:spacing w:val="-91"/>
        </w:rPr>
      </w:r>
      <w:r>
        <w:rPr>
          <w:spacing w:val="-4"/>
        </w:rPr>
        <w:t>司法的要求，监事会认真审查了农产品公司</w:t>
      </w:r>
      <w:r>
        <w:rPr>
          <w:spacing w:val="-55"/>
        </w:rPr>
        <w:t> </w:t>
      </w:r>
      <w:r>
        <w:rPr/>
        <w:t>2008</w:t>
      </w:r>
      <w:r>
        <w:rPr>
          <w:spacing w:val="-52"/>
        </w:rPr>
        <w:t> </w:t>
      </w:r>
      <w:r>
        <w:rPr>
          <w:spacing w:val="-6"/>
        </w:rPr>
        <w:t>年度财务报告、2009</w:t>
      </w:r>
      <w:r>
        <w:rPr>
          <w:spacing w:val="-52"/>
        </w:rPr>
        <w:t> </w:t>
      </w:r>
      <w:r>
        <w:rPr/>
        <w:t>年半年度财</w:t>
      </w:r>
      <w:r>
        <w:rPr/>
        <w:t> 务报告及有关公告，确保了上市公司信息披露的真实性和及时性。</w:t>
      </w:r>
    </w:p>
    <w:p>
      <w:pPr>
        <w:pStyle w:val="BodyText"/>
        <w:spacing w:line="357" w:lineRule="auto"/>
        <w:ind w:left="137" w:right="201" w:firstLine="480"/>
        <w:jc w:val="both"/>
      </w:pPr>
      <w:r>
        <w:rPr>
          <w:spacing w:val="-2"/>
          <w:w w:val="95"/>
        </w:rPr>
        <w:t>监事会认为：农产品公司作为上市公司，能够严格执行国家统一的会计制度，</w:t>
      </w:r>
      <w:r>
        <w:rPr>
          <w:w w:val="51"/>
        </w:rPr>
        <w:t> </w:t>
      </w:r>
      <w:r>
        <w:rPr>
          <w:spacing w:val="-2"/>
          <w:w w:val="95"/>
        </w:rPr>
        <w:t>会计信息真实、可靠，能够公正、客观、真实地反映企业的财务状况和经营成果。</w:t>
      </w:r>
      <w:r>
        <w:rPr>
          <w:spacing w:val="-2"/>
        </w:rPr>
      </w:r>
    </w:p>
    <w:p>
      <w:pPr>
        <w:pStyle w:val="BodyText"/>
        <w:spacing w:line="240" w:lineRule="auto"/>
        <w:ind w:left="735" w:right="188"/>
        <w:jc w:val="left"/>
      </w:pPr>
      <w:r>
        <w:rPr/>
        <w:t>四、募集资金使用情况</w:t>
      </w:r>
    </w:p>
    <w:p>
      <w:pPr>
        <w:spacing w:after="0" w:line="240" w:lineRule="auto"/>
        <w:jc w:val="left"/>
        <w:sectPr>
          <w:pgSz w:w="11910" w:h="16840"/>
          <w:pgMar w:header="859" w:footer="835" w:top="1420" w:bottom="1020" w:left="1660" w:right="1440"/>
        </w:sectPr>
      </w:pPr>
    </w:p>
    <w:p>
      <w:pPr>
        <w:pStyle w:val="BodyText"/>
        <w:spacing w:line="357" w:lineRule="auto" w:before="96"/>
        <w:ind w:left="137" w:right="141" w:firstLine="480"/>
        <w:jc w:val="both"/>
      </w:pPr>
      <w:r>
        <w:rPr/>
        <w:pict>
          <v:group style="position:absolute;margin-left:88.799995pt;margin-top:6.335606pt;width:425.2pt;height:.1pt;mso-position-horizontal-relative:page;mso-position-vertical-relative:paragraph;z-index:-1141120" coordorigin="1776,127" coordsize="8504,2">
            <v:shape style="position:absolute;left:1776;top:127;width:8504;height:2" coordorigin="1776,127" coordsize="8504,0" path="m1776,127l10279,127e" filled="false" stroked="true" strokeweight=".72pt" strokecolor="#000008">
              <v:path arrowok="t"/>
            </v:shape>
            <w10:wrap type="none"/>
          </v:group>
        </w:pict>
      </w:r>
      <w:r>
        <w:rPr>
          <w:spacing w:val="-6"/>
        </w:rPr>
        <w:t>公司制定了《募集资金管理办法》，对募集资金的存放、使用、投向变更以及</w:t>
      </w:r>
      <w:r>
        <w:rPr/>
        <w:t> 使用监督等事项均有明确规定。2008</w:t>
      </w:r>
      <w:r>
        <w:rPr>
          <w:spacing w:val="-60"/>
        </w:rPr>
        <w:t> </w:t>
      </w:r>
      <w:r>
        <w:rPr/>
        <w:t>年，公司通过非公开发行股票的方式募集资</w:t>
      </w:r>
      <w:r>
        <w:rPr/>
        <w:t> 金 113501.78</w:t>
      </w:r>
      <w:r>
        <w:rPr>
          <w:spacing w:val="-67"/>
        </w:rPr>
        <w:t> </w:t>
      </w:r>
      <w:r>
        <w:rPr/>
        <w:t>万元，用于深圳平湖国际农产品物流园项目，该笔募集资金已按规</w:t>
      </w:r>
    </w:p>
    <w:p>
      <w:pPr>
        <w:pStyle w:val="BodyText"/>
        <w:spacing w:line="357" w:lineRule="auto"/>
        <w:ind w:left="137" w:right="145"/>
        <w:jc w:val="both"/>
      </w:pPr>
      <w:r>
        <w:rPr>
          <w:spacing w:val="-15"/>
        </w:rPr>
        <w:t>定专户存储。截至</w:t>
      </w:r>
      <w:r>
        <w:rPr>
          <w:spacing w:val="-94"/>
        </w:rPr>
        <w:t> </w:t>
      </w:r>
      <w:r>
        <w:rPr/>
        <w:t>2009</w:t>
      </w:r>
      <w:r>
        <w:rPr>
          <w:spacing w:val="-92"/>
        </w:rPr>
        <w:t> </w:t>
      </w:r>
      <w:r>
        <w:rPr/>
        <w:t>年</w:t>
      </w:r>
      <w:r>
        <w:rPr>
          <w:spacing w:val="-92"/>
        </w:rPr>
        <w:t> </w:t>
      </w:r>
      <w:r>
        <w:rPr/>
        <w:t>12</w:t>
      </w:r>
      <w:r>
        <w:rPr>
          <w:spacing w:val="-92"/>
        </w:rPr>
        <w:t> </w:t>
      </w:r>
      <w:r>
        <w:rPr/>
        <w:t>月</w:t>
      </w:r>
      <w:r>
        <w:rPr>
          <w:spacing w:val="-92"/>
        </w:rPr>
        <w:t> </w:t>
      </w:r>
      <w:r>
        <w:rPr/>
        <w:t>31</w:t>
      </w:r>
      <w:r>
        <w:rPr>
          <w:spacing w:val="-92"/>
        </w:rPr>
        <w:t> </w:t>
      </w:r>
      <w:r>
        <w:rPr>
          <w:spacing w:val="-14"/>
        </w:rPr>
        <w:t>日，该笔募集资金在</w:t>
      </w:r>
      <w:r>
        <w:rPr>
          <w:spacing w:val="-84"/>
        </w:rPr>
        <w:t> </w:t>
      </w:r>
      <w:r>
        <w:rPr/>
        <w:t>2009</w:t>
      </w:r>
      <w:r>
        <w:rPr>
          <w:spacing w:val="-74"/>
        </w:rPr>
        <w:t> </w:t>
      </w:r>
      <w:r>
        <w:rPr/>
        <w:t>年度实际使用</w:t>
      </w:r>
      <w:r>
        <w:rPr>
          <w:spacing w:val="-71"/>
        </w:rPr>
        <w:t> </w:t>
      </w:r>
      <w:r>
        <w:rPr/>
        <w:t>8,920.21</w:t>
      </w:r>
      <w:r>
        <w:rPr/>
        <w:t> 万元，累计使用</w:t>
      </w:r>
      <w:r>
        <w:rPr>
          <w:spacing w:val="-64"/>
        </w:rPr>
        <w:t> </w:t>
      </w:r>
      <w:r>
        <w:rPr/>
        <w:t>15,220.12</w:t>
      </w:r>
      <w:r>
        <w:rPr>
          <w:spacing w:val="-64"/>
        </w:rPr>
        <w:t> </w:t>
      </w:r>
      <w:r>
        <w:rPr/>
        <w:t>万元（占募集资金净额的</w:t>
      </w:r>
      <w:r>
        <w:rPr>
          <w:spacing w:val="-64"/>
        </w:rPr>
        <w:t> </w:t>
      </w:r>
      <w:r>
        <w:rPr>
          <w:spacing w:val="-1"/>
          <w:w w:val="96"/>
        </w:rPr>
        <w:t>13.40％），募集资金的支出</w:t>
      </w:r>
      <w:r>
        <w:rPr>
          <w:w w:val="94"/>
        </w:rPr>
        <w:t> </w:t>
      </w:r>
      <w:r>
        <w:rPr/>
        <w:t>均按规定审批。该笔募集资金的余额 98,281.66</w:t>
      </w:r>
      <w:r>
        <w:rPr>
          <w:spacing w:val="-72"/>
        </w:rPr>
        <w:t> </w:t>
      </w:r>
      <w:r>
        <w:rPr/>
        <w:t>万元将随着项目的后续开发按投</w:t>
      </w:r>
    </w:p>
    <w:p>
      <w:pPr>
        <w:pStyle w:val="BodyText"/>
        <w:spacing w:line="240" w:lineRule="auto"/>
        <w:ind w:left="137" w:right="25"/>
        <w:jc w:val="left"/>
      </w:pPr>
      <w:r>
        <w:rPr/>
        <w:t>资进度逐步投入。2008</w:t>
      </w:r>
      <w:r>
        <w:rPr>
          <w:spacing w:val="-60"/>
        </w:rPr>
        <w:t> </w:t>
      </w:r>
      <w:r>
        <w:rPr/>
        <w:t>年</w:t>
      </w:r>
      <w:r>
        <w:rPr>
          <w:spacing w:val="-60"/>
        </w:rPr>
        <w:t> </w:t>
      </w:r>
      <w:r>
        <w:rPr/>
        <w:t>11</w:t>
      </w:r>
      <w:r>
        <w:rPr>
          <w:spacing w:val="-60"/>
        </w:rPr>
        <w:t> </w:t>
      </w:r>
      <w:r>
        <w:rPr/>
        <w:t>月</w:t>
      </w:r>
      <w:r>
        <w:rPr>
          <w:spacing w:val="-60"/>
        </w:rPr>
        <w:t> </w:t>
      </w:r>
      <w:r>
        <w:rPr/>
        <w:t>14</w:t>
      </w:r>
      <w:r>
        <w:rPr>
          <w:spacing w:val="-60"/>
        </w:rPr>
        <w:t> </w:t>
      </w:r>
      <w:r>
        <w:rPr/>
        <w:t>日，公司临时股东大会审议通过将</w:t>
      </w:r>
      <w:r>
        <w:rPr>
          <w:spacing w:val="-60"/>
        </w:rPr>
        <w:t> </w:t>
      </w:r>
      <w:r>
        <w:rPr/>
        <w:t>5</w:t>
      </w:r>
      <w:r>
        <w:rPr>
          <w:spacing w:val="-60"/>
        </w:rPr>
        <w:t> </w:t>
      </w:r>
      <w:r>
        <w:rPr/>
        <w:t>亿元暂未</w:t>
      </w:r>
    </w:p>
    <w:p>
      <w:pPr>
        <w:pStyle w:val="BodyText"/>
        <w:spacing w:line="240" w:lineRule="auto" w:before="154"/>
        <w:ind w:left="137" w:right="25"/>
        <w:jc w:val="left"/>
      </w:pPr>
      <w:r>
        <w:rPr>
          <w:spacing w:val="-3"/>
        </w:rPr>
        <w:t>使用的募集资金用于补充公司流动资金，期限不超过半年。2009</w:t>
      </w:r>
      <w:r>
        <w:rPr>
          <w:spacing w:val="-66"/>
        </w:rPr>
        <w:t> </w:t>
      </w:r>
      <w:r>
        <w:rPr/>
        <w:t>年</w:t>
      </w:r>
      <w:r>
        <w:rPr>
          <w:spacing w:val="-66"/>
        </w:rPr>
        <w:t> </w:t>
      </w:r>
      <w:r>
        <w:rPr/>
        <w:t>5</w:t>
      </w:r>
      <w:r>
        <w:rPr>
          <w:spacing w:val="-66"/>
        </w:rPr>
        <w:t> </w:t>
      </w:r>
      <w:r>
        <w:rPr/>
        <w:t>月</w:t>
      </w:r>
      <w:r>
        <w:rPr>
          <w:spacing w:val="-66"/>
        </w:rPr>
        <w:t> </w:t>
      </w:r>
      <w:r>
        <w:rPr/>
        <w:t>14</w:t>
      </w:r>
      <w:r>
        <w:rPr>
          <w:spacing w:val="-66"/>
        </w:rPr>
        <w:t> </w:t>
      </w:r>
      <w:r>
        <w:rPr/>
        <w:t>日，该</w:t>
      </w:r>
    </w:p>
    <w:p>
      <w:pPr>
        <w:pStyle w:val="BodyText"/>
        <w:spacing w:line="240" w:lineRule="auto" w:before="154"/>
        <w:ind w:left="137" w:right="25"/>
        <w:jc w:val="left"/>
      </w:pPr>
      <w:r>
        <w:rPr/>
        <w:t>笔资金已按期归还。2009</w:t>
      </w:r>
      <w:r>
        <w:rPr>
          <w:spacing w:val="-60"/>
        </w:rPr>
        <w:t> </w:t>
      </w:r>
      <w:r>
        <w:rPr/>
        <w:t>年</w:t>
      </w:r>
      <w:r>
        <w:rPr>
          <w:spacing w:val="-60"/>
        </w:rPr>
        <w:t> </w:t>
      </w:r>
      <w:r>
        <w:rPr/>
        <w:t>6</w:t>
      </w:r>
      <w:r>
        <w:rPr>
          <w:spacing w:val="-60"/>
        </w:rPr>
        <w:t> </w:t>
      </w:r>
      <w:r>
        <w:rPr/>
        <w:t>月</w:t>
      </w:r>
      <w:r>
        <w:rPr>
          <w:spacing w:val="-60"/>
        </w:rPr>
        <w:t> </w:t>
      </w:r>
      <w:r>
        <w:rPr/>
        <w:t>5</w:t>
      </w:r>
      <w:r>
        <w:rPr>
          <w:spacing w:val="-60"/>
        </w:rPr>
        <w:t> </w:t>
      </w:r>
      <w:r>
        <w:rPr/>
        <w:t>日，公司临时股东大会再审议通过将</w:t>
      </w:r>
      <w:r>
        <w:rPr>
          <w:spacing w:val="-60"/>
        </w:rPr>
        <w:t> </w:t>
      </w:r>
      <w:r>
        <w:rPr/>
        <w:t>5</w:t>
      </w:r>
      <w:r>
        <w:rPr>
          <w:spacing w:val="-60"/>
        </w:rPr>
        <w:t> </w:t>
      </w:r>
      <w:r>
        <w:rPr/>
        <w:t>亿元暂</w:t>
      </w:r>
    </w:p>
    <w:p>
      <w:pPr>
        <w:pStyle w:val="BodyText"/>
        <w:spacing w:line="357" w:lineRule="auto" w:before="154"/>
        <w:ind w:left="137" w:right="129"/>
        <w:jc w:val="left"/>
      </w:pPr>
      <w:r>
        <w:rPr/>
        <w:t>未使用的募集资金用于补充公司流动资金，使用期限不超过半年。2009</w:t>
      </w:r>
      <w:r>
        <w:rPr>
          <w:spacing w:val="-75"/>
        </w:rPr>
        <w:t> </w:t>
      </w:r>
      <w:r>
        <w:rPr/>
        <w:t>年</w:t>
      </w:r>
      <w:r>
        <w:rPr>
          <w:spacing w:val="-75"/>
        </w:rPr>
        <w:t> </w:t>
      </w:r>
      <w:r>
        <w:rPr/>
        <w:t>12</w:t>
      </w:r>
      <w:r>
        <w:rPr>
          <w:spacing w:val="-75"/>
        </w:rPr>
        <w:t> </w:t>
      </w:r>
      <w:r>
        <w:rPr/>
        <w:t>月</w:t>
      </w:r>
      <w:r>
        <w:rPr>
          <w:spacing w:val="-75"/>
        </w:rPr>
        <w:t> </w:t>
      </w:r>
      <w:r>
        <w:rPr/>
        <w:t>5</w:t>
      </w:r>
      <w:r>
        <w:rPr/>
        <w:t> 日，该笔资金也已按期归还。</w:t>
      </w:r>
    </w:p>
    <w:p>
      <w:pPr>
        <w:pStyle w:val="BodyText"/>
        <w:spacing w:line="357" w:lineRule="auto"/>
        <w:ind w:left="137" w:right="141" w:firstLine="480"/>
        <w:jc w:val="both"/>
      </w:pPr>
      <w:r>
        <w:rPr/>
        <w:t>监事会认为，公司定向增发募集资金的操作严格按照有关法规进行。募集资 金的存放与使用符合相关规定，对到账资金，公司严格按照股东大会承诺的资金</w:t>
      </w:r>
      <w:r>
        <w:rPr>
          <w:spacing w:val="-93"/>
        </w:rPr>
        <w:t> </w:t>
      </w:r>
      <w:r>
        <w:rPr>
          <w:spacing w:val="-93"/>
        </w:rPr>
      </w:r>
      <w:r>
        <w:rPr>
          <w:spacing w:val="-2"/>
          <w:w w:val="95"/>
        </w:rPr>
        <w:t>运用计划，根据资本市场实际融资量和项目实施进度，按先后顺序、分阶段投入。</w:t>
      </w:r>
      <w:r>
        <w:rPr>
          <w:spacing w:val="98"/>
          <w:w w:val="95"/>
        </w:rPr>
        <w:t> </w:t>
      </w:r>
      <w:r>
        <w:rPr>
          <w:spacing w:val="98"/>
          <w:w w:val="95"/>
        </w:rPr>
      </w:r>
      <w:r>
        <w:rPr/>
        <w:t>不存在募集资金管理违规的行为。</w:t>
      </w:r>
    </w:p>
    <w:p>
      <w:pPr>
        <w:pStyle w:val="BodyText"/>
        <w:spacing w:line="357" w:lineRule="auto"/>
        <w:ind w:left="617" w:right="25"/>
        <w:jc w:val="left"/>
      </w:pPr>
      <w:r>
        <w:rPr/>
        <w:t>五、公司对外投资及出售资产情况 报告期内，公司对外投资和出售资产交易程序合法，交易价格合理，没有发</w:t>
      </w:r>
    </w:p>
    <w:p>
      <w:pPr>
        <w:pStyle w:val="BodyText"/>
        <w:spacing w:line="240" w:lineRule="auto"/>
        <w:ind w:left="137" w:right="25"/>
        <w:jc w:val="left"/>
      </w:pPr>
      <w:r>
        <w:rPr/>
        <w:t>现内幕交易和损害股东权益或造成公司资产流失的行为。</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pStyle w:val="Heading4"/>
        <w:spacing w:line="240" w:lineRule="auto"/>
        <w:ind w:right="3154"/>
        <w:jc w:val="center"/>
      </w:pPr>
      <w:r>
        <w:rPr/>
        <w:t>第九章</w:t>
      </w:r>
      <w:r>
        <w:rPr>
          <w:spacing w:val="6"/>
        </w:rPr>
        <w:t> </w:t>
      </w:r>
      <w:r>
        <w:rPr/>
        <w:t>重要事项</w:t>
      </w:r>
    </w:p>
    <w:p>
      <w:pPr>
        <w:spacing w:line="240" w:lineRule="auto" w:before="3"/>
        <w:rPr>
          <w:rFonts w:ascii="宋体" w:hAnsi="宋体" w:cs="宋体" w:eastAsia="宋体" w:hint="default"/>
          <w:sz w:val="41"/>
          <w:szCs w:val="41"/>
        </w:rPr>
      </w:pPr>
    </w:p>
    <w:p>
      <w:pPr>
        <w:spacing w:line="312" w:lineRule="auto" w:before="0"/>
        <w:ind w:left="617" w:right="18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第一节 公司重大诉讼、仲裁事项</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2007年10月11日，公司联合深圳市投资控股有限公司（简称“深投控”）与</w:t>
      </w:r>
    </w:p>
    <w:p>
      <w:pPr>
        <w:pStyle w:val="BodyText"/>
        <w:spacing w:line="357" w:lineRule="auto" w:before="82"/>
        <w:ind w:left="137" w:right="25"/>
        <w:jc w:val="left"/>
      </w:pPr>
      <w:r>
        <w:rPr/>
        <w:t>汇科系统（香港）有限公司（简称“汇科公司”）签署《关于深圳市深宝实业股 份有限公司股份转让协议书》，公司联合深投控将持有的深圳市深宝实业股份有 </w:t>
      </w:r>
      <w:r>
        <w:rPr>
          <w:spacing w:val="-2"/>
        </w:rPr>
        <w:t>限公司（以下简称“深深宝”）42％股份，合计76,407,697股“深深宝”A股股票</w:t>
      </w:r>
      <w:r>
        <w:rPr>
          <w:spacing w:val="-98"/>
        </w:rPr>
        <w:t> </w:t>
      </w:r>
      <w:r>
        <w:rPr>
          <w:spacing w:val="-98"/>
        </w:rPr>
      </w:r>
      <w:r>
        <w:rPr/>
        <w:t>协议转让给汇科公司，每股转让价格为人民币8.63元，转让总价款为人民币 </w:t>
      </w:r>
      <w:r>
        <w:rPr>
          <w:spacing w:val="-1"/>
          <w:w w:val="95"/>
        </w:rPr>
        <w:t>659,398,425.11元。其中，公司将持有的“深深宝”股份38,589,008股A股（</w:t>
      </w:r>
      <w:r>
        <w:rPr>
          <w:w w:val="95"/>
        </w:rPr>
        <w:t> </w:t>
      </w:r>
      <w:r>
        <w:rPr>
          <w:spacing w:val="-5"/>
          <w:w w:val="95"/>
        </w:rPr>
        <w:t>占“深</w:t>
      </w:r>
      <w:r>
        <w:rPr>
          <w:spacing w:val="-34"/>
          <w:w w:val="95"/>
        </w:rPr>
        <w:t> </w:t>
      </w:r>
      <w:r>
        <w:rPr>
          <w:spacing w:val="-34"/>
          <w:w w:val="95"/>
        </w:rPr>
      </w:r>
      <w:r>
        <w:rPr/>
        <w:t>深宝”股份总数的21.21%）以及由此所衍生的所有股东权益，转让给汇科公司，</w:t>
      </w:r>
    </w:p>
    <w:p>
      <w:pPr>
        <w:spacing w:after="0" w:line="357" w:lineRule="auto"/>
        <w:jc w:val="left"/>
        <w:sectPr>
          <w:pgSz w:w="11910" w:h="16840"/>
          <w:pgMar w:header="859" w:footer="835" w:top="1420" w:bottom="1020" w:left="1660" w:right="1500"/>
        </w:sectPr>
      </w:pPr>
    </w:p>
    <w:p>
      <w:pPr>
        <w:pStyle w:val="BodyText"/>
        <w:spacing w:line="355" w:lineRule="auto" w:before="96"/>
        <w:ind w:left="137" w:right="145"/>
        <w:jc w:val="both"/>
      </w:pPr>
      <w:r>
        <w:rPr/>
        <w:pict>
          <v:group style="position:absolute;margin-left:88.799995pt;margin-top:6.335606pt;width:425.2pt;height:.1pt;mso-position-horizontal-relative:page;mso-position-vertical-relative:paragraph;z-index:-1141096" coordorigin="1776,127" coordsize="8504,2">
            <v:shape style="position:absolute;left:1776;top:127;width:8504;height:2" coordorigin="1776,127" coordsize="8504,0" path="m1776,127l10279,127e" filled="false" stroked="true" strokeweight=".72pt" strokecolor="#000008">
              <v:path arrowok="t"/>
            </v:shape>
            <w10:wrap type="none"/>
          </v:group>
        </w:pict>
      </w:r>
      <w:r>
        <w:rPr>
          <w:spacing w:val="-3"/>
          <w:w w:val="95"/>
        </w:rPr>
        <w:t>转让价格为人民333,023,139.04元；深投控将其持有的“深深宝”股份37,818,689</w:t>
      </w:r>
      <w:r>
        <w:rPr>
          <w:spacing w:val="61"/>
          <w:w w:val="95"/>
        </w:rPr>
        <w:t> </w:t>
      </w:r>
      <w:r>
        <w:rPr>
          <w:spacing w:val="61"/>
          <w:w w:val="95"/>
        </w:rPr>
      </w:r>
      <w:r>
        <w:rPr/>
        <w:t>股A股（占“深深宝”股份总数的20.79％）以及由此所衍生的所有股东权益，转 让给汇科公司，转让价格为人民币326,375,286.07元。本次转让每股价格为人民 </w:t>
      </w:r>
      <w:r>
        <w:rPr>
          <w:spacing w:val="-2"/>
        </w:rPr>
        <w:t>币8.63元，不低于股份转让信息公告日2007年8月27日前30个交易日的每日加权平</w:t>
      </w:r>
      <w:r>
        <w:rPr>
          <w:spacing w:val="-95"/>
        </w:rPr>
        <w:t> </w:t>
      </w:r>
      <w:r>
        <w:rPr>
          <w:spacing w:val="-95"/>
        </w:rPr>
      </w:r>
      <w:r>
        <w:rPr>
          <w:spacing w:val="-2"/>
        </w:rPr>
        <w:t>均价格算术平均值9.43元的90%，转让价格符合《国有股东转让所持上市公司股份</w:t>
      </w:r>
      <w:r>
        <w:rPr>
          <w:spacing w:val="-102"/>
        </w:rPr>
        <w:t> </w:t>
      </w:r>
      <w:r>
        <w:rPr>
          <w:spacing w:val="-102"/>
        </w:rPr>
      </w:r>
      <w:r>
        <w:rPr/>
        <w:t>管理暂行办法》的规定。该事项已于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日获国务院国有资产监督管理委 员会（国资产</w:t>
      </w:r>
      <w:r>
        <w:rPr>
          <w:rFonts w:ascii="Times New Roman" w:hAnsi="Times New Roman" w:cs="Times New Roman" w:eastAsia="Times New Roman" w:hint="default"/>
        </w:rPr>
        <w:t>[2008]340</w:t>
      </w:r>
      <w:r>
        <w:rPr>
          <w:rFonts w:ascii="Times New Roman" w:hAnsi="Times New Roman" w:cs="Times New Roman" w:eastAsia="Times New Roman" w:hint="default"/>
          <w:spacing w:val="56"/>
        </w:rPr>
        <w:t> </w:t>
      </w:r>
      <w:r>
        <w:rPr/>
        <w:t>号）批复同意。</w:t>
      </w:r>
    </w:p>
    <w:p>
      <w:pPr>
        <w:pStyle w:val="BodyText"/>
        <w:spacing w:line="343" w:lineRule="auto" w:before="8"/>
        <w:ind w:left="137" w:right="25" w:firstLine="48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日，本公司收到汇科公司发来的公函，公函称，由于股权转让 协议签约至今已有</w:t>
      </w:r>
      <w:r>
        <w:rPr>
          <w:rFonts w:ascii="Times New Roman" w:hAnsi="Times New Roman" w:cs="Times New Roman" w:eastAsia="Times New Roman" w:hint="default"/>
        </w:rPr>
        <w:t>11</w:t>
      </w:r>
      <w:r>
        <w:rPr/>
        <w:t>个月，发生了诸如国家相关法律法规修改等不可抗力因素， </w:t>
      </w:r>
      <w:r>
        <w:rPr>
          <w:spacing w:val="-2"/>
          <w:w w:val="95"/>
        </w:rPr>
        <w:t>汇科公司不得不向本公司和投控公司提出协商终止股权转让协议的意向。鉴于此，</w:t>
      </w:r>
      <w:r>
        <w:rPr>
          <w:spacing w:val="99"/>
          <w:w w:val="95"/>
        </w:rPr>
        <w:t> </w:t>
      </w:r>
      <w:r>
        <w:rPr>
          <w:spacing w:val="99"/>
          <w:w w:val="95"/>
        </w:rPr>
      </w:r>
      <w:r>
        <w:rPr/>
        <w:t>本公司会同投控公司分别于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日和</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日与汇科公司进行了 认真的磋商，磋商会议纪要如下：</w:t>
      </w:r>
    </w:p>
    <w:p>
      <w:pPr>
        <w:pStyle w:val="BodyText"/>
        <w:spacing w:line="357" w:lineRule="auto" w:before="50"/>
        <w:ind w:left="617" w:right="189"/>
        <w:jc w:val="left"/>
      </w:pPr>
      <w:r>
        <w:rPr/>
        <w:t>一、股份受让方汇科公司提出要求协商终止股份转让协议。 二、股份转让方明确表示不同意终止协议，要求汇科公司继续履行协议。 三、鉴于双方存在较大分歧，决定根据股份转让协议书的约定提交仲裁，通</w:t>
      </w:r>
    </w:p>
    <w:p>
      <w:pPr>
        <w:pStyle w:val="BodyText"/>
        <w:spacing w:line="240" w:lineRule="auto"/>
        <w:ind w:left="137" w:right="0"/>
        <w:jc w:val="both"/>
      </w:pPr>
      <w:r>
        <w:rPr/>
        <w:t>过法律途径解决。</w:t>
      </w:r>
    </w:p>
    <w:p>
      <w:pPr>
        <w:pStyle w:val="BodyText"/>
        <w:spacing w:line="350" w:lineRule="auto" w:before="154"/>
        <w:ind w:left="137" w:right="145" w:firstLine="480"/>
        <w:jc w:val="both"/>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8 </w:t>
      </w:r>
      <w:r>
        <w:rPr/>
        <w:t>日，本公司收到中国国际经济贸易仲裁委员会华南分会送达 </w:t>
      </w:r>
      <w:r>
        <w:rPr>
          <w:spacing w:val="-1"/>
          <w:w w:val="99"/>
        </w:rPr>
        <w:t>的《</w:t>
      </w:r>
      <w:r>
        <w:rPr>
          <w:rFonts w:ascii="Times New Roman" w:hAnsi="Times New Roman" w:cs="Times New Roman" w:eastAsia="Times New Roman" w:hint="default"/>
          <w:spacing w:val="-1"/>
          <w:w w:val="99"/>
        </w:rPr>
        <w:t>SHEN</w:t>
      </w:r>
      <w:r>
        <w:rPr>
          <w:rFonts w:ascii="Times New Roman" w:hAnsi="Times New Roman" w:cs="Times New Roman" w:eastAsia="Times New Roman" w:hint="default"/>
          <w:spacing w:val="-8"/>
          <w:w w:val="99"/>
        </w:rPr>
        <w:t> </w:t>
      </w:r>
      <w:r>
        <w:rPr>
          <w:rFonts w:ascii="Times New Roman" w:hAnsi="Times New Roman" w:cs="Times New Roman" w:eastAsia="Times New Roman" w:hint="default"/>
          <w:spacing w:val="-1"/>
          <w:w w:val="100"/>
        </w:rPr>
        <w:t>T2008179</w:t>
      </w:r>
      <w:r>
        <w:rPr>
          <w:rFonts w:ascii="Times New Roman" w:hAnsi="Times New Roman" w:cs="Times New Roman" w:eastAsia="Times New Roman" w:hint="default"/>
          <w:spacing w:val="54"/>
          <w:w w:val="100"/>
        </w:rPr>
        <w:t> </w:t>
      </w:r>
      <w:r>
        <w:rPr>
          <w:w w:val="97"/>
        </w:rPr>
        <w:t>号案仲裁通知》（</w:t>
      </w:r>
      <w:r>
        <w:rPr>
          <w:rFonts w:ascii="Times New Roman" w:hAnsi="Times New Roman" w:cs="Times New Roman" w:eastAsia="Times New Roman" w:hint="default"/>
          <w:w w:val="97"/>
        </w:rPr>
        <w:t>[2008]</w:t>
      </w:r>
      <w:r>
        <w:rPr>
          <w:w w:val="97"/>
        </w:rPr>
        <w:t>中国贸仲深字第</w:t>
      </w:r>
      <w:r>
        <w:rPr>
          <w:rFonts w:ascii="Times New Roman" w:hAnsi="Times New Roman" w:cs="Times New Roman" w:eastAsia="Times New Roman" w:hint="default"/>
          <w:w w:val="97"/>
        </w:rPr>
        <w:t>3655</w:t>
      </w:r>
      <w:r>
        <w:rPr>
          <w:w w:val="97"/>
        </w:rPr>
        <w:t>号</w:t>
      </w:r>
      <w:r>
        <w:rPr>
          <w:spacing w:val="-99"/>
          <w:w w:val="97"/>
        </w:rPr>
        <w:t> </w:t>
      </w:r>
      <w:r>
        <w:rPr>
          <w:spacing w:val="-31"/>
          <w:w w:val="92"/>
        </w:rPr>
        <w:t>），汇</w:t>
      </w:r>
      <w:r>
        <w:rPr>
          <w:spacing w:val="-92"/>
          <w:w w:val="92"/>
        </w:rPr>
        <w:t> </w:t>
      </w:r>
      <w:r>
        <w:rPr>
          <w:spacing w:val="13"/>
          <w:w w:val="92"/>
        </w:rPr>
        <w:t>科公司</w:t>
      </w:r>
      <w:r>
        <w:rPr>
          <w:w w:val="92"/>
        </w:rPr>
        <w:t> </w:t>
      </w:r>
      <w:r>
        <w:rPr/>
        <w:t>就农产品、深投控与其签订的《关于深圳市深宝实业股份有限公司股份转让协议</w:t>
      </w:r>
      <w:r>
        <w:rPr/>
        <w:t> 书》相关争议向中国国际经济贸易仲裁委员会华南分会提交的仲裁申请书已被正 式受理，仲裁案号为</w:t>
      </w:r>
      <w:r>
        <w:rPr>
          <w:rFonts w:ascii="Times New Roman" w:hAnsi="Times New Roman" w:cs="Times New Roman" w:eastAsia="Times New Roman" w:hint="default"/>
        </w:rPr>
        <w:t>SHEN T2008179</w:t>
      </w:r>
      <w:r>
        <w:rPr>
          <w:rFonts w:ascii="Times New Roman" w:hAnsi="Times New Roman" w:cs="Times New Roman" w:eastAsia="Times New Roman" w:hint="default"/>
          <w:spacing w:val="6"/>
        </w:rPr>
        <w:t> </w:t>
      </w:r>
      <w:r>
        <w:rPr/>
        <w:t>号。上述通知就仲裁规则的适用、仲裁员的 </w:t>
      </w:r>
      <w:r>
        <w:rPr>
          <w:spacing w:val="-5"/>
        </w:rPr>
        <w:t>选定、答辩及反请求等事项做出了说明，并附汇科公司提交的《仲裁申请书》。仲</w:t>
      </w:r>
      <w:r>
        <w:rPr/>
        <w:t> 裁请求主要内容为：解除汇科公司与农产品、深投控签订的《关于深圳市深宝实 </w:t>
      </w:r>
      <w:r>
        <w:rPr>
          <w:spacing w:val="-5"/>
        </w:rPr>
        <w:t>业股份有限公司股份转让协议书》；裁决农产品、深投控返还汇科公司向其交纳的</w:t>
      </w:r>
      <w:r>
        <w:rPr/>
        <w:t> 全额预付款及利息，并承担相关仲裁费用。</w:t>
      </w:r>
    </w:p>
    <w:p>
      <w:pPr>
        <w:pStyle w:val="BodyText"/>
        <w:spacing w:line="240" w:lineRule="auto" w:before="43"/>
        <w:ind w:left="617" w:right="25"/>
        <w:jc w:val="left"/>
      </w:pP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17 </w:t>
      </w:r>
      <w:r>
        <w:rPr/>
        <w:t>日</w:t>
      </w:r>
      <w:r>
        <w:rPr>
          <w:spacing w:val="-116"/>
        </w:rPr>
        <w:t>，</w:t>
      </w:r>
      <w:r>
        <w:rPr/>
        <w:t>本公司收到中国国际经济贸易仲裁委员会华南分会送</w:t>
      </w:r>
      <w:r>
        <w:rPr>
          <w:spacing w:val="-3"/>
        </w:rPr>
        <w:t>达</w:t>
      </w:r>
      <w:r>
        <w:rPr/>
        <w:t>的</w:t>
      </w:r>
    </w:p>
    <w:p>
      <w:pPr>
        <w:pStyle w:val="BodyText"/>
        <w:spacing w:line="240" w:lineRule="auto" w:before="135"/>
        <w:ind w:left="137" w:right="0"/>
        <w:jc w:val="both"/>
      </w:pPr>
      <w:r>
        <w:rPr/>
        <w:t>《中国国际经济贸易仲裁委员会裁决书</w:t>
      </w:r>
      <w:r>
        <w:rPr>
          <w:spacing w:val="-118"/>
        </w:rPr>
        <w:t>》</w:t>
      </w:r>
      <w:r>
        <w:rPr>
          <w:spacing w:val="-3"/>
        </w:rPr>
        <w:t>，</w:t>
      </w:r>
      <w:r>
        <w:rPr/>
        <w:t>仲裁庭作出裁决如下：</w:t>
      </w:r>
    </w:p>
    <w:p>
      <w:pPr>
        <w:pStyle w:val="BodyText"/>
        <w:spacing w:line="338" w:lineRule="auto" w:before="154"/>
        <w:ind w:left="137" w:right="137" w:firstLine="480"/>
        <w:jc w:val="left"/>
      </w:pPr>
      <w:r>
        <w:rPr>
          <w:rFonts w:ascii="Times New Roman" w:hAnsi="Times New Roman" w:cs="Times New Roman" w:eastAsia="Times New Roman" w:hint="default"/>
          <w:spacing w:val="-2"/>
        </w:rPr>
        <w:t>1</w:t>
      </w:r>
      <w:r>
        <w:rPr>
          <w:spacing w:val="-2"/>
        </w:rPr>
        <w:t>、申请人（汇科公司）和两被申请人（本公司与深投控）自仲裁庭做出本裁</w:t>
      </w:r>
      <w:r>
        <w:rPr/>
        <w:t> 决之日起解除《股份转让协议》及其相关协议。</w:t>
      </w:r>
    </w:p>
    <w:p>
      <w:pPr>
        <w:spacing w:after="0" w:line="338" w:lineRule="auto"/>
        <w:jc w:val="left"/>
        <w:sectPr>
          <w:footerReference w:type="default" r:id="rId139"/>
          <w:pgSz w:w="11910" w:h="16840"/>
          <w:pgMar w:footer="835" w:header="859" w:top="1420" w:bottom="1020" w:left="1660" w:right="1500"/>
          <w:pgNumType w:start="80"/>
        </w:sectPr>
      </w:pPr>
    </w:p>
    <w:p>
      <w:pPr>
        <w:pStyle w:val="BodyText"/>
        <w:spacing w:line="240" w:lineRule="auto" w:before="96"/>
        <w:ind w:left="617" w:right="25"/>
        <w:jc w:val="left"/>
      </w:pPr>
      <w:r>
        <w:rPr/>
        <w:pict>
          <v:group style="position:absolute;margin-left:88.799995pt;margin-top:6.335606pt;width:425.2pt;height:.1pt;mso-position-horizontal-relative:page;mso-position-vertical-relative:paragraph;z-index:-1141072" coordorigin="1776,127" coordsize="8504,2">
            <v:shape style="position:absolute;left:1776;top:127;width:8504;height:2" coordorigin="1776,127" coordsize="8504,0" path="m1776,127l10279,127e" filled="false" stroked="true" strokeweight=".72pt" strokecolor="#000008">
              <v:path arrowok="t"/>
            </v:shape>
            <w10:wrap type="none"/>
          </v:group>
        </w:pict>
      </w:r>
      <w:r>
        <w:rPr>
          <w:rFonts w:ascii="Times New Roman" w:hAnsi="Times New Roman" w:cs="Times New Roman" w:eastAsia="Times New Roman" w:hint="default"/>
        </w:rPr>
        <w:t>2</w:t>
      </w:r>
      <w:r>
        <w:rPr/>
        <w:t>、申请人向两被申请人支付违约金人民币</w:t>
      </w:r>
      <w:r>
        <w:rPr>
          <w:spacing w:val="-60"/>
        </w:rPr>
        <w:t> </w:t>
      </w:r>
      <w:r>
        <w:rPr>
          <w:rFonts w:ascii="Times New Roman" w:hAnsi="Times New Roman" w:cs="Times New Roman" w:eastAsia="Times New Roman" w:hint="default"/>
        </w:rPr>
        <w:t>1,200 </w:t>
      </w:r>
      <w:r>
        <w:rPr/>
        <w:t>万元。</w:t>
      </w:r>
    </w:p>
    <w:p>
      <w:pPr>
        <w:pStyle w:val="BodyText"/>
        <w:spacing w:line="240" w:lineRule="auto" w:before="135"/>
        <w:ind w:left="617" w:right="25"/>
        <w:jc w:val="left"/>
      </w:pPr>
      <w:r>
        <w:rPr>
          <w:rFonts w:ascii="Times New Roman" w:hAnsi="Times New Roman" w:cs="Times New Roman" w:eastAsia="Times New Roman" w:hint="default"/>
        </w:rPr>
        <w:t>3</w:t>
      </w:r>
      <w:r>
        <w:rPr/>
        <w:t>、两被申请人向申请人返还股份转让价款保证金港币</w:t>
      </w:r>
      <w:r>
        <w:rPr>
          <w:spacing w:val="-60"/>
        </w:rPr>
        <w:t> </w:t>
      </w:r>
      <w:r>
        <w:rPr>
          <w:rFonts w:ascii="Times New Roman" w:hAnsi="Times New Roman" w:cs="Times New Roman" w:eastAsia="Times New Roman" w:hint="default"/>
        </w:rPr>
        <w:t>204,945,471.94 </w:t>
      </w:r>
      <w:r>
        <w:rPr/>
        <w:t>元及利</w:t>
      </w:r>
    </w:p>
    <w:p>
      <w:pPr>
        <w:pStyle w:val="BodyText"/>
        <w:spacing w:line="240" w:lineRule="auto" w:before="135"/>
        <w:ind w:left="137" w:right="25"/>
        <w:jc w:val="left"/>
        <w:rPr>
          <w:rFonts w:ascii="Times New Roman" w:hAnsi="Times New Roman" w:cs="Times New Roman" w:eastAsia="Times New Roman" w:hint="default"/>
        </w:rPr>
      </w:pPr>
      <w:r>
        <w:rPr/>
        <w:t>息港币</w:t>
      </w:r>
      <w:r>
        <w:rPr>
          <w:spacing w:val="-48"/>
        </w:rPr>
        <w:t> </w:t>
      </w:r>
      <w:r>
        <w:rPr>
          <w:rFonts w:ascii="Times New Roman" w:hAnsi="Times New Roman" w:cs="Times New Roman" w:eastAsia="Times New Roman" w:hint="default"/>
        </w:rPr>
        <w:t>211,845</w:t>
      </w:r>
      <w:r>
        <w:rPr>
          <w:rFonts w:ascii="Times New Roman" w:hAnsi="Times New Roman" w:cs="Times New Roman" w:eastAsia="Times New Roman" w:hint="default"/>
          <w:spacing w:val="4"/>
        </w:rPr>
        <w:t> </w:t>
      </w:r>
      <w:r>
        <w:rPr/>
        <w:t>元；其中，农产品返还港币</w:t>
      </w:r>
      <w:r>
        <w:rPr>
          <w:spacing w:val="-46"/>
        </w:rPr>
        <w:t> </w:t>
      </w:r>
      <w:r>
        <w:rPr>
          <w:rFonts w:ascii="Times New Roman" w:hAnsi="Times New Roman" w:cs="Times New Roman" w:eastAsia="Times New Roman" w:hint="default"/>
        </w:rPr>
        <w:t>103,505,839.76</w:t>
      </w:r>
      <w:r>
        <w:rPr>
          <w:rFonts w:ascii="Times New Roman" w:hAnsi="Times New Roman" w:cs="Times New Roman" w:eastAsia="Times New Roman" w:hint="default"/>
          <w:spacing w:val="6"/>
        </w:rPr>
        <w:t> </w:t>
      </w:r>
      <w:r>
        <w:rPr/>
        <w:t>元及利息港币</w:t>
      </w:r>
      <w:r>
        <w:rPr>
          <w:spacing w:val="-46"/>
        </w:rPr>
        <w:t> </w:t>
      </w:r>
      <w:r>
        <w:rPr>
          <w:rFonts w:ascii="Times New Roman" w:hAnsi="Times New Roman" w:cs="Times New Roman" w:eastAsia="Times New Roman" w:hint="default"/>
        </w:rPr>
        <w:t>106,956</w:t>
      </w:r>
    </w:p>
    <w:p>
      <w:pPr>
        <w:pStyle w:val="BodyText"/>
        <w:spacing w:line="338" w:lineRule="auto" w:before="135"/>
        <w:ind w:left="137" w:right="132"/>
        <w:jc w:val="left"/>
      </w:pPr>
      <w:r>
        <w:rPr>
          <w:spacing w:val="-4"/>
        </w:rPr>
        <w:t>元，深投返还港币</w:t>
      </w:r>
      <w:r>
        <w:rPr>
          <w:spacing w:val="-58"/>
        </w:rPr>
        <w:t> </w:t>
      </w:r>
      <w:r>
        <w:rPr>
          <w:rFonts w:ascii="Times New Roman" w:hAnsi="Times New Roman" w:cs="Times New Roman" w:eastAsia="Times New Roman" w:hint="default"/>
        </w:rPr>
        <w:t>101,439,632.18</w:t>
      </w:r>
      <w:r>
        <w:rPr>
          <w:rFonts w:ascii="Times New Roman" w:hAnsi="Times New Roman" w:cs="Times New Roman" w:eastAsia="Times New Roman" w:hint="default"/>
          <w:spacing w:val="2"/>
        </w:rPr>
        <w:t> </w:t>
      </w:r>
      <w:r>
        <w:rPr/>
        <w:t>元及利息</w:t>
      </w:r>
      <w:r>
        <w:rPr>
          <w:spacing w:val="-58"/>
        </w:rPr>
        <w:t> </w:t>
      </w:r>
      <w:r>
        <w:rPr>
          <w:rFonts w:ascii="Times New Roman" w:hAnsi="Times New Roman" w:cs="Times New Roman" w:eastAsia="Times New Roman" w:hint="default"/>
        </w:rPr>
        <w:t>104,889</w:t>
      </w:r>
      <w:r>
        <w:rPr>
          <w:rFonts w:ascii="Times New Roman" w:hAnsi="Times New Roman" w:cs="Times New Roman" w:eastAsia="Times New Roman" w:hint="default"/>
          <w:spacing w:val="2"/>
        </w:rPr>
        <w:t> </w:t>
      </w:r>
      <w:r>
        <w:rPr>
          <w:spacing w:val="-3"/>
        </w:rPr>
        <w:t>元。两被申请人应从已收取的</w:t>
      </w:r>
      <w:r>
        <w:rPr/>
        <w:t> 股份转让款保证金中扣除本裁决书裁定的违约金后，应将剩余款项返还给申请人</w:t>
      </w:r>
    </w:p>
    <w:p>
      <w:pPr>
        <w:pStyle w:val="BodyText"/>
        <w:spacing w:line="357" w:lineRule="auto" w:before="55"/>
        <w:ind w:left="137" w:right="25"/>
        <w:jc w:val="left"/>
      </w:pPr>
      <w:r>
        <w:rPr/>
        <w:t>（港币兑换人民币的汇率适用本裁决作出之日中国人民银行公布的外汇牌价中间</w:t>
      </w:r>
      <w:r>
        <w:rPr>
          <w:spacing w:val="-91"/>
        </w:rPr>
        <w:t> </w:t>
      </w:r>
      <w:r>
        <w:rPr>
          <w:spacing w:val="-91"/>
        </w:rPr>
      </w:r>
      <w:r>
        <w:rPr>
          <w:w w:val="85"/>
        </w:rPr>
        <w:t>价</w:t>
      </w:r>
      <w:r>
        <w:rPr>
          <w:spacing w:val="-62"/>
          <w:w w:val="85"/>
        </w:rPr>
        <w:t> </w:t>
      </w:r>
      <w:r>
        <w:rPr>
          <w:spacing w:val="-47"/>
          <w:w w:val="85"/>
        </w:rPr>
        <w:t>）。</w:t>
      </w:r>
      <w:r>
        <w:rPr>
          <w:spacing w:val="-47"/>
        </w:rPr>
      </w:r>
    </w:p>
    <w:p>
      <w:pPr>
        <w:pStyle w:val="BodyText"/>
        <w:spacing w:line="338" w:lineRule="auto"/>
        <w:ind w:left="137" w:right="145" w:firstLine="480"/>
        <w:jc w:val="both"/>
      </w:pPr>
      <w:r>
        <w:rPr>
          <w:rFonts w:ascii="Times New Roman" w:hAnsi="Times New Roman" w:cs="Times New Roman" w:eastAsia="Times New Roman" w:hint="default"/>
        </w:rPr>
        <w:t>4</w:t>
      </w:r>
      <w:r>
        <w:rPr/>
        <w:t>、本案仲裁费人民币</w:t>
      </w:r>
      <w:r>
        <w:rPr>
          <w:spacing w:val="-60"/>
        </w:rPr>
        <w:t> </w:t>
      </w:r>
      <w:r>
        <w:rPr>
          <w:rFonts w:ascii="Times New Roman" w:hAnsi="Times New Roman" w:cs="Times New Roman" w:eastAsia="Times New Roman" w:hint="default"/>
        </w:rPr>
        <w:t>3,644,977 </w:t>
      </w:r>
      <w:r>
        <w:rPr/>
        <w:t>元，由申请人承担</w:t>
      </w:r>
      <w:r>
        <w:rPr>
          <w:spacing w:val="-60"/>
        </w:rPr>
        <w:t> </w:t>
      </w:r>
      <w:r>
        <w:rPr>
          <w:rFonts w:ascii="Times New Roman" w:hAnsi="Times New Roman" w:cs="Times New Roman" w:eastAsia="Times New Roman" w:hint="default"/>
        </w:rPr>
        <w:t>70</w:t>
      </w:r>
      <w:r>
        <w:rPr/>
        <w:t>％即人民币</w:t>
      </w:r>
      <w:r>
        <w:rPr>
          <w:spacing w:val="-60"/>
        </w:rPr>
        <w:t> </w:t>
      </w:r>
      <w:r>
        <w:rPr>
          <w:rFonts w:ascii="Times New Roman" w:hAnsi="Times New Roman" w:cs="Times New Roman" w:eastAsia="Times New Roman" w:hint="default"/>
        </w:rPr>
        <w:t>2,551,483.9 </w:t>
      </w:r>
      <w:r>
        <w:rPr>
          <w:spacing w:val="-3"/>
        </w:rPr>
        <w:t>元，由两被申请人承担</w:t>
      </w:r>
      <w:r>
        <w:rPr>
          <w:spacing w:val="-57"/>
        </w:rPr>
        <w:t> </w:t>
      </w:r>
      <w:r>
        <w:rPr>
          <w:rFonts w:ascii="Times New Roman" w:hAnsi="Times New Roman" w:cs="Times New Roman" w:eastAsia="Times New Roman" w:hint="default"/>
        </w:rPr>
        <w:t>30</w:t>
      </w:r>
      <w:r>
        <w:rPr/>
        <w:t>％即人民币</w:t>
      </w:r>
      <w:r>
        <w:rPr>
          <w:spacing w:val="-57"/>
        </w:rPr>
        <w:t> </w:t>
      </w:r>
      <w:r>
        <w:rPr>
          <w:rFonts w:ascii="Times New Roman" w:hAnsi="Times New Roman" w:cs="Times New Roman" w:eastAsia="Times New Roman" w:hint="default"/>
        </w:rPr>
        <w:t>1,093,493.1</w:t>
      </w:r>
      <w:r>
        <w:rPr>
          <w:rFonts w:ascii="Times New Roman" w:hAnsi="Times New Roman" w:cs="Times New Roman" w:eastAsia="Times New Roman" w:hint="default"/>
          <w:spacing w:val="3"/>
        </w:rPr>
        <w:t> </w:t>
      </w:r>
      <w:r>
        <w:rPr>
          <w:spacing w:val="-3"/>
        </w:rPr>
        <w:t>元。鉴于申请人在申请仲裁时已</w:t>
      </w:r>
      <w:r>
        <w:rPr/>
        <w:t> </w:t>
      </w:r>
      <w:r>
        <w:rPr>
          <w:spacing w:val="2"/>
        </w:rPr>
        <w:t>预付仲裁费人民币 </w:t>
      </w:r>
      <w:r>
        <w:rPr>
          <w:rFonts w:ascii="Times New Roman" w:hAnsi="Times New Roman" w:cs="Times New Roman" w:eastAsia="Times New Roman" w:hint="default"/>
        </w:rPr>
        <w:t>3,302,133</w:t>
      </w:r>
      <w:r>
        <w:rPr>
          <w:rFonts w:ascii="Times New Roman" w:hAnsi="Times New Roman" w:cs="Times New Roman" w:eastAsia="Times New Roman" w:hint="default"/>
          <w:spacing w:val="-32"/>
        </w:rPr>
        <w:t> </w:t>
      </w:r>
      <w:r>
        <w:rPr>
          <w:spacing w:val="2"/>
        </w:rPr>
        <w:t>元，两被申请人在提交仲裁反请求时已预付仲裁费</w:t>
      </w:r>
    </w:p>
    <w:p>
      <w:pPr>
        <w:pStyle w:val="BodyText"/>
        <w:spacing w:line="338" w:lineRule="auto" w:before="27"/>
        <w:ind w:left="137" w:right="129"/>
        <w:jc w:val="left"/>
      </w:pPr>
      <w:r>
        <w:rPr>
          <w:rFonts w:ascii="Times New Roman" w:hAnsi="Times New Roman" w:cs="Times New Roman" w:eastAsia="Times New Roman" w:hint="default"/>
        </w:rPr>
        <w:t>342,844</w:t>
      </w:r>
      <w:r>
        <w:rPr>
          <w:rFonts w:ascii="Times New Roman" w:hAnsi="Times New Roman" w:cs="Times New Roman" w:eastAsia="Times New Roman" w:hint="default"/>
          <w:spacing w:val="-8"/>
        </w:rPr>
        <w:t> </w:t>
      </w:r>
      <w:r>
        <w:rPr/>
        <w:t>元，故两被申请人应向申请人支付人民币</w:t>
      </w:r>
      <w:r>
        <w:rPr>
          <w:spacing w:val="-68"/>
        </w:rPr>
        <w:t> </w:t>
      </w:r>
      <w:r>
        <w:rPr>
          <w:rFonts w:ascii="Times New Roman" w:hAnsi="Times New Roman" w:cs="Times New Roman" w:eastAsia="Times New Roman" w:hint="default"/>
        </w:rPr>
        <w:t>750,649.10</w:t>
      </w:r>
      <w:r>
        <w:rPr>
          <w:rFonts w:ascii="Times New Roman" w:hAnsi="Times New Roman" w:cs="Times New Roman" w:eastAsia="Times New Roman" w:hint="default"/>
          <w:spacing w:val="-8"/>
        </w:rPr>
        <w:t> </w:t>
      </w:r>
      <w:r>
        <w:rPr>
          <w:spacing w:val="-4"/>
        </w:rPr>
        <w:t>元，以补偿申请人垫</w:t>
      </w:r>
      <w:r>
        <w:rPr/>
        <w:t> 付的仲裁费。</w:t>
      </w:r>
    </w:p>
    <w:p>
      <w:pPr>
        <w:spacing w:line="240" w:lineRule="auto" w:before="7"/>
        <w:rPr>
          <w:rFonts w:ascii="宋体" w:hAnsi="宋体" w:cs="宋体" w:eastAsia="宋体" w:hint="default"/>
          <w:sz w:val="25"/>
          <w:szCs w:val="25"/>
        </w:rPr>
      </w:pPr>
    </w:p>
    <w:p>
      <w:pPr>
        <w:pStyle w:val="BodyText"/>
        <w:spacing w:line="338" w:lineRule="auto" w:before="0"/>
        <w:ind w:left="137" w:right="145" w:firstLine="480"/>
        <w:jc w:val="both"/>
      </w:pPr>
      <w:r>
        <w:rPr>
          <w:spacing w:val="10"/>
        </w:rPr>
        <w:t>本案实际开支费用共计人民币 </w:t>
      </w:r>
      <w:r>
        <w:rPr>
          <w:rFonts w:ascii="Times New Roman" w:hAnsi="Times New Roman" w:cs="Times New Roman" w:eastAsia="Times New Roman" w:hint="default"/>
        </w:rPr>
        <w:t>18,826 </w:t>
      </w:r>
      <w:r>
        <w:rPr>
          <w:spacing w:val="10"/>
        </w:rPr>
        <w:t>元，应由申请人承担</w:t>
      </w:r>
      <w:r>
        <w:rPr>
          <w:spacing w:val="-76"/>
        </w:rPr>
        <w:t> </w:t>
      </w:r>
      <w:r>
        <w:rPr>
          <w:rFonts w:ascii="Times New Roman" w:hAnsi="Times New Roman" w:cs="Times New Roman" w:eastAsia="Times New Roman" w:hint="default"/>
          <w:spacing w:val="7"/>
        </w:rPr>
        <w:t>70</w:t>
      </w:r>
      <w:r>
        <w:rPr>
          <w:spacing w:val="7"/>
        </w:rPr>
        <w:t>％即人民币</w:t>
      </w:r>
      <w:r>
        <w:rPr/>
        <w:t> </w:t>
      </w:r>
      <w:r>
        <w:rPr>
          <w:rFonts w:ascii="Times New Roman" w:hAnsi="Times New Roman" w:cs="Times New Roman" w:eastAsia="Times New Roman" w:hint="default"/>
        </w:rPr>
        <w:t>13,178.2</w:t>
      </w:r>
      <w:r>
        <w:rPr>
          <w:rFonts w:ascii="Times New Roman" w:hAnsi="Times New Roman" w:cs="Times New Roman" w:eastAsia="Times New Roman" w:hint="default"/>
          <w:spacing w:val="1"/>
        </w:rPr>
        <w:t> </w:t>
      </w:r>
      <w:r>
        <w:rPr>
          <w:spacing w:val="-3"/>
        </w:rPr>
        <w:t>元，由两被申请人承担</w:t>
      </w:r>
      <w:r>
        <w:rPr>
          <w:spacing w:val="-59"/>
        </w:rPr>
        <w:t> </w:t>
      </w:r>
      <w:r>
        <w:rPr>
          <w:rFonts w:ascii="Times New Roman" w:hAnsi="Times New Roman" w:cs="Times New Roman" w:eastAsia="Times New Roman" w:hint="default"/>
        </w:rPr>
        <w:t>30</w:t>
      </w:r>
      <w:r>
        <w:rPr/>
        <w:t>％即人民币</w:t>
      </w:r>
      <w:r>
        <w:rPr>
          <w:spacing w:val="-59"/>
        </w:rPr>
        <w:t> </w:t>
      </w:r>
      <w:r>
        <w:rPr>
          <w:rFonts w:ascii="Times New Roman" w:hAnsi="Times New Roman" w:cs="Times New Roman" w:eastAsia="Times New Roman" w:hint="default"/>
        </w:rPr>
        <w:t>5,647.8</w:t>
      </w:r>
      <w:r>
        <w:rPr>
          <w:rFonts w:ascii="Times New Roman" w:hAnsi="Times New Roman" w:cs="Times New Roman" w:eastAsia="Times New Roman" w:hint="default"/>
          <w:spacing w:val="1"/>
        </w:rPr>
        <w:t> </w:t>
      </w:r>
      <w:r>
        <w:rPr>
          <w:spacing w:val="-3"/>
        </w:rPr>
        <w:t>元。申请人已预付实际开支</w:t>
      </w:r>
    </w:p>
    <w:p>
      <w:pPr>
        <w:pStyle w:val="BodyText"/>
        <w:spacing w:line="338" w:lineRule="auto" w:before="27"/>
        <w:ind w:left="137" w:right="131"/>
        <w:jc w:val="left"/>
      </w:pPr>
      <w:r>
        <w:rPr/>
        <w:t>费用人民币</w:t>
      </w:r>
      <w:r>
        <w:rPr>
          <w:spacing w:val="-68"/>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8"/>
        </w:rPr>
        <w:t> </w:t>
      </w:r>
      <w:r>
        <w:rPr/>
        <w:t>元，两被申请人已预付实际开支费用人民币</w:t>
      </w:r>
      <w:r>
        <w:rPr>
          <w:spacing w:val="-68"/>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8"/>
        </w:rPr>
        <w:t> </w:t>
      </w:r>
      <w:r>
        <w:rPr>
          <w:spacing w:val="-6"/>
        </w:rPr>
        <w:t>元，扣除各</w:t>
      </w:r>
      <w:r>
        <w:rPr/>
        <w:t> 自应承担的实际开支费用后，余款退还申请人和两被申请人。</w:t>
      </w:r>
    </w:p>
    <w:p>
      <w:pPr>
        <w:spacing w:line="240" w:lineRule="auto" w:before="9"/>
        <w:rPr>
          <w:rFonts w:ascii="宋体" w:hAnsi="宋体" w:cs="宋体" w:eastAsia="宋体" w:hint="default"/>
          <w:sz w:val="25"/>
          <w:szCs w:val="25"/>
        </w:rPr>
      </w:pPr>
    </w:p>
    <w:p>
      <w:pPr>
        <w:pStyle w:val="BodyText"/>
        <w:spacing w:line="357" w:lineRule="auto" w:before="0"/>
        <w:ind w:left="617" w:right="3069"/>
        <w:jc w:val="left"/>
      </w:pPr>
      <w:r>
        <w:rPr/>
        <w:t>本裁决为终局裁决，自本裁决出具之日起生效。 上述裁决已在报告期内执行完毕。</w:t>
      </w:r>
    </w:p>
    <w:p>
      <w:pPr>
        <w:pStyle w:val="BodyText"/>
        <w:spacing w:line="357" w:lineRule="auto"/>
        <w:ind w:left="137" w:right="25"/>
        <w:jc w:val="left"/>
      </w:pPr>
      <w:r>
        <w:rPr/>
        <w:t>（详见2008年9月27日、2008年10月15日、2008年12月10日和2009年8月18日刊登 </w:t>
      </w:r>
      <w:r>
        <w:rPr>
          <w:spacing w:val="-2"/>
          <w:w w:val="95"/>
        </w:rPr>
        <w:t>在《证券时报》、《中国证券报》、《上海证券报》和巨潮资讯网上的公司公告）</w:t>
      </w:r>
      <w:r>
        <w:rPr>
          <w:spacing w:val="-2"/>
        </w:rPr>
      </w:r>
    </w:p>
    <w:p>
      <w:pPr>
        <w:spacing w:line="240" w:lineRule="auto" w:before="9"/>
        <w:rPr>
          <w:rFonts w:ascii="宋体" w:hAnsi="宋体" w:cs="宋体" w:eastAsia="宋体" w:hint="default"/>
          <w:sz w:val="32"/>
          <w:szCs w:val="32"/>
        </w:rPr>
      </w:pPr>
    </w:p>
    <w:p>
      <w:pPr>
        <w:spacing w:line="312" w:lineRule="auto" w:before="0"/>
        <w:ind w:left="617" w:right="354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第二节 报告期内发生的破产重整相关事项</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z w:val="24"/>
          <w:szCs w:val="24"/>
        </w:rPr>
        <w:t>报告期内，公司未发生破产重整相关事项。</w:t>
      </w:r>
    </w:p>
    <w:p>
      <w:pPr>
        <w:spacing w:line="240" w:lineRule="auto" w:before="3"/>
        <w:rPr>
          <w:rFonts w:ascii="宋体" w:hAnsi="宋体" w:cs="宋体" w:eastAsia="宋体" w:hint="default"/>
          <w:sz w:val="20"/>
          <w:szCs w:val="20"/>
        </w:rPr>
      </w:pPr>
    </w:p>
    <w:p>
      <w:pPr>
        <w:pStyle w:val="Heading5"/>
        <w:spacing w:line="268" w:lineRule="auto"/>
        <w:ind w:left="137" w:right="145" w:firstLine="480"/>
        <w:jc w:val="both"/>
        <w:rPr>
          <w:b w:val="0"/>
          <w:bCs w:val="0"/>
        </w:rPr>
      </w:pPr>
      <w:r>
        <w:rPr/>
        <w:t>第三节</w:t>
      </w:r>
      <w:r>
        <w:rPr>
          <w:spacing w:val="24"/>
        </w:rPr>
        <w:t> </w:t>
      </w:r>
      <w:r>
        <w:rPr>
          <w:spacing w:val="-3"/>
        </w:rPr>
        <w:t>公司投资上市公司、参股商业银行、证券公司、保险公司、信托公司</w:t>
      </w:r>
      <w:r>
        <w:rPr/>
        <w:t> 和期货公司等金融机构股权情况</w:t>
      </w:r>
      <w:r>
        <w:rPr>
          <w:b w:val="0"/>
          <w:bCs w:val="0"/>
        </w:rPr>
      </w:r>
    </w:p>
    <w:p>
      <w:pPr>
        <w:pStyle w:val="BodyText"/>
        <w:spacing w:line="240" w:lineRule="auto" w:before="88"/>
        <w:ind w:left="615" w:right="25"/>
        <w:jc w:val="left"/>
      </w:pPr>
      <w:r>
        <w:rPr>
          <w:rFonts w:ascii="Times New Roman" w:hAnsi="Times New Roman" w:cs="Times New Roman" w:eastAsia="Times New Roman" w:hint="default"/>
        </w:rPr>
        <w:t>1</w:t>
      </w:r>
      <w:r>
        <w:rPr/>
        <w:t>、持有其他上市公司股权情况（截至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after="0" w:line="240" w:lineRule="auto"/>
        <w:jc w:val="left"/>
        <w:sectPr>
          <w:pgSz w:w="11910" w:h="16840"/>
          <w:pgMar w:header="859" w:footer="835" w:top="1420" w:bottom="1020" w:left="1660" w:right="1500"/>
        </w:sectPr>
      </w:pPr>
    </w:p>
    <w:p>
      <w:pPr>
        <w:spacing w:before="100"/>
        <w:ind w:left="7840" w:right="0" w:firstLine="0"/>
        <w:jc w:val="left"/>
        <w:rPr>
          <w:rFonts w:ascii="宋体" w:hAnsi="宋体" w:cs="宋体" w:eastAsia="宋体" w:hint="default"/>
          <w:sz w:val="21"/>
          <w:szCs w:val="21"/>
        </w:rPr>
      </w:pPr>
      <w:r>
        <w:rPr/>
        <w:pict>
          <v:group style="position:absolute;margin-left:88.799995pt;margin-top:6.343651pt;width:425.2pt;height:.1pt;mso-position-horizontal-relative:page;mso-position-vertical-relative:paragraph;z-index:-1141048" coordorigin="1776,127" coordsize="8504,2">
            <v:shape style="position:absolute;left:1776;top:127;width:8504;height:2" coordorigin="1776,127" coordsize="8504,0" path="m1776,127l10279,127e" filled="false" stroked="true" strokeweight=".72pt" strokecolor="#000008">
              <v:path arrowok="t"/>
            </v:shape>
            <w10:wrap type="none"/>
          </v:group>
        </w:pict>
      </w:r>
      <w:r>
        <w:rPr/>
        <w:pict>
          <v:shape style="position:absolute;margin-left:84.119995pt;margin-top:27.103651pt;width:447.15pt;height:141.8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6"/>
                    <w:gridCol w:w="396"/>
                    <w:gridCol w:w="1529"/>
                    <w:gridCol w:w="756"/>
                    <w:gridCol w:w="1476"/>
                    <w:gridCol w:w="1387"/>
                    <w:gridCol w:w="1008"/>
                    <w:gridCol w:w="900"/>
                    <w:gridCol w:w="720"/>
                  </w:tblGrid>
                  <w:tr>
                    <w:trPr>
                      <w:trHeight w:val="387" w:hRule="exact"/>
                    </w:trPr>
                    <w:tc>
                      <w:tcPr>
                        <w:tcW w:w="756" w:type="dxa"/>
                        <w:tcBorders>
                          <w:top w:val="single" w:sz="4" w:space="0" w:color="000008"/>
                          <w:left w:val="single" w:sz="4" w:space="0" w:color="000008"/>
                          <w:bottom w:val="nil" w:sz="6" w:space="0" w:color="auto"/>
                          <w:right w:val="single" w:sz="4" w:space="0" w:color="000008"/>
                        </w:tcBorders>
                      </w:tcPr>
                      <w:p>
                        <w:pPr/>
                      </w:p>
                    </w:tc>
                    <w:tc>
                      <w:tcPr>
                        <w:tcW w:w="396" w:type="dxa"/>
                        <w:vMerge w:val="restart"/>
                        <w:tcBorders>
                          <w:top w:val="single" w:sz="4" w:space="0" w:color="000008"/>
                          <w:left w:val="single" w:sz="4" w:space="0" w:color="000008"/>
                          <w:right w:val="single" w:sz="4" w:space="0" w:color="000008"/>
                        </w:tcBorders>
                      </w:tcPr>
                      <w:p>
                        <w:pPr>
                          <w:pStyle w:val="TableParagraph"/>
                          <w:spacing w:line="210" w:lineRule="exact"/>
                          <w:ind w:left="105" w:right="0"/>
                          <w:jc w:val="both"/>
                          <w:rPr>
                            <w:rFonts w:ascii="宋体" w:hAnsi="宋体" w:cs="宋体" w:eastAsia="宋体" w:hint="default"/>
                            <w:sz w:val="18"/>
                            <w:szCs w:val="18"/>
                          </w:rPr>
                        </w:pPr>
                        <w:r>
                          <w:rPr>
                            <w:rFonts w:ascii="宋体" w:hAnsi="宋体" w:cs="宋体" w:eastAsia="宋体" w:hint="default"/>
                            <w:sz w:val="18"/>
                            <w:szCs w:val="18"/>
                          </w:rPr>
                          <w:t>证</w:t>
                        </w:r>
                      </w:p>
                      <w:p>
                        <w:pPr>
                          <w:pStyle w:val="TableParagraph"/>
                          <w:spacing w:line="357" w:lineRule="auto" w:before="115"/>
                          <w:ind w:left="105" w:right="98"/>
                          <w:jc w:val="both"/>
                          <w:rPr>
                            <w:rFonts w:ascii="宋体" w:hAnsi="宋体" w:cs="宋体" w:eastAsia="宋体" w:hint="default"/>
                            <w:sz w:val="18"/>
                            <w:szCs w:val="18"/>
                          </w:rPr>
                        </w:pPr>
                        <w:r>
                          <w:rPr>
                            <w:rFonts w:ascii="宋体" w:hAnsi="宋体" w:cs="宋体" w:eastAsia="宋体" w:hint="default"/>
                            <w:sz w:val="18"/>
                            <w:szCs w:val="18"/>
                          </w:rPr>
                          <w:t>券 简 称</w:t>
                        </w:r>
                      </w:p>
                    </w:tc>
                    <w:tc>
                      <w:tcPr>
                        <w:tcW w:w="1529" w:type="dxa"/>
                        <w:tcBorders>
                          <w:top w:val="single" w:sz="4" w:space="0" w:color="000008"/>
                          <w:left w:val="single" w:sz="4" w:space="0" w:color="000008"/>
                          <w:bottom w:val="nil" w:sz="6" w:space="0" w:color="auto"/>
                          <w:right w:val="single" w:sz="4" w:space="0" w:color="000008"/>
                        </w:tcBorders>
                      </w:tcPr>
                      <w:p>
                        <w:pPr/>
                      </w:p>
                    </w:tc>
                    <w:tc>
                      <w:tcPr>
                        <w:tcW w:w="756"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占该公</w:t>
                        </w:r>
                      </w:p>
                    </w:tc>
                    <w:tc>
                      <w:tcPr>
                        <w:tcW w:w="1476" w:type="dxa"/>
                        <w:tcBorders>
                          <w:top w:val="single" w:sz="4" w:space="0" w:color="000008"/>
                          <w:left w:val="single" w:sz="4" w:space="0" w:color="000008"/>
                          <w:bottom w:val="nil" w:sz="6" w:space="0" w:color="auto"/>
                          <w:right w:val="single" w:sz="4" w:space="0" w:color="000008"/>
                        </w:tcBorders>
                      </w:tcPr>
                      <w:p>
                        <w:pPr/>
                      </w:p>
                    </w:tc>
                    <w:tc>
                      <w:tcPr>
                        <w:tcW w:w="1387" w:type="dxa"/>
                        <w:tcBorders>
                          <w:top w:val="single" w:sz="4" w:space="0" w:color="000008"/>
                          <w:left w:val="single" w:sz="4" w:space="0" w:color="000008"/>
                          <w:bottom w:val="nil" w:sz="6" w:space="0" w:color="auto"/>
                          <w:right w:val="single" w:sz="4" w:space="0" w:color="000008"/>
                        </w:tcBorders>
                      </w:tcPr>
                      <w:p>
                        <w:pPr/>
                      </w:p>
                    </w:tc>
                    <w:tc>
                      <w:tcPr>
                        <w:tcW w:w="1008"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报告期所</w:t>
                        </w:r>
                      </w:p>
                    </w:tc>
                    <w:tc>
                      <w:tcPr>
                        <w:tcW w:w="900" w:type="dxa"/>
                        <w:tcBorders>
                          <w:top w:val="single" w:sz="4" w:space="0" w:color="000008"/>
                          <w:left w:val="single" w:sz="4" w:space="0" w:color="000008"/>
                          <w:bottom w:val="nil" w:sz="6" w:space="0" w:color="auto"/>
                          <w:right w:val="single" w:sz="4" w:space="0" w:color="000008"/>
                        </w:tcBorders>
                      </w:tcPr>
                      <w:p>
                        <w:pPr/>
                      </w:p>
                    </w:tc>
                    <w:tc>
                      <w:tcPr>
                        <w:tcW w:w="720" w:type="dxa"/>
                        <w:tcBorders>
                          <w:top w:val="single" w:sz="4" w:space="0" w:color="000008"/>
                          <w:left w:val="single" w:sz="4" w:space="0" w:color="000008"/>
                          <w:bottom w:val="nil" w:sz="6" w:space="0" w:color="auto"/>
                          <w:right w:val="single" w:sz="4" w:space="0" w:color="000008"/>
                        </w:tcBorders>
                      </w:tcPr>
                      <w:p>
                        <w:pPr/>
                      </w:p>
                    </w:tc>
                  </w:tr>
                  <w:tr>
                    <w:trPr>
                      <w:trHeight w:val="350" w:hRule="exact"/>
                    </w:trPr>
                    <w:tc>
                      <w:tcPr>
                        <w:tcW w:w="756" w:type="dxa"/>
                        <w:tcBorders>
                          <w:top w:val="nil" w:sz="6" w:space="0" w:color="auto"/>
                          <w:left w:val="single" w:sz="4" w:space="0" w:color="000008"/>
                          <w:bottom w:val="nil" w:sz="6" w:space="0" w:color="auto"/>
                          <w:right w:val="single" w:sz="4" w:space="0" w:color="000008"/>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证券</w:t>
                        </w:r>
                      </w:p>
                    </w:tc>
                    <w:tc>
                      <w:tcPr>
                        <w:tcW w:w="396" w:type="dxa"/>
                        <w:vMerge/>
                        <w:tcBorders>
                          <w:left w:val="single" w:sz="4" w:space="0" w:color="000008"/>
                          <w:right w:val="single" w:sz="4" w:space="0" w:color="000008"/>
                        </w:tcBorders>
                      </w:tcPr>
                      <w:p>
                        <w:pPr/>
                      </w:p>
                    </w:tc>
                    <w:tc>
                      <w:tcPr>
                        <w:tcW w:w="1529" w:type="dxa"/>
                        <w:tcBorders>
                          <w:top w:val="nil" w:sz="6" w:space="0" w:color="auto"/>
                          <w:left w:val="single" w:sz="4" w:space="0" w:color="000008"/>
                          <w:bottom w:val="nil" w:sz="6" w:space="0" w:color="auto"/>
                          <w:right w:val="single" w:sz="4" w:space="0" w:color="000008"/>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初始</w:t>
                        </w:r>
                      </w:p>
                    </w:tc>
                    <w:tc>
                      <w:tcPr>
                        <w:tcW w:w="756" w:type="dxa"/>
                        <w:tcBorders>
                          <w:top w:val="nil" w:sz="6" w:space="0" w:color="auto"/>
                          <w:left w:val="single" w:sz="4" w:space="0" w:color="000008"/>
                          <w:bottom w:val="nil" w:sz="6" w:space="0" w:color="auto"/>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司股权</w:t>
                        </w:r>
                      </w:p>
                    </w:tc>
                    <w:tc>
                      <w:tcPr>
                        <w:tcW w:w="1476" w:type="dxa"/>
                        <w:tcBorders>
                          <w:top w:val="nil" w:sz="6" w:space="0" w:color="auto"/>
                          <w:left w:val="single" w:sz="4" w:space="0" w:color="000008"/>
                          <w:bottom w:val="nil" w:sz="6" w:space="0" w:color="auto"/>
                          <w:right w:val="single" w:sz="4" w:space="0" w:color="000008"/>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387" w:type="dxa"/>
                        <w:tcBorders>
                          <w:top w:val="nil" w:sz="6" w:space="0" w:color="auto"/>
                          <w:left w:val="single" w:sz="4" w:space="0" w:color="000008"/>
                          <w:bottom w:val="nil" w:sz="6" w:space="0" w:color="auto"/>
                          <w:right w:val="single" w:sz="4" w:space="0" w:color="000008"/>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报告期</w:t>
                        </w:r>
                      </w:p>
                    </w:tc>
                    <w:tc>
                      <w:tcPr>
                        <w:tcW w:w="1008" w:type="dxa"/>
                        <w:tcBorders>
                          <w:top w:val="nil" w:sz="6" w:space="0" w:color="auto"/>
                          <w:left w:val="single" w:sz="4" w:space="0" w:color="000008"/>
                          <w:bottom w:val="nil" w:sz="6" w:space="0" w:color="auto"/>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有者权益</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会计核</w:t>
                        </w:r>
                      </w:p>
                    </w:tc>
                    <w:tc>
                      <w:tcPr>
                        <w:tcW w:w="720" w:type="dxa"/>
                        <w:tcBorders>
                          <w:top w:val="nil" w:sz="6" w:space="0" w:color="auto"/>
                          <w:left w:val="single" w:sz="4" w:space="0" w:color="000008"/>
                          <w:bottom w:val="nil" w:sz="6" w:space="0" w:color="auto"/>
                          <w:right w:val="single" w:sz="4" w:space="0" w:color="000008"/>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9"/>
                            <w:sz w:val="18"/>
                            <w:szCs w:val="18"/>
                          </w:rPr>
                          <w:t> </w:t>
                        </w:r>
                        <w:r>
                          <w:rPr>
                            <w:rFonts w:ascii="宋体" w:hAnsi="宋体" w:cs="宋体" w:eastAsia="宋体" w:hint="default"/>
                            <w:sz w:val="18"/>
                            <w:szCs w:val="18"/>
                          </w:rPr>
                          <w:t>份</w:t>
                        </w:r>
                      </w:p>
                    </w:tc>
                  </w:tr>
                  <w:tr>
                    <w:trPr>
                      <w:trHeight w:val="677" w:hRule="exact"/>
                    </w:trPr>
                    <w:tc>
                      <w:tcPr>
                        <w:tcW w:w="756" w:type="dxa"/>
                        <w:tcBorders>
                          <w:top w:val="nil" w:sz="6" w:space="0" w:color="auto"/>
                          <w:left w:val="single" w:sz="4" w:space="0" w:color="000008"/>
                          <w:bottom w:val="single" w:sz="4" w:space="0" w:color="000008"/>
                          <w:right w:val="single" w:sz="4" w:space="0" w:color="000008"/>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396" w:type="dxa"/>
                        <w:vMerge/>
                        <w:tcBorders>
                          <w:left w:val="single" w:sz="4" w:space="0" w:color="000008"/>
                          <w:bottom w:val="single" w:sz="4" w:space="0" w:color="000008"/>
                          <w:right w:val="single" w:sz="4" w:space="0" w:color="000008"/>
                        </w:tcBorders>
                      </w:tcPr>
                      <w:p>
                        <w:pPr/>
                      </w:p>
                    </w:tc>
                    <w:tc>
                      <w:tcPr>
                        <w:tcW w:w="1529" w:type="dxa"/>
                        <w:tcBorders>
                          <w:top w:val="nil" w:sz="6" w:space="0" w:color="auto"/>
                          <w:left w:val="single" w:sz="4" w:space="0" w:color="000008"/>
                          <w:bottom w:val="single" w:sz="4" w:space="0" w:color="000008"/>
                          <w:right w:val="single" w:sz="4" w:space="0" w:color="000008"/>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56"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76" w:type="dxa"/>
                        <w:tcBorders>
                          <w:top w:val="nil" w:sz="6" w:space="0" w:color="auto"/>
                          <w:left w:val="single" w:sz="4" w:space="0" w:color="000008"/>
                          <w:bottom w:val="single" w:sz="4" w:space="0" w:color="000008"/>
                          <w:right w:val="single" w:sz="4" w:space="0" w:color="000008"/>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账面值</w:t>
                        </w:r>
                      </w:p>
                    </w:tc>
                    <w:tc>
                      <w:tcPr>
                        <w:tcW w:w="1387" w:type="dxa"/>
                        <w:tcBorders>
                          <w:top w:val="nil" w:sz="6" w:space="0" w:color="auto"/>
                          <w:left w:val="single" w:sz="4" w:space="0" w:color="000008"/>
                          <w:bottom w:val="single" w:sz="4" w:space="0" w:color="000008"/>
                          <w:right w:val="single" w:sz="4" w:space="0" w:color="000008"/>
                        </w:tcBorders>
                      </w:tcPr>
                      <w:p>
                        <w:pPr>
                          <w:pStyle w:val="TableParagraph"/>
                          <w:spacing w:line="179" w:lineRule="exact"/>
                          <w:ind w:left="4" w:right="0"/>
                          <w:jc w:val="center"/>
                          <w:rPr>
                            <w:rFonts w:ascii="宋体" w:hAnsi="宋体" w:cs="宋体" w:eastAsia="宋体" w:hint="default"/>
                            <w:sz w:val="18"/>
                            <w:szCs w:val="18"/>
                          </w:rPr>
                        </w:pPr>
                        <w:r>
                          <w:rPr>
                            <w:rFonts w:ascii="宋体" w:hAnsi="宋体" w:cs="宋体" w:eastAsia="宋体" w:hint="default"/>
                            <w:sz w:val="18"/>
                            <w:szCs w:val="18"/>
                          </w:rPr>
                          <w:t>损益</w:t>
                        </w:r>
                      </w:p>
                    </w:tc>
                    <w:tc>
                      <w:tcPr>
                        <w:tcW w:w="1008"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变动</w:t>
                        </w:r>
                      </w:p>
                    </w:tc>
                    <w:tc>
                      <w:tcPr>
                        <w:tcW w:w="900" w:type="dxa"/>
                        <w:tcBorders>
                          <w:top w:val="nil" w:sz="6" w:space="0" w:color="auto"/>
                          <w:left w:val="single" w:sz="4" w:space="0" w:color="000008"/>
                          <w:bottom w:val="single" w:sz="4" w:space="0" w:color="000008"/>
                          <w:right w:val="single" w:sz="4" w:space="0" w:color="000008"/>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算科目</w:t>
                        </w:r>
                      </w:p>
                    </w:tc>
                    <w:tc>
                      <w:tcPr>
                        <w:tcW w:w="720" w:type="dxa"/>
                        <w:tcBorders>
                          <w:top w:val="nil" w:sz="6" w:space="0" w:color="auto"/>
                          <w:left w:val="single" w:sz="4" w:space="0" w:color="000008"/>
                          <w:bottom w:val="single" w:sz="4" w:space="0" w:color="000008"/>
                          <w:right w:val="single" w:sz="4" w:space="0" w:color="000008"/>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1414" w:hRule="exact"/>
                    </w:trPr>
                    <w:tc>
                      <w:tcPr>
                        <w:tcW w:w="7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18"/>
                            <w:szCs w:val="18"/>
                          </w:rPr>
                        </w:pPr>
                        <w:r>
                          <w:rPr>
                            <w:rFonts w:ascii="宋体"/>
                            <w:sz w:val="18"/>
                          </w:rPr>
                          <w:t>000019</w:t>
                        </w:r>
                      </w:p>
                    </w:tc>
                    <w:tc>
                      <w:tcPr>
                        <w:tcW w:w="396"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105" w:right="0"/>
                          <w:jc w:val="both"/>
                          <w:rPr>
                            <w:rFonts w:ascii="宋体" w:hAnsi="宋体" w:cs="宋体" w:eastAsia="宋体" w:hint="default"/>
                            <w:sz w:val="18"/>
                            <w:szCs w:val="18"/>
                          </w:rPr>
                        </w:pPr>
                        <w:r>
                          <w:rPr>
                            <w:rFonts w:ascii="宋体" w:hAnsi="宋体" w:cs="宋体" w:eastAsia="宋体" w:hint="default"/>
                            <w:sz w:val="18"/>
                            <w:szCs w:val="18"/>
                          </w:rPr>
                          <w:t>深</w:t>
                        </w:r>
                      </w:p>
                      <w:p>
                        <w:pPr>
                          <w:pStyle w:val="TableParagraph"/>
                          <w:spacing w:line="357" w:lineRule="auto" w:before="115"/>
                          <w:ind w:left="105" w:right="98"/>
                          <w:jc w:val="both"/>
                          <w:rPr>
                            <w:rFonts w:ascii="宋体" w:hAnsi="宋体" w:cs="宋体" w:eastAsia="宋体" w:hint="default"/>
                            <w:sz w:val="18"/>
                            <w:szCs w:val="18"/>
                          </w:rPr>
                        </w:pPr>
                        <w:r>
                          <w:rPr>
                            <w:rFonts w:ascii="宋体" w:hAnsi="宋体" w:cs="宋体" w:eastAsia="宋体" w:hint="default"/>
                            <w:sz w:val="18"/>
                            <w:szCs w:val="18"/>
                          </w:rPr>
                          <w:t>深 宝 A</w:t>
                        </w:r>
                      </w:p>
                    </w:tc>
                    <w:tc>
                      <w:tcPr>
                        <w:tcW w:w="15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108,985,631.44</w:t>
                        </w:r>
                      </w:p>
                    </w:tc>
                    <w:tc>
                      <w:tcPr>
                        <w:tcW w:w="7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27.84%</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101,193,538.63</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sz w:val="18"/>
                          </w:rPr>
                          <w:t>18,469,182.88</w:t>
                        </w:r>
                      </w:p>
                    </w:tc>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57" w:lineRule="auto"/>
                          <w:ind w:left="175" w:right="173"/>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57" w:lineRule="auto"/>
                          <w:ind w:left="175" w:right="173"/>
                          <w:jc w:val="left"/>
                          <w:rPr>
                            <w:rFonts w:ascii="宋体" w:hAnsi="宋体" w:cs="宋体" w:eastAsia="宋体" w:hint="default"/>
                            <w:sz w:val="18"/>
                            <w:szCs w:val="18"/>
                          </w:rPr>
                        </w:pPr>
                        <w:r>
                          <w:rPr>
                            <w:rFonts w:ascii="宋体" w:hAnsi="宋体" w:cs="宋体" w:eastAsia="宋体" w:hint="default"/>
                            <w:sz w:val="18"/>
                            <w:szCs w:val="18"/>
                          </w:rPr>
                          <w:t>股权 转让</w:t>
                        </w:r>
                      </w:p>
                    </w:tc>
                  </w:tr>
                </w:tbl>
                <w:p>
                  <w:pPr/>
                </w:p>
              </w:txbxContent>
            </v:textbox>
            <w10:wrap type="none"/>
          </v:shape>
        </w:pict>
      </w:r>
      <w:r>
        <w:rPr>
          <w:rFonts w:ascii="宋体" w:hAnsi="宋体" w:cs="宋体" w:eastAsia="宋体" w:hint="default"/>
          <w:sz w:val="21"/>
          <w:szCs w:val="2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360" w:lineRule="auto" w:before="0"/>
        <w:ind w:left="217" w:right="0" w:firstLine="0"/>
        <w:jc w:val="left"/>
        <w:rPr>
          <w:rFonts w:ascii="宋体" w:hAnsi="宋体" w:cs="宋体" w:eastAsia="宋体" w:hint="default"/>
          <w:sz w:val="18"/>
          <w:szCs w:val="18"/>
        </w:rPr>
      </w:pPr>
      <w:r>
        <w:rPr>
          <w:rFonts w:ascii="宋体" w:hAnsi="宋体" w:cs="宋体" w:eastAsia="宋体" w:hint="default"/>
          <w:sz w:val="18"/>
          <w:szCs w:val="18"/>
        </w:rPr>
        <w:t>注：详见第九章第三节“报告期内，收购及出售资产、吸收合并事项的简要情况及进程”第二项报告期内，</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公司出售资产情况：深深宝股权减持事项。</w:t>
      </w:r>
    </w:p>
    <w:p>
      <w:pPr>
        <w:pStyle w:val="BodyText"/>
        <w:tabs>
          <w:tab w:pos="7655" w:val="left" w:leader="none"/>
        </w:tabs>
        <w:spacing w:line="240" w:lineRule="auto" w:before="14"/>
        <w:ind w:left="695" w:right="0"/>
        <w:jc w:val="left"/>
      </w:pPr>
      <w:r>
        <w:rPr>
          <w:rFonts w:ascii="Times New Roman" w:hAnsi="Times New Roman" w:cs="Times New Roman" w:eastAsia="Times New Roman" w:hint="default"/>
        </w:rPr>
        <w:t>2</w:t>
      </w:r>
      <w:r>
        <w:rPr/>
        <w:t>、持有其他金融企业股权情况（截至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tab/>
        <w:t>单位：元</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936"/>
        <w:gridCol w:w="1025"/>
        <w:gridCol w:w="1027"/>
        <w:gridCol w:w="998"/>
        <w:gridCol w:w="1171"/>
        <w:gridCol w:w="1025"/>
        <w:gridCol w:w="1138"/>
        <w:gridCol w:w="907"/>
        <w:gridCol w:w="701"/>
      </w:tblGrid>
      <w:tr>
        <w:trPr>
          <w:trHeight w:val="655" w:hRule="exact"/>
        </w:trPr>
        <w:tc>
          <w:tcPr>
            <w:tcW w:w="936" w:type="dxa"/>
            <w:tcBorders>
              <w:top w:val="single" w:sz="5" w:space="0" w:color="000000"/>
              <w:left w:val="single" w:sz="5" w:space="0" w:color="000000"/>
              <w:bottom w:val="single" w:sz="5" w:space="0" w:color="000000"/>
              <w:right w:val="single" w:sz="5" w:space="0" w:color="000000"/>
            </w:tcBorders>
          </w:tcPr>
          <w:p>
            <w:pPr>
              <w:pStyle w:val="TableParagraph"/>
              <w:spacing w:line="232" w:lineRule="exact" w:before="84"/>
              <w:ind w:left="193" w:right="188"/>
              <w:jc w:val="left"/>
              <w:rPr>
                <w:rFonts w:ascii="宋体" w:hAnsi="宋体" w:cs="宋体" w:eastAsia="宋体" w:hint="default"/>
                <w:sz w:val="18"/>
                <w:szCs w:val="18"/>
              </w:rPr>
            </w:pPr>
            <w:r>
              <w:rPr>
                <w:rFonts w:ascii="宋体" w:hAnsi="宋体" w:cs="宋体" w:eastAsia="宋体" w:hint="default"/>
                <w:sz w:val="18"/>
                <w:szCs w:val="18"/>
              </w:rPr>
              <w:t>所持对 象名称</w:t>
            </w:r>
          </w:p>
        </w:tc>
        <w:tc>
          <w:tcPr>
            <w:tcW w:w="1025" w:type="dxa"/>
            <w:tcBorders>
              <w:top w:val="single" w:sz="5" w:space="0" w:color="000000"/>
              <w:left w:val="single" w:sz="5" w:space="0" w:color="000000"/>
              <w:bottom w:val="single" w:sz="5" w:space="0" w:color="000000"/>
              <w:right w:val="single" w:sz="5" w:space="0" w:color="000000"/>
            </w:tcBorders>
          </w:tcPr>
          <w:p>
            <w:pPr>
              <w:pStyle w:val="TableParagraph"/>
              <w:spacing w:line="232" w:lineRule="exact" w:before="84"/>
              <w:ind w:left="147" w:right="143" w:firstLine="180"/>
              <w:jc w:val="left"/>
              <w:rPr>
                <w:rFonts w:ascii="宋体" w:hAnsi="宋体" w:cs="宋体" w:eastAsia="宋体" w:hint="default"/>
                <w:sz w:val="18"/>
                <w:szCs w:val="18"/>
              </w:rPr>
            </w:pPr>
            <w:r>
              <w:rPr>
                <w:rFonts w:ascii="宋体" w:hAnsi="宋体" w:cs="宋体" w:eastAsia="宋体" w:hint="default"/>
                <w:sz w:val="18"/>
                <w:szCs w:val="18"/>
              </w:rPr>
              <w:t>初始 投资金额</w:t>
            </w:r>
          </w:p>
        </w:tc>
        <w:tc>
          <w:tcPr>
            <w:tcW w:w="10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持有数量</w:t>
            </w:r>
          </w:p>
        </w:tc>
        <w:tc>
          <w:tcPr>
            <w:tcW w:w="998" w:type="dxa"/>
            <w:tcBorders>
              <w:top w:val="single" w:sz="5" w:space="0" w:color="000000"/>
              <w:left w:val="single" w:sz="5" w:space="0" w:color="000000"/>
              <w:bottom w:val="single" w:sz="5" w:space="0" w:color="000000"/>
              <w:right w:val="single" w:sz="5" w:space="0" w:color="000000"/>
            </w:tcBorders>
          </w:tcPr>
          <w:p>
            <w:pPr>
              <w:pStyle w:val="TableParagraph"/>
              <w:spacing w:line="232" w:lineRule="exact" w:before="84"/>
              <w:ind w:left="133" w:right="131"/>
              <w:jc w:val="left"/>
              <w:rPr>
                <w:rFonts w:ascii="宋体" w:hAnsi="宋体" w:cs="宋体" w:eastAsia="宋体" w:hint="default"/>
                <w:sz w:val="18"/>
                <w:szCs w:val="18"/>
              </w:rPr>
            </w:pPr>
            <w:r>
              <w:rPr>
                <w:rFonts w:ascii="宋体" w:hAnsi="宋体" w:cs="宋体" w:eastAsia="宋体" w:hint="default"/>
                <w:sz w:val="18"/>
                <w:szCs w:val="18"/>
              </w:rPr>
              <w:t>占该公司 股权比例</w:t>
            </w:r>
          </w:p>
        </w:tc>
        <w:tc>
          <w:tcPr>
            <w:tcW w:w="11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025" w:type="dxa"/>
            <w:tcBorders>
              <w:top w:val="single" w:sz="5" w:space="0" w:color="000000"/>
              <w:left w:val="single" w:sz="5" w:space="0" w:color="000000"/>
              <w:bottom w:val="single" w:sz="5" w:space="0" w:color="000000"/>
              <w:right w:val="single" w:sz="5" w:space="0" w:color="000000"/>
            </w:tcBorders>
          </w:tcPr>
          <w:p>
            <w:pPr>
              <w:pStyle w:val="TableParagraph"/>
              <w:spacing w:line="232" w:lineRule="exact" w:before="84"/>
              <w:ind w:left="416" w:right="145" w:hanging="272"/>
              <w:jc w:val="left"/>
              <w:rPr>
                <w:rFonts w:ascii="宋体" w:hAnsi="宋体" w:cs="宋体" w:eastAsia="宋体" w:hint="default"/>
                <w:sz w:val="18"/>
                <w:szCs w:val="18"/>
              </w:rPr>
            </w:pPr>
            <w:r>
              <w:rPr>
                <w:rFonts w:ascii="宋体" w:hAnsi="宋体" w:cs="宋体" w:eastAsia="宋体" w:hint="default"/>
                <w:sz w:val="18"/>
                <w:szCs w:val="18"/>
              </w:rPr>
              <w:t>报告期损 益</w:t>
            </w:r>
          </w:p>
        </w:tc>
        <w:tc>
          <w:tcPr>
            <w:tcW w:w="1138" w:type="dxa"/>
            <w:tcBorders>
              <w:top w:val="single" w:sz="5" w:space="0" w:color="000000"/>
              <w:left w:val="single" w:sz="5" w:space="0" w:color="000000"/>
              <w:bottom w:val="single" w:sz="5" w:space="0" w:color="000000"/>
              <w:right w:val="single" w:sz="5" w:space="0" w:color="000000"/>
            </w:tcBorders>
          </w:tcPr>
          <w:p>
            <w:pPr>
              <w:pStyle w:val="TableParagraph"/>
              <w:spacing w:line="232" w:lineRule="exact" w:before="84"/>
              <w:ind w:left="114" w:right="109"/>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907" w:type="dxa"/>
            <w:tcBorders>
              <w:top w:val="single" w:sz="5" w:space="0" w:color="000000"/>
              <w:left w:val="single" w:sz="5" w:space="0" w:color="000000"/>
              <w:bottom w:val="single" w:sz="5" w:space="0" w:color="000000"/>
              <w:right w:val="single" w:sz="5" w:space="0" w:color="000000"/>
            </w:tcBorders>
          </w:tcPr>
          <w:p>
            <w:pPr>
              <w:pStyle w:val="TableParagraph"/>
              <w:spacing w:line="232" w:lineRule="exact" w:before="84"/>
              <w:ind w:left="178" w:right="174"/>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701" w:type="dxa"/>
            <w:tcBorders>
              <w:top w:val="single" w:sz="5" w:space="0" w:color="000000"/>
              <w:left w:val="single" w:sz="5" w:space="0" w:color="000000"/>
              <w:bottom w:val="single" w:sz="5" w:space="0" w:color="000000"/>
              <w:right w:val="single" w:sz="5" w:space="0" w:color="000000"/>
            </w:tcBorders>
          </w:tcPr>
          <w:p>
            <w:pPr>
              <w:pStyle w:val="TableParagraph"/>
              <w:spacing w:line="232" w:lineRule="exact" w:before="84"/>
              <w:ind w:left="164" w:right="162"/>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5" w:hRule="exact"/>
        </w:trPr>
        <w:tc>
          <w:tcPr>
            <w:tcW w:w="936" w:type="dxa"/>
            <w:tcBorders>
              <w:top w:val="single" w:sz="5" w:space="0" w:color="000000"/>
              <w:left w:val="single" w:sz="5" w:space="0" w:color="000000"/>
              <w:bottom w:val="single" w:sz="5" w:space="0" w:color="000000"/>
              <w:right w:val="single" w:sz="5" w:space="0" w:color="000000"/>
            </w:tcBorders>
          </w:tcPr>
          <w:p>
            <w:pPr>
              <w:pStyle w:val="TableParagraph"/>
              <w:spacing w:line="209" w:lineRule="exact"/>
              <w:ind w:left="193" w:right="0"/>
              <w:jc w:val="left"/>
              <w:rPr>
                <w:rFonts w:ascii="宋体" w:hAnsi="宋体" w:cs="宋体" w:eastAsia="宋体" w:hint="default"/>
                <w:sz w:val="18"/>
                <w:szCs w:val="18"/>
              </w:rPr>
            </w:pPr>
            <w:r>
              <w:rPr>
                <w:rFonts w:ascii="宋体" w:hAnsi="宋体" w:cs="宋体" w:eastAsia="宋体" w:hint="default"/>
                <w:sz w:val="18"/>
                <w:szCs w:val="18"/>
              </w:rPr>
              <w:t>广东发</w:t>
            </w:r>
          </w:p>
          <w:p>
            <w:pPr>
              <w:pStyle w:val="TableParagraph"/>
              <w:spacing w:line="240" w:lineRule="auto" w:before="115"/>
              <w:ind w:left="193" w:right="0"/>
              <w:jc w:val="left"/>
              <w:rPr>
                <w:rFonts w:ascii="宋体" w:hAnsi="宋体" w:cs="宋体" w:eastAsia="宋体" w:hint="default"/>
                <w:sz w:val="18"/>
                <w:szCs w:val="18"/>
              </w:rPr>
            </w:pPr>
            <w:r>
              <w:rPr>
                <w:rFonts w:ascii="宋体" w:hAnsi="宋体" w:cs="宋体" w:eastAsia="宋体" w:hint="default"/>
                <w:sz w:val="18"/>
                <w:szCs w:val="18"/>
              </w:rPr>
              <w:t>展银行</w:t>
            </w:r>
          </w:p>
        </w:tc>
        <w:tc>
          <w:tcPr>
            <w:tcW w:w="10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8"/>
              <w:ind w:left="102" w:right="0"/>
              <w:jc w:val="left"/>
              <w:rPr>
                <w:rFonts w:ascii="宋体" w:hAnsi="宋体" w:cs="宋体" w:eastAsia="宋体" w:hint="default"/>
                <w:sz w:val="18"/>
                <w:szCs w:val="18"/>
              </w:rPr>
            </w:pPr>
            <w:r>
              <w:rPr>
                <w:rFonts w:ascii="宋体"/>
                <w:sz w:val="18"/>
              </w:rPr>
              <w:t>6,000,000</w:t>
            </w:r>
          </w:p>
        </w:tc>
        <w:tc>
          <w:tcPr>
            <w:tcW w:w="10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8"/>
              <w:ind w:left="3" w:right="0"/>
              <w:jc w:val="center"/>
              <w:rPr>
                <w:rFonts w:ascii="宋体" w:hAnsi="宋体" w:cs="宋体" w:eastAsia="宋体" w:hint="default"/>
                <w:sz w:val="18"/>
                <w:szCs w:val="18"/>
              </w:rPr>
            </w:pPr>
            <w:r>
              <w:rPr>
                <w:rFonts w:ascii="宋体"/>
                <w:sz w:val="18"/>
              </w:rPr>
              <w:t>2,751,110</w:t>
            </w:r>
          </w:p>
        </w:tc>
        <w:tc>
          <w:tcPr>
            <w:tcW w:w="9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8"/>
              <w:ind w:left="267" w:right="0"/>
              <w:jc w:val="left"/>
              <w:rPr>
                <w:rFonts w:ascii="宋体" w:hAnsi="宋体" w:cs="宋体" w:eastAsia="宋体" w:hint="default"/>
                <w:sz w:val="18"/>
                <w:szCs w:val="18"/>
              </w:rPr>
            </w:pPr>
            <w:r>
              <w:rPr>
                <w:rFonts w:ascii="宋体"/>
                <w:sz w:val="18"/>
              </w:rPr>
              <w:t>0.02%</w:t>
            </w:r>
          </w:p>
        </w:tc>
        <w:tc>
          <w:tcPr>
            <w:tcW w:w="11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8"/>
              <w:ind w:left="176" w:right="0"/>
              <w:jc w:val="left"/>
              <w:rPr>
                <w:rFonts w:ascii="宋体" w:hAnsi="宋体" w:cs="宋体" w:eastAsia="宋体" w:hint="default"/>
                <w:sz w:val="18"/>
                <w:szCs w:val="18"/>
              </w:rPr>
            </w:pPr>
            <w:r>
              <w:rPr>
                <w:rFonts w:ascii="宋体"/>
                <w:sz w:val="18"/>
              </w:rPr>
              <w:t>6,000,000</w:t>
            </w:r>
          </w:p>
        </w:tc>
        <w:tc>
          <w:tcPr>
            <w:tcW w:w="10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8"/>
              <w:ind w:left="102" w:right="0"/>
              <w:jc w:val="left"/>
              <w:rPr>
                <w:rFonts w:ascii="宋体" w:hAnsi="宋体" w:cs="宋体" w:eastAsia="宋体" w:hint="default"/>
                <w:sz w:val="18"/>
                <w:szCs w:val="18"/>
              </w:rPr>
            </w:pPr>
            <w:r>
              <w:rPr>
                <w:rFonts w:ascii="宋体"/>
                <w:sz w:val="18"/>
              </w:rPr>
              <w:t>61,852.58</w:t>
            </w:r>
          </w:p>
        </w:tc>
        <w:tc>
          <w:tcPr>
            <w:tcW w:w="1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8"/>
              <w:ind w:left="3" w:right="0"/>
              <w:jc w:val="center"/>
              <w:rPr>
                <w:rFonts w:ascii="宋体" w:hAnsi="宋体" w:cs="宋体" w:eastAsia="宋体" w:hint="default"/>
                <w:sz w:val="18"/>
                <w:szCs w:val="18"/>
              </w:rPr>
            </w:pPr>
            <w:r>
              <w:rPr>
                <w:rFonts w:ascii="宋体"/>
                <w:sz w:val="18"/>
              </w:rPr>
              <w:t>0</w:t>
            </w:r>
          </w:p>
        </w:tc>
        <w:tc>
          <w:tcPr>
            <w:tcW w:w="907" w:type="dxa"/>
            <w:tcBorders>
              <w:top w:val="single" w:sz="5" w:space="0" w:color="000000"/>
              <w:left w:val="single" w:sz="5" w:space="0" w:color="000000"/>
              <w:bottom w:val="single" w:sz="5" w:space="0" w:color="000000"/>
              <w:right w:val="single" w:sz="5" w:space="0" w:color="000000"/>
            </w:tcBorders>
          </w:tcPr>
          <w:p>
            <w:pPr>
              <w:pStyle w:val="TableParagraph"/>
              <w:spacing w:line="209" w:lineRule="exact"/>
              <w:ind w:left="178" w:right="0"/>
              <w:jc w:val="left"/>
              <w:rPr>
                <w:rFonts w:ascii="宋体" w:hAnsi="宋体" w:cs="宋体" w:eastAsia="宋体" w:hint="default"/>
                <w:sz w:val="18"/>
                <w:szCs w:val="18"/>
              </w:rPr>
            </w:pPr>
            <w:r>
              <w:rPr>
                <w:rFonts w:ascii="宋体" w:hAnsi="宋体" w:cs="宋体" w:eastAsia="宋体" w:hint="default"/>
                <w:sz w:val="18"/>
                <w:szCs w:val="18"/>
              </w:rPr>
              <w:t>长期股</w:t>
            </w:r>
          </w:p>
          <w:p>
            <w:pPr>
              <w:pStyle w:val="TableParagraph"/>
              <w:spacing w:line="240" w:lineRule="auto" w:before="115"/>
              <w:ind w:left="178"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701" w:type="dxa"/>
            <w:tcBorders>
              <w:top w:val="single" w:sz="5" w:space="0" w:color="000000"/>
              <w:left w:val="single" w:sz="5" w:space="0" w:color="000000"/>
              <w:bottom w:val="single" w:sz="5" w:space="0" w:color="000000"/>
              <w:right w:val="single" w:sz="5" w:space="0" w:color="000000"/>
            </w:tcBorders>
          </w:tcPr>
          <w:p>
            <w:pPr>
              <w:pStyle w:val="TableParagraph"/>
              <w:spacing w:line="209" w:lineRule="exact"/>
              <w:ind w:left="164" w:right="0"/>
              <w:jc w:val="left"/>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40" w:lineRule="auto" w:before="115"/>
              <w:ind w:left="164" w:right="0"/>
              <w:jc w:val="left"/>
              <w:rPr>
                <w:rFonts w:ascii="宋体" w:hAnsi="宋体" w:cs="宋体" w:eastAsia="宋体" w:hint="default"/>
                <w:sz w:val="18"/>
                <w:szCs w:val="18"/>
              </w:rPr>
            </w:pPr>
            <w:r>
              <w:rPr>
                <w:rFonts w:ascii="宋体" w:hAnsi="宋体" w:cs="宋体" w:eastAsia="宋体" w:hint="default"/>
                <w:sz w:val="18"/>
                <w:szCs w:val="18"/>
              </w:rPr>
              <w:t>转让</w:t>
            </w:r>
          </w:p>
        </w:tc>
      </w:tr>
    </w:tbl>
    <w:p>
      <w:pPr>
        <w:spacing w:line="240" w:lineRule="auto" w:before="12"/>
        <w:rPr>
          <w:rFonts w:ascii="宋体" w:hAnsi="宋体" w:cs="宋体" w:eastAsia="宋体" w:hint="default"/>
          <w:sz w:val="26"/>
          <w:szCs w:val="26"/>
        </w:rPr>
      </w:pPr>
    </w:p>
    <w:p>
      <w:pPr>
        <w:pStyle w:val="Heading5"/>
        <w:spacing w:line="268" w:lineRule="auto"/>
        <w:ind w:left="697" w:right="0"/>
        <w:jc w:val="left"/>
        <w:rPr>
          <w:b w:val="0"/>
          <w:bCs w:val="0"/>
        </w:rPr>
      </w:pPr>
      <w:r>
        <w:rPr/>
        <w:t>第四节 报告期内，收购及出售资产、吸收合并事项的简要情况及进程</w:t>
      </w:r>
      <w:r>
        <w:rPr>
          <w:spacing w:val="-35"/>
        </w:rPr>
        <w:t> </w:t>
      </w:r>
      <w:r>
        <w:rPr>
          <w:spacing w:val="-35"/>
        </w:rPr>
      </w:r>
      <w:r>
        <w:rPr/>
        <w:t>一、报告期内，公司收购资产及对外投资项目请详见第七章第四节“对外投</w:t>
      </w:r>
      <w:r>
        <w:rPr>
          <w:b w:val="0"/>
          <w:bCs w:val="0"/>
        </w:rPr>
      </w:r>
    </w:p>
    <w:p>
      <w:pPr>
        <w:spacing w:before="12"/>
        <w:ind w:left="21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资情况”。</w:t>
      </w:r>
      <w:r>
        <w:rPr>
          <w:rFonts w:ascii="Microsoft JhengHei" w:hAnsi="Microsoft JhengHei" w:cs="Microsoft JhengHei" w:eastAsia="Microsoft JhengHei" w:hint="default"/>
          <w:sz w:val="24"/>
          <w:szCs w:val="24"/>
        </w:rPr>
      </w:r>
    </w:p>
    <w:p>
      <w:pPr>
        <w:spacing w:line="468" w:lineRule="exact" w:before="32"/>
        <w:ind w:left="697" w:right="26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二、报告期内，公司出售资产情况</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Microsoft JhengHei" w:hAnsi="Microsoft JhengHei" w:cs="Microsoft JhengHei" w:eastAsia="Microsoft JhengHei" w:hint="default"/>
          <w:b/>
          <w:bCs/>
          <w:sz w:val="24"/>
          <w:szCs w:val="24"/>
        </w:rPr>
        <w:t>1、深深宝股权转让事项</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具体详见第九章第一节“公司重大诉讼、仲裁事项”。 </w:t>
      </w:r>
      <w:r>
        <w:rPr>
          <w:rFonts w:ascii="Microsoft JhengHei" w:hAnsi="Microsoft JhengHei" w:cs="Microsoft JhengHei" w:eastAsia="Microsoft JhengHei" w:hint="default"/>
          <w:b/>
          <w:bCs/>
          <w:sz w:val="24"/>
          <w:szCs w:val="24"/>
        </w:rPr>
        <w:t>2、民润股权转让事项</w:t>
      </w:r>
      <w:r>
        <w:rPr>
          <w:rFonts w:ascii="Microsoft JhengHei" w:hAnsi="Microsoft JhengHei" w:cs="Microsoft JhengHei" w:eastAsia="Microsoft JhengHei" w:hint="default"/>
          <w:sz w:val="24"/>
          <w:szCs w:val="24"/>
        </w:rPr>
      </w:r>
    </w:p>
    <w:p>
      <w:pPr>
        <w:pStyle w:val="BodyText"/>
        <w:spacing w:line="357" w:lineRule="auto" w:before="94"/>
        <w:ind w:left="217" w:right="485" w:firstLine="480"/>
        <w:jc w:val="both"/>
      </w:pPr>
      <w:r>
        <w:rPr/>
        <w:t>2007年12月17日，公司及下属果菜公司与深圳市民润农产品配送连锁商业有 限公司（简称“民润公司”）另两家股东——英天有限公司和广狮有限公司（简 称“外资股东”）签订《增资认购协议》。本次增资以2007年10月31日为评估基 </w:t>
      </w:r>
      <w:r>
        <w:rPr>
          <w:spacing w:val="-2"/>
        </w:rPr>
        <w:t>准日，公司及果菜公司按民润公司评估净值乘以47.76%再溢价10%作为投资，计算</w:t>
      </w:r>
      <w:r>
        <w:rPr>
          <w:spacing w:val="-100"/>
        </w:rPr>
        <w:t> </w:t>
      </w:r>
      <w:r>
        <w:rPr>
          <w:spacing w:val="-100"/>
        </w:rPr>
      </w:r>
      <w:r>
        <w:rPr>
          <w:spacing w:val="-2"/>
        </w:rPr>
        <w:t>其持股比例，外资股东投资1亿元人民币单方对民润公司进行增资扩股，增资扩股</w:t>
      </w:r>
      <w:r>
        <w:rPr>
          <w:spacing w:val="-108"/>
        </w:rPr>
        <w:t> </w:t>
      </w:r>
      <w:r>
        <w:rPr>
          <w:spacing w:val="-108"/>
        </w:rPr>
      </w:r>
      <w:r>
        <w:rPr/>
        <w:t>后民润公司的注册资本由人民币26,800 万元增加至36,800 万元。公司及果菜公 司合计持有民润公司股权比例由原来的47.76%降至15.21%。</w:t>
      </w:r>
    </w:p>
    <w:p>
      <w:pPr>
        <w:pStyle w:val="BodyText"/>
        <w:spacing w:line="357" w:lineRule="auto"/>
        <w:ind w:left="217" w:right="546" w:firstLine="480"/>
        <w:jc w:val="both"/>
      </w:pPr>
      <w:r>
        <w:rPr/>
        <w:t>本公司于2008年6月13日接国家商务部“商资批[2008]657号”文《商务部关 于同意深圳市民润农产品配送连锁商业有限公司增资和股权变更的批复》，本公</w:t>
      </w:r>
    </w:p>
    <w:p>
      <w:pPr>
        <w:spacing w:after="0" w:line="357" w:lineRule="auto"/>
        <w:jc w:val="both"/>
        <w:sectPr>
          <w:pgSz w:w="11910" w:h="16840"/>
          <w:pgMar w:header="859" w:footer="835" w:top="1420" w:bottom="1020" w:left="1580" w:right="1160"/>
        </w:sectPr>
      </w:pPr>
    </w:p>
    <w:p>
      <w:pPr>
        <w:pStyle w:val="BodyText"/>
        <w:spacing w:line="357" w:lineRule="auto" w:before="96"/>
        <w:ind w:left="137" w:right="206"/>
        <w:jc w:val="both"/>
      </w:pPr>
      <w:r>
        <w:rPr/>
        <w:pict>
          <v:group style="position:absolute;margin-left:88.799995pt;margin-top:6.335606pt;width:425.2pt;height:.1pt;mso-position-horizontal-relative:page;mso-position-vertical-relative:paragraph;z-index:-1141000" coordorigin="1776,127" coordsize="8504,2">
            <v:shape style="position:absolute;left:1776;top:127;width:8504;height:2" coordorigin="1776,127" coordsize="8504,0" path="m1776,127l10279,127e" filled="false" stroked="true" strokeweight=".72pt" strokecolor="#000008">
              <v:path arrowok="t"/>
            </v:shape>
            <w10:wrap type="none"/>
          </v:group>
        </w:pict>
      </w:r>
      <w:r>
        <w:rPr/>
        <w:t>司参股的民润公司外方股东单方增资扩股事宜获得国家商务部批准。但截至2009 年12月31日，民润公司外方股东的实际控制人——汇科系统（香港）有限公司的 全额增资款均未注入民润公司，导致民润增资事宜无法完成。</w:t>
      </w:r>
    </w:p>
    <w:p>
      <w:pPr>
        <w:pStyle w:val="BodyText"/>
        <w:spacing w:line="357" w:lineRule="auto"/>
        <w:ind w:left="137" w:right="141" w:firstLine="480"/>
        <w:jc w:val="both"/>
      </w:pPr>
      <w:r>
        <w:rPr>
          <w:spacing w:val="-2"/>
          <w:w w:val="95"/>
        </w:rPr>
        <w:t>2009年4月8日，公司发布民润事项进展公告。民润公司股东举行了临时会议，</w:t>
      </w:r>
      <w:r>
        <w:rPr>
          <w:w w:val="51"/>
        </w:rPr>
        <w:t> </w:t>
      </w:r>
      <w:r>
        <w:rPr/>
        <w:t>经讨论，全体股东一致同意由与华润（集团）有限公司（简称“华润公司”）指</w:t>
      </w:r>
      <w:r>
        <w:rPr/>
        <w:t> 定的、以谢刚先生为负责人的工作团队接替原民润公司管理团队负责民润公司的 经营管理工作。同意授权华润公司指定的谢刚先生行使民润公司总经理的日常经 营管理权利，同意其在民润公司《章程》授权范围内使用民润公司公章，管理民 润公司资金、资产与人员，并开展经营活动。（详见2008 年6月14日、2008年12 月16日、2009年1月7日和2009年4月8日刊登在《证券时报》、《中国证券报》、</w:t>
      </w:r>
    </w:p>
    <w:p>
      <w:pPr>
        <w:pStyle w:val="BodyText"/>
        <w:spacing w:line="357" w:lineRule="auto"/>
        <w:ind w:left="617" w:right="189" w:hanging="480"/>
        <w:jc w:val="left"/>
      </w:pPr>
      <w:r>
        <w:rPr/>
        <w:t>《上海证券报》和巨潮资讯网上的公司公告） 目前，本公司与包括华润公司在内的有关各方就民润公司相关重组事宜仍未</w:t>
      </w:r>
    </w:p>
    <w:p>
      <w:pPr>
        <w:pStyle w:val="BodyText"/>
        <w:spacing w:line="240" w:lineRule="auto"/>
        <w:ind w:left="137" w:right="0"/>
        <w:jc w:val="both"/>
      </w:pPr>
      <w:r>
        <w:rPr/>
        <w:t>能达成协议。</w:t>
      </w:r>
    </w:p>
    <w:p>
      <w:pPr>
        <w:pStyle w:val="Heading5"/>
        <w:spacing w:line="240" w:lineRule="auto" w:before="77"/>
        <w:ind w:left="617" w:right="25"/>
        <w:jc w:val="left"/>
        <w:rPr>
          <w:b w:val="0"/>
          <w:bCs w:val="0"/>
        </w:rPr>
      </w:pPr>
      <w:r>
        <w:rPr/>
        <w:t>3、海吉星渔港（现渔人码头公司）股权转让事项</w:t>
      </w:r>
      <w:r>
        <w:rPr>
          <w:b w:val="0"/>
          <w:bCs w:val="0"/>
        </w:rPr>
      </w:r>
    </w:p>
    <w:p>
      <w:pPr>
        <w:pStyle w:val="BodyText"/>
        <w:spacing w:line="357" w:lineRule="auto" w:before="126"/>
        <w:ind w:left="137" w:right="189" w:firstLine="480"/>
        <w:jc w:val="left"/>
      </w:pPr>
      <w:r>
        <w:rPr/>
        <w:t>2008年1月5日，公司刊登《关于同意下属深圳市海吉星渔港实业有限公司增 </w:t>
      </w:r>
      <w:r>
        <w:rPr>
          <w:w w:val="95"/>
        </w:rPr>
        <w:t>资扩股的提示性公告》，同意公司和深圳市果菜贸易公司（简称“果菜公司”）</w:t>
      </w:r>
      <w:r>
        <w:rPr>
          <w:spacing w:val="74"/>
          <w:w w:val="95"/>
        </w:rPr>
        <w:t> </w:t>
      </w:r>
      <w:r>
        <w:rPr>
          <w:spacing w:val="74"/>
          <w:w w:val="95"/>
        </w:rPr>
      </w:r>
      <w:r>
        <w:rPr/>
        <w:t>以海吉星渔港资产评估结果为基础按适当比例溢价作为出资，增资后合计占海吉</w:t>
      </w:r>
      <w:r>
        <w:rPr/>
        <w:t> 星渔港51%股权，战略投资者以现金增资后占海吉星渔港49%股权。同时，战略投 资者须按所持股权比例代海吉星渔港偿还债务。</w:t>
      </w:r>
    </w:p>
    <w:p>
      <w:pPr>
        <w:pStyle w:val="BodyText"/>
        <w:spacing w:line="357" w:lineRule="auto"/>
        <w:ind w:left="137" w:right="145" w:firstLine="480"/>
        <w:jc w:val="both"/>
      </w:pPr>
      <w:r>
        <w:rPr/>
        <w:t>公司于2008年3月3日在深圳市产权交易中心公开挂牌为海吉星渔港引进战略 </w:t>
      </w:r>
      <w:r>
        <w:rPr>
          <w:spacing w:val="-2"/>
        </w:rPr>
        <w:t>投资者增资2921.15万元。由于宏观经济环境的变化，挂牌到期时，求购方迫于分</w:t>
      </w:r>
      <w:r>
        <w:rPr>
          <w:spacing w:val="-102"/>
        </w:rPr>
        <w:t> </w:t>
      </w:r>
      <w:r>
        <w:rPr>
          <w:spacing w:val="-102"/>
        </w:rPr>
      </w:r>
      <w:r>
        <w:rPr/>
        <w:t>担海吉星渔港债务的压力，未与公司签订正式的增资合同。</w:t>
      </w:r>
    </w:p>
    <w:p>
      <w:pPr>
        <w:pStyle w:val="BodyText"/>
        <w:spacing w:line="357" w:lineRule="auto"/>
        <w:ind w:left="137" w:right="145" w:firstLine="480"/>
        <w:jc w:val="both"/>
      </w:pPr>
      <w:r>
        <w:rPr>
          <w:spacing w:val="-2"/>
        </w:rPr>
        <w:t>2009年1月18日，公司第五届董事会第十九次会议审议通过了《关于转让深圳</w:t>
      </w:r>
      <w:r>
        <w:rPr/>
        <w:t> 市海吉星渔港实业有限公司股权的议案》，同意果菜公司以不低于评估机构对海 吉星渔港股权价值的评估结果作为本次股权转让的定价依据，将不低于49％的海 吉星渔港股权，在市产权交易中心以公开挂牌方式出让。根据转让流程，果菜公 司于2009年3月27日至4月24日在深圳市产权交易中心公开挂牌转让海吉星渔港49</w:t>
      </w:r>
    </w:p>
    <w:p>
      <w:pPr>
        <w:pStyle w:val="BodyText"/>
        <w:spacing w:line="357" w:lineRule="auto"/>
        <w:ind w:left="137" w:right="141"/>
        <w:jc w:val="both"/>
      </w:pPr>
      <w:r>
        <w:rPr>
          <w:spacing w:val="-2"/>
        </w:rPr>
        <w:t>％股权。2009年5月22日，经过公开竞价，深圳市深业物流笋岗仓库有限公司（下</w:t>
      </w:r>
      <w:r>
        <w:rPr>
          <w:spacing w:val="-102"/>
        </w:rPr>
        <w:t> </w:t>
      </w:r>
      <w:r>
        <w:rPr>
          <w:spacing w:val="-102"/>
        </w:rPr>
      </w:r>
      <w:r>
        <w:rPr>
          <w:spacing w:val="-2"/>
          <w:w w:val="95"/>
        </w:rPr>
        <w:t>称“深业物流”）和深圳市笋岗国际电子物流城有限公司（下称“笋岗物流城”）</w:t>
      </w:r>
      <w:r>
        <w:rPr>
          <w:spacing w:val="-2"/>
        </w:rPr>
      </w:r>
    </w:p>
    <w:p>
      <w:pPr>
        <w:spacing w:after="0" w:line="357" w:lineRule="auto"/>
        <w:jc w:val="both"/>
        <w:sectPr>
          <w:pgSz w:w="11910" w:h="16840"/>
          <w:pgMar w:header="859" w:footer="835" w:top="1420" w:bottom="1020" w:left="1660" w:right="1500"/>
        </w:sectPr>
      </w:pPr>
    </w:p>
    <w:p>
      <w:pPr>
        <w:pStyle w:val="BodyText"/>
        <w:spacing w:line="357" w:lineRule="auto" w:before="96"/>
        <w:ind w:left="137" w:right="226"/>
        <w:jc w:val="both"/>
      </w:pPr>
      <w:r>
        <w:rPr/>
        <w:pict>
          <v:group style="position:absolute;margin-left:88.799995pt;margin-top:6.335606pt;width:425.2pt;height:.1pt;mso-position-horizontal-relative:page;mso-position-vertical-relative:paragraph;z-index:-1140976" coordorigin="1776,127" coordsize="8504,2">
            <v:shape style="position:absolute;left:1776;top:127;width:8504;height:2" coordorigin="1776,127" coordsize="8504,0" path="m1776,127l10279,127e" filled="false" stroked="true" strokeweight=".72pt" strokecolor="#000008">
              <v:path arrowok="t"/>
            </v:shape>
            <w10:wrap type="none"/>
          </v:group>
        </w:pict>
      </w:r>
      <w:r>
        <w:rPr>
          <w:w w:val="95"/>
        </w:rPr>
        <w:t>成为海吉星渔港49％股权的联合受让方。果菜公司转让的海吉星渔港49％ 股 权 ，</w:t>
      </w:r>
      <w:r>
        <w:rPr>
          <w:spacing w:val="-68"/>
          <w:w w:val="95"/>
        </w:rPr>
        <w:t> </w:t>
      </w:r>
      <w:r>
        <w:rPr>
          <w:spacing w:val="-68"/>
          <w:w w:val="95"/>
        </w:rPr>
      </w:r>
      <w:r>
        <w:rPr/>
        <w:t>深业物流受让28％，笋岗物流城受让21％。成交价格为人民币25,500,000元。按</w:t>
      </w:r>
      <w:r>
        <w:rPr/>
        <w:t> </w:t>
      </w:r>
      <w:r>
        <w:rPr>
          <w:w w:val="95"/>
        </w:rPr>
        <w:t>照新会计准则,本次股权转让将增加果菜公司股权转让税前收益1134.8653万 元 ，</w:t>
      </w:r>
      <w:r>
        <w:rPr>
          <w:spacing w:val="33"/>
          <w:w w:val="95"/>
        </w:rPr>
        <w:t> </w:t>
      </w:r>
      <w:r>
        <w:rPr>
          <w:spacing w:val="33"/>
          <w:w w:val="95"/>
        </w:rPr>
      </w:r>
      <w:r>
        <w:rPr/>
        <w:t>增加合并报表股东权益约2300万元（以最终审计数为准）。</w:t>
      </w:r>
    </w:p>
    <w:p>
      <w:pPr>
        <w:pStyle w:val="BodyText"/>
        <w:spacing w:line="357" w:lineRule="auto"/>
        <w:ind w:left="137" w:right="165" w:firstLine="480"/>
        <w:jc w:val="both"/>
      </w:pPr>
      <w:r>
        <w:rPr>
          <w:spacing w:val="-2"/>
        </w:rPr>
        <w:t>2009年6月，上述49%股权转让的工商变更登记手续完成，2009年7月，海吉星</w:t>
      </w:r>
      <w:r>
        <w:rPr/>
        <w:t> 渔港更名为深圳市西岸渔人码头商业有限公司（简称“渔人码头公司”）。</w:t>
      </w:r>
    </w:p>
    <w:p>
      <w:pPr>
        <w:pStyle w:val="BodyText"/>
        <w:spacing w:line="357" w:lineRule="auto"/>
        <w:ind w:left="137" w:right="165" w:firstLine="480"/>
        <w:jc w:val="both"/>
      </w:pPr>
      <w:r>
        <w:rPr/>
        <w:t>经公司第五届董事会第二十六次会议审议通过，公司拟以重新评估的结果作 为股权转让的定价依据，公开挂牌转让本公司及下属全资子公司果菜公司合计持 </w:t>
      </w:r>
      <w:r>
        <w:rPr>
          <w:spacing w:val="-2"/>
        </w:rPr>
        <w:t>有的渔人码头公司51%股权，其中本公司直接持有40％股权，果菜公司持有11％股</w:t>
      </w:r>
      <w:r>
        <w:rPr>
          <w:spacing w:val="-102"/>
        </w:rPr>
        <w:t> </w:t>
      </w:r>
      <w:r>
        <w:rPr>
          <w:spacing w:val="-102"/>
        </w:rPr>
      </w:r>
      <w:r>
        <w:rPr/>
        <w:t>权。截至审计报告日，尚在公开挂牌期间。</w:t>
      </w:r>
    </w:p>
    <w:p>
      <w:pPr>
        <w:pStyle w:val="BodyText"/>
        <w:spacing w:line="240" w:lineRule="auto"/>
        <w:ind w:left="617" w:right="0"/>
        <w:jc w:val="left"/>
      </w:pPr>
      <w:r>
        <w:rPr/>
        <w:t>（详见</w:t>
      </w:r>
      <w:r>
        <w:rPr>
          <w:spacing w:val="-60"/>
        </w:rPr>
        <w:t> </w:t>
      </w:r>
      <w:r>
        <w:rPr/>
        <w:t>2009</w:t>
      </w:r>
      <w:r>
        <w:rPr>
          <w:spacing w:val="-60"/>
        </w:rPr>
        <w:t> </w:t>
      </w:r>
      <w:r>
        <w:rPr/>
        <w:t>年</w:t>
      </w:r>
      <w:r>
        <w:rPr>
          <w:spacing w:val="-60"/>
        </w:rPr>
        <w:t> </w:t>
      </w:r>
      <w:r>
        <w:rPr/>
        <w:t>2</w:t>
      </w:r>
      <w:r>
        <w:rPr>
          <w:spacing w:val="-60"/>
        </w:rPr>
        <w:t> </w:t>
      </w:r>
      <w:r>
        <w:rPr/>
        <w:t>月</w:t>
      </w:r>
      <w:r>
        <w:rPr>
          <w:spacing w:val="-60"/>
        </w:rPr>
        <w:t> </w:t>
      </w:r>
      <w:r>
        <w:rPr/>
        <w:t>20</w:t>
      </w:r>
      <w:r>
        <w:rPr>
          <w:spacing w:val="-60"/>
        </w:rPr>
        <w:t> </w:t>
      </w:r>
      <w:r>
        <w:rPr/>
        <w:t>日、2009</w:t>
      </w:r>
      <w:r>
        <w:rPr>
          <w:spacing w:val="-60"/>
        </w:rPr>
        <w:t> </w:t>
      </w:r>
      <w:r>
        <w:rPr/>
        <w:t>年</w:t>
      </w:r>
      <w:r>
        <w:rPr>
          <w:spacing w:val="-60"/>
        </w:rPr>
        <w:t> </w:t>
      </w:r>
      <w:r>
        <w:rPr/>
        <w:t>3</w:t>
      </w:r>
      <w:r>
        <w:rPr>
          <w:spacing w:val="-60"/>
        </w:rPr>
        <w:t> </w:t>
      </w:r>
      <w:r>
        <w:rPr/>
        <w:t>月</w:t>
      </w:r>
      <w:r>
        <w:rPr>
          <w:spacing w:val="-60"/>
        </w:rPr>
        <w:t> </w:t>
      </w:r>
      <w:r>
        <w:rPr/>
        <w:t>5</w:t>
      </w:r>
      <w:r>
        <w:rPr>
          <w:spacing w:val="-60"/>
        </w:rPr>
        <w:t> </w:t>
      </w:r>
      <w:r>
        <w:rPr/>
        <w:t>日、2009</w:t>
      </w:r>
      <w:r>
        <w:rPr>
          <w:spacing w:val="-60"/>
        </w:rPr>
        <w:t> </w:t>
      </w:r>
      <w:r>
        <w:rPr/>
        <w:t>年</w:t>
      </w:r>
      <w:r>
        <w:rPr>
          <w:spacing w:val="-60"/>
        </w:rPr>
        <w:t> </w:t>
      </w:r>
      <w:r>
        <w:rPr/>
        <w:t>3</w:t>
      </w:r>
      <w:r>
        <w:rPr>
          <w:spacing w:val="-60"/>
        </w:rPr>
        <w:t> </w:t>
      </w:r>
      <w:r>
        <w:rPr/>
        <w:t>月</w:t>
      </w:r>
      <w:r>
        <w:rPr>
          <w:spacing w:val="-60"/>
        </w:rPr>
        <w:t> </w:t>
      </w:r>
      <w:r>
        <w:rPr/>
        <w:t>27</w:t>
      </w:r>
      <w:r>
        <w:rPr>
          <w:spacing w:val="-60"/>
        </w:rPr>
        <w:t> </w:t>
      </w:r>
      <w:r>
        <w:rPr/>
        <w:t>日、5</w:t>
      </w:r>
      <w:r>
        <w:rPr>
          <w:spacing w:val="-60"/>
        </w:rPr>
        <w:t> </w:t>
      </w:r>
      <w:r>
        <w:rPr/>
        <w:t>月</w:t>
      </w:r>
      <w:r>
        <w:rPr>
          <w:spacing w:val="-60"/>
        </w:rPr>
        <w:t> </w:t>
      </w:r>
      <w:r>
        <w:rPr/>
        <w:t>27</w:t>
      </w:r>
      <w:r>
        <w:rPr>
          <w:spacing w:val="-60"/>
        </w:rPr>
        <w:t> </w:t>
      </w:r>
      <w:r>
        <w:rPr/>
        <w:t>日</w:t>
      </w:r>
    </w:p>
    <w:p>
      <w:pPr>
        <w:pStyle w:val="BodyText"/>
        <w:spacing w:line="357" w:lineRule="auto" w:before="154"/>
        <w:ind w:left="137" w:right="165"/>
        <w:jc w:val="both"/>
      </w:pPr>
      <w:r>
        <w:rPr/>
        <w:t>和</w:t>
      </w:r>
      <w:r>
        <w:rPr>
          <w:spacing w:val="-57"/>
        </w:rPr>
        <w:t> </w:t>
      </w:r>
      <w:r>
        <w:rPr/>
        <w:t>2009</w:t>
      </w:r>
      <w:r>
        <w:rPr>
          <w:spacing w:val="-57"/>
        </w:rPr>
        <w:t> </w:t>
      </w:r>
      <w:r>
        <w:rPr/>
        <w:t>年</w:t>
      </w:r>
      <w:r>
        <w:rPr>
          <w:spacing w:val="-57"/>
        </w:rPr>
        <w:t> </w:t>
      </w:r>
      <w:r>
        <w:rPr/>
        <w:t>10</w:t>
      </w:r>
      <w:r>
        <w:rPr>
          <w:spacing w:val="-57"/>
        </w:rPr>
        <w:t> </w:t>
      </w:r>
      <w:r>
        <w:rPr/>
        <w:t>月</w:t>
      </w:r>
      <w:r>
        <w:rPr>
          <w:spacing w:val="-57"/>
        </w:rPr>
        <w:t> </w:t>
      </w:r>
      <w:r>
        <w:rPr/>
        <w:t>24</w:t>
      </w:r>
      <w:r>
        <w:rPr>
          <w:spacing w:val="-57"/>
        </w:rPr>
        <w:t> </w:t>
      </w:r>
      <w:r>
        <w:rPr>
          <w:spacing w:val="-3"/>
        </w:rPr>
        <w:t>日刊登在《证券时报》、《中国证券报》、《上海证券报》和</w:t>
      </w:r>
      <w:r>
        <w:rPr/>
        <w:t> 巨潮资讯网上的公司公告）</w:t>
      </w:r>
    </w:p>
    <w:p>
      <w:pPr>
        <w:pStyle w:val="Heading5"/>
        <w:spacing w:line="378" w:lineRule="exact"/>
        <w:ind w:left="617" w:right="0"/>
        <w:jc w:val="left"/>
        <w:rPr>
          <w:b w:val="0"/>
          <w:bCs w:val="0"/>
        </w:rPr>
      </w:pPr>
      <w:r>
        <w:rPr/>
        <w:t>4、蓝投公司股权转让事项</w:t>
      </w:r>
      <w:r>
        <w:rPr>
          <w:b w:val="0"/>
          <w:bCs w:val="0"/>
        </w:rPr>
      </w:r>
    </w:p>
    <w:p>
      <w:pPr>
        <w:pStyle w:val="BodyText"/>
        <w:spacing w:line="348" w:lineRule="auto" w:before="126"/>
        <w:ind w:left="137" w:right="104"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5"/>
        </w:rPr>
        <w:t>日，公司第五届董事会第十九次会议同意以不低于评估机构对</w:t>
      </w:r>
      <w:r>
        <w:rPr/>
        <w:t> </w:t>
      </w:r>
      <w:r>
        <w:rPr>
          <w:spacing w:val="-6"/>
          <w:w w:val="95"/>
        </w:rPr>
        <w:t>深圳市蓝投贸易有限公司（简称“蓝投公司”）股权价值的评估结果作为定价依据 </w:t>
      </w:r>
      <w:r>
        <w:rPr>
          <w:w w:val="95"/>
        </w:rPr>
        <w:t>，</w:t>
      </w:r>
      <w:r>
        <w:rPr>
          <w:spacing w:val="-31"/>
          <w:w w:val="95"/>
        </w:rPr>
        <w:t> </w:t>
      </w:r>
      <w:r>
        <w:rPr>
          <w:spacing w:val="-31"/>
          <w:w w:val="95"/>
        </w:rPr>
      </w:r>
      <w:r>
        <w:rPr/>
        <w:t>将果菜公司持有的蓝投公司</w:t>
      </w:r>
      <w:r>
        <w:rPr>
          <w:spacing w:val="-61"/>
        </w:rPr>
        <w:t> </w:t>
      </w:r>
      <w:r>
        <w:rPr>
          <w:rFonts w:ascii="Times New Roman" w:hAnsi="Times New Roman" w:cs="Times New Roman" w:eastAsia="Times New Roman" w:hint="default"/>
        </w:rPr>
        <w:t>100%</w:t>
      </w:r>
      <w:r>
        <w:rPr/>
        <w:t>股权在市产权交易中心以公开挂牌方式出让。</w:t>
      </w:r>
    </w:p>
    <w:p>
      <w:pPr>
        <w:pStyle w:val="BodyText"/>
        <w:spacing w:line="338" w:lineRule="auto" w:before="16"/>
        <w:ind w:left="137" w:right="165"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日办理了签约手续，果菜公司将其持有的蓝投公司</w:t>
      </w:r>
      <w:r>
        <w:rPr>
          <w:spacing w:val="-60"/>
        </w:rPr>
        <w:t> </w:t>
      </w:r>
      <w:r>
        <w:rPr>
          <w:rFonts w:ascii="Times New Roman" w:hAnsi="Times New Roman" w:cs="Times New Roman" w:eastAsia="Times New Roman" w:hint="default"/>
        </w:rPr>
        <w:t>100</w:t>
      </w:r>
      <w:r>
        <w:rPr/>
        <w:t>％的 </w:t>
      </w:r>
      <w:r>
        <w:rPr>
          <w:spacing w:val="-3"/>
        </w:rPr>
        <w:t>股权，以人民币</w:t>
      </w:r>
      <w:r>
        <w:rPr>
          <w:spacing w:val="-73"/>
        </w:rPr>
        <w:t> </w:t>
      </w:r>
      <w:r>
        <w:rPr>
          <w:rFonts w:ascii="Times New Roman" w:hAnsi="Times New Roman" w:cs="Times New Roman" w:eastAsia="Times New Roman" w:hint="default"/>
        </w:rPr>
        <w:t>2398</w:t>
      </w:r>
      <w:r>
        <w:rPr>
          <w:rFonts w:ascii="Times New Roman" w:hAnsi="Times New Roman" w:cs="Times New Roman" w:eastAsia="Times New Roman" w:hint="default"/>
          <w:spacing w:val="-13"/>
        </w:rPr>
        <w:t> </w:t>
      </w:r>
      <w:r>
        <w:rPr/>
        <w:t>万元的价格（评估值：</w:t>
      </w:r>
      <w:r>
        <w:rPr>
          <w:rFonts w:ascii="Times New Roman" w:hAnsi="Times New Roman" w:cs="Times New Roman" w:eastAsia="Times New Roman" w:hint="default"/>
        </w:rPr>
        <w:t>2301.5</w:t>
      </w:r>
      <w:r>
        <w:rPr>
          <w:rFonts w:ascii="Times New Roman" w:hAnsi="Times New Roman" w:cs="Times New Roman" w:eastAsia="Times New Roman" w:hint="default"/>
          <w:spacing w:val="-13"/>
        </w:rPr>
        <w:t> </w:t>
      </w:r>
      <w:r>
        <w:rPr/>
        <w:t>万元）挂牌协议转让给深圳市 盈达投资有限公司，交易价款一次性付清。</w:t>
      </w:r>
    </w:p>
    <w:p>
      <w:pPr>
        <w:pStyle w:val="BodyText"/>
        <w:spacing w:line="240" w:lineRule="auto" w:before="55"/>
        <w:ind w:left="617" w:right="0"/>
        <w:jc w:val="left"/>
      </w:pPr>
      <w:r>
        <w:rPr/>
        <w:t>本次交易将为公司带来税后净收益约 </w:t>
      </w:r>
      <w:r>
        <w:rPr>
          <w:rFonts w:ascii="Times New Roman" w:hAnsi="Times New Roman" w:cs="Times New Roman" w:eastAsia="Times New Roman" w:hint="default"/>
        </w:rPr>
        <w:t>1750 </w:t>
      </w:r>
      <w:r>
        <w:rPr/>
        <w:t>万元（以最终审计数为准</w:t>
      </w:r>
      <w:r>
        <w:rPr>
          <w:spacing w:val="-118"/>
        </w:rPr>
        <w:t>）</w:t>
      </w:r>
      <w:r>
        <w:rPr/>
        <w:t>。</w:t>
      </w:r>
    </w:p>
    <w:p>
      <w:pPr>
        <w:pStyle w:val="BodyText"/>
        <w:spacing w:line="357" w:lineRule="auto" w:before="135"/>
        <w:ind w:left="137" w:right="165" w:firstLine="468"/>
        <w:jc w:val="both"/>
      </w:pPr>
      <w:r>
        <w:rPr/>
        <w:t>（详见</w:t>
      </w:r>
      <w:r>
        <w:rPr>
          <w:spacing w:val="-60"/>
        </w:rPr>
        <w:t> </w:t>
      </w:r>
      <w:r>
        <w:rPr/>
        <w:t>2009</w:t>
      </w:r>
      <w:r>
        <w:rPr>
          <w:spacing w:val="-60"/>
        </w:rPr>
        <w:t> </w:t>
      </w:r>
      <w:r>
        <w:rPr/>
        <w:t>年</w:t>
      </w:r>
      <w:r>
        <w:rPr>
          <w:spacing w:val="-60"/>
        </w:rPr>
        <w:t> </w:t>
      </w:r>
      <w:r>
        <w:rPr/>
        <w:t>2</w:t>
      </w:r>
      <w:r>
        <w:rPr>
          <w:spacing w:val="-60"/>
        </w:rPr>
        <w:t> </w:t>
      </w:r>
      <w:r>
        <w:rPr/>
        <w:t>月</w:t>
      </w:r>
      <w:r>
        <w:rPr>
          <w:spacing w:val="-60"/>
        </w:rPr>
        <w:t> </w:t>
      </w:r>
      <w:r>
        <w:rPr/>
        <w:t>20</w:t>
      </w:r>
      <w:r>
        <w:rPr>
          <w:spacing w:val="-60"/>
        </w:rPr>
        <w:t> </w:t>
      </w:r>
      <w:r>
        <w:rPr/>
        <w:t>日和</w:t>
      </w:r>
      <w:r>
        <w:rPr>
          <w:spacing w:val="-60"/>
        </w:rPr>
        <w:t> </w:t>
      </w:r>
      <w:r>
        <w:rPr/>
        <w:t>2009</w:t>
      </w:r>
      <w:r>
        <w:rPr>
          <w:spacing w:val="-60"/>
        </w:rPr>
        <w:t> </w:t>
      </w:r>
      <w:r>
        <w:rPr/>
        <w:t>年</w:t>
      </w:r>
      <w:r>
        <w:rPr>
          <w:spacing w:val="-60"/>
        </w:rPr>
        <w:t> </w:t>
      </w:r>
      <w:r>
        <w:rPr/>
        <w:t>10</w:t>
      </w:r>
      <w:r>
        <w:rPr>
          <w:spacing w:val="-60"/>
        </w:rPr>
        <w:t> </w:t>
      </w:r>
      <w:r>
        <w:rPr/>
        <w:t>月</w:t>
      </w:r>
      <w:r>
        <w:rPr>
          <w:spacing w:val="-60"/>
        </w:rPr>
        <w:t> </w:t>
      </w:r>
      <w:r>
        <w:rPr/>
        <w:t>28</w:t>
      </w:r>
      <w:r>
        <w:rPr>
          <w:spacing w:val="-60"/>
        </w:rPr>
        <w:t> </w:t>
      </w:r>
      <w:r>
        <w:rPr>
          <w:spacing w:val="-4"/>
        </w:rPr>
        <w:t>日刊登在《证券时报》、《中国</w:t>
      </w:r>
      <w:r>
        <w:rPr/>
        <w:t> 证券报》、《上海证券报》和巨潮资讯网上的公司公告）</w:t>
      </w:r>
    </w:p>
    <w:p>
      <w:pPr>
        <w:pStyle w:val="Heading5"/>
        <w:spacing w:line="378" w:lineRule="exact"/>
        <w:ind w:left="617" w:right="0"/>
        <w:jc w:val="left"/>
        <w:rPr>
          <w:b w:val="0"/>
          <w:bCs w:val="0"/>
        </w:rPr>
      </w:pPr>
      <w:r>
        <w:rPr/>
        <w:t>5、金信信托股权转让事项</w:t>
      </w:r>
      <w:r>
        <w:rPr>
          <w:b w:val="0"/>
          <w:bCs w:val="0"/>
        </w:rPr>
      </w:r>
    </w:p>
    <w:p>
      <w:pPr>
        <w:pStyle w:val="BodyText"/>
        <w:spacing w:line="357" w:lineRule="auto" w:before="126"/>
        <w:ind w:left="137" w:right="165" w:firstLine="480"/>
        <w:jc w:val="both"/>
      </w:pPr>
      <w:r>
        <w:rPr/>
        <w:t>2009年4月9日，公司刊登《第五届董事会第二十次会议决议公告》，同意公 </w:t>
      </w:r>
      <w:r>
        <w:rPr>
          <w:spacing w:val="-2"/>
        </w:rPr>
        <w:t>司转让所持金信信托股份。公司将持有的全部金信信托股份1亿股一次性转让给浙</w:t>
      </w:r>
      <w:r>
        <w:rPr>
          <w:spacing w:val="-107"/>
        </w:rPr>
        <w:t> </w:t>
      </w:r>
      <w:r>
        <w:rPr>
          <w:spacing w:val="-107"/>
        </w:rPr>
      </w:r>
      <w:r>
        <w:rPr/>
        <w:t>江省国际贸易集团有限公司，股份转让价格为每股1元人民币，总计转让款为1亿 元人民币。该交易已于2009年6月30日前全部完成。</w:t>
      </w:r>
    </w:p>
    <w:p>
      <w:pPr>
        <w:pStyle w:val="BodyText"/>
        <w:spacing w:line="240" w:lineRule="auto"/>
        <w:ind w:left="617" w:right="0"/>
        <w:jc w:val="left"/>
      </w:pPr>
      <w:r>
        <w:rPr/>
        <w:t>公司对金信信托的长期投资已于2005年、2006年共计提了1亿元投资减值准</w:t>
      </w:r>
    </w:p>
    <w:p>
      <w:pPr>
        <w:spacing w:after="0" w:line="240" w:lineRule="auto"/>
        <w:jc w:val="left"/>
        <w:sectPr>
          <w:pgSz w:w="11910" w:h="16840"/>
          <w:pgMar w:header="859" w:footer="835" w:top="1420" w:bottom="1020" w:left="1660" w:right="1480"/>
        </w:sectPr>
      </w:pPr>
    </w:p>
    <w:p>
      <w:pPr>
        <w:pStyle w:val="BodyText"/>
        <w:spacing w:line="240" w:lineRule="auto" w:before="96"/>
        <w:ind w:left="137" w:right="0"/>
        <w:jc w:val="left"/>
      </w:pPr>
      <w:r>
        <w:rPr/>
        <w:pict>
          <v:group style="position:absolute;margin-left:88.799995pt;margin-top:6.335606pt;width:425.2pt;height:.1pt;mso-position-horizontal-relative:page;mso-position-vertical-relative:paragraph;z-index:-1140952" coordorigin="1776,127" coordsize="8504,2">
            <v:shape style="position:absolute;left:1776;top:127;width:8504;height:2" coordorigin="1776,127" coordsize="8504,0" path="m1776,127l10279,127e" filled="false" stroked="true" strokeweight=".72pt" strokecolor="#000008">
              <v:path arrowok="t"/>
            </v:shape>
            <w10:wrap type="none"/>
          </v:group>
        </w:pict>
      </w:r>
      <w:r>
        <w:rPr/>
        <w:t>备，此次股份转让收入将增加公司2009年税前收益1亿元（以最终审计数为准）。</w:t>
      </w:r>
    </w:p>
    <w:p>
      <w:pPr>
        <w:pStyle w:val="BodyText"/>
        <w:spacing w:line="357" w:lineRule="auto" w:before="154"/>
        <w:ind w:left="137" w:right="153" w:firstLine="470"/>
        <w:jc w:val="left"/>
      </w:pPr>
      <w:r>
        <w:rPr/>
        <w:t>（详见</w:t>
      </w:r>
      <w:r>
        <w:rPr>
          <w:spacing w:val="-57"/>
        </w:rPr>
        <w:t> </w:t>
      </w:r>
      <w:r>
        <w:rPr/>
        <w:t>2009</w:t>
      </w:r>
      <w:r>
        <w:rPr>
          <w:spacing w:val="-57"/>
        </w:rPr>
        <w:t> </w:t>
      </w:r>
      <w:r>
        <w:rPr/>
        <w:t>年</w:t>
      </w:r>
      <w:r>
        <w:rPr>
          <w:spacing w:val="-57"/>
        </w:rPr>
        <w:t> </w:t>
      </w:r>
      <w:r>
        <w:rPr/>
        <w:t>4</w:t>
      </w:r>
      <w:r>
        <w:rPr>
          <w:spacing w:val="-57"/>
        </w:rPr>
        <w:t> </w:t>
      </w:r>
      <w:r>
        <w:rPr/>
        <w:t>月</w:t>
      </w:r>
      <w:r>
        <w:rPr>
          <w:spacing w:val="-57"/>
        </w:rPr>
        <w:t> </w:t>
      </w:r>
      <w:r>
        <w:rPr/>
        <w:t>9</w:t>
      </w:r>
      <w:r>
        <w:rPr>
          <w:spacing w:val="-57"/>
        </w:rPr>
        <w:t> </w:t>
      </w:r>
      <w:r>
        <w:rPr>
          <w:spacing w:val="-3"/>
        </w:rPr>
        <w:t>日刊登在《证券时报》、《中国证券报》、《上海证券</w:t>
      </w:r>
      <w:r>
        <w:rPr/>
        <w:t> 报》和巨潮资讯网上的公司公告）</w:t>
      </w:r>
    </w:p>
    <w:p>
      <w:pPr>
        <w:pStyle w:val="Heading5"/>
        <w:spacing w:line="378" w:lineRule="exact"/>
        <w:ind w:left="617" w:right="0"/>
        <w:jc w:val="left"/>
        <w:rPr>
          <w:b w:val="0"/>
          <w:bCs w:val="0"/>
        </w:rPr>
      </w:pPr>
      <w:r>
        <w:rPr/>
        <w:t>6、深深宝股权减持事项</w:t>
      </w:r>
      <w:r>
        <w:rPr>
          <w:b w:val="0"/>
          <w:bCs w:val="0"/>
        </w:rPr>
      </w:r>
    </w:p>
    <w:p>
      <w:pPr>
        <w:pStyle w:val="BodyText"/>
        <w:spacing w:line="240" w:lineRule="auto" w:before="126"/>
        <w:ind w:left="617" w:right="0"/>
        <w:jc w:val="left"/>
      </w:pPr>
      <w:r>
        <w:rPr/>
        <w:t>2009</w:t>
      </w:r>
      <w:r>
        <w:rPr>
          <w:spacing w:val="-60"/>
        </w:rPr>
        <w:t> </w:t>
      </w:r>
      <w:r>
        <w:rPr/>
        <w:t>年</w:t>
      </w:r>
      <w:r>
        <w:rPr>
          <w:spacing w:val="-60"/>
        </w:rPr>
        <w:t> </w:t>
      </w:r>
      <w:r>
        <w:rPr/>
        <w:t>6</w:t>
      </w:r>
      <w:r>
        <w:rPr>
          <w:spacing w:val="-60"/>
        </w:rPr>
        <w:t> </w:t>
      </w:r>
      <w:r>
        <w:rPr/>
        <w:t>月</w:t>
      </w:r>
      <w:r>
        <w:rPr>
          <w:spacing w:val="-60"/>
        </w:rPr>
        <w:t> </w:t>
      </w:r>
      <w:r>
        <w:rPr/>
        <w:t>22</w:t>
      </w:r>
      <w:r>
        <w:rPr>
          <w:spacing w:val="-60"/>
        </w:rPr>
        <w:t> </w:t>
      </w:r>
      <w:r>
        <w:rPr/>
        <w:t>日至</w:t>
      </w:r>
      <w:r>
        <w:rPr>
          <w:spacing w:val="-60"/>
        </w:rPr>
        <w:t> </w:t>
      </w:r>
      <w:r>
        <w:rPr/>
        <w:t>2009</w:t>
      </w:r>
      <w:r>
        <w:rPr>
          <w:spacing w:val="-60"/>
        </w:rPr>
        <w:t> </w:t>
      </w:r>
      <w:r>
        <w:rPr/>
        <w:t>年</w:t>
      </w:r>
      <w:r>
        <w:rPr>
          <w:spacing w:val="-60"/>
        </w:rPr>
        <w:t> </w:t>
      </w:r>
      <w:r>
        <w:rPr/>
        <w:t>6</w:t>
      </w:r>
      <w:r>
        <w:rPr>
          <w:spacing w:val="-60"/>
        </w:rPr>
        <w:t> </w:t>
      </w:r>
      <w:r>
        <w:rPr/>
        <w:t>月</w:t>
      </w:r>
      <w:r>
        <w:rPr>
          <w:spacing w:val="-60"/>
        </w:rPr>
        <w:t> </w:t>
      </w:r>
      <w:r>
        <w:rPr/>
        <w:t>23</w:t>
      </w:r>
      <w:r>
        <w:rPr>
          <w:spacing w:val="-60"/>
        </w:rPr>
        <w:t> </w:t>
      </w:r>
      <w:r>
        <w:rPr/>
        <w:t>日</w:t>
      </w:r>
      <w:r>
        <w:rPr>
          <w:spacing w:val="-116"/>
        </w:rPr>
        <w:t>，</w:t>
      </w:r>
      <w:r>
        <w:rPr/>
        <w:t>公司通过集中竞价交易减持所持</w:t>
      </w:r>
      <w:r>
        <w:rPr>
          <w:spacing w:val="-3"/>
        </w:rPr>
        <w:t>深</w:t>
      </w:r>
      <w:r>
        <w:rPr/>
        <w:t>深</w:t>
      </w:r>
    </w:p>
    <w:p>
      <w:pPr>
        <w:pStyle w:val="BodyText"/>
        <w:spacing w:line="357" w:lineRule="auto" w:before="154"/>
        <w:ind w:left="137" w:right="175"/>
        <w:jc w:val="left"/>
      </w:pPr>
      <w:r>
        <w:rPr/>
        <w:t>宝股权</w:t>
      </w:r>
      <w:r>
        <w:rPr>
          <w:spacing w:val="-51"/>
        </w:rPr>
        <w:t> </w:t>
      </w:r>
      <w:r>
        <w:rPr/>
        <w:t>1,402,000</w:t>
      </w:r>
      <w:r>
        <w:rPr>
          <w:spacing w:val="-51"/>
        </w:rPr>
        <w:t> </w:t>
      </w:r>
      <w:r>
        <w:rPr/>
        <w:t>股，占深深宝总股本的</w:t>
      </w:r>
      <w:r>
        <w:rPr>
          <w:spacing w:val="-53"/>
        </w:rPr>
        <w:t> </w:t>
      </w:r>
      <w:r>
        <w:rPr/>
        <w:t>0.77％，转让总价款为</w:t>
      </w:r>
      <w:r>
        <w:rPr>
          <w:spacing w:val="-51"/>
        </w:rPr>
        <w:t> </w:t>
      </w:r>
      <w:r>
        <w:rPr/>
        <w:t>11,638,849.37</w:t>
      </w:r>
      <w:r>
        <w:rPr/>
        <w:t> 元。</w:t>
      </w:r>
    </w:p>
    <w:p>
      <w:pPr>
        <w:pStyle w:val="BodyText"/>
        <w:spacing w:line="240" w:lineRule="auto"/>
        <w:ind w:left="617" w:right="0"/>
        <w:jc w:val="left"/>
      </w:pPr>
      <w:r>
        <w:rPr/>
        <w:t>2009</w:t>
      </w:r>
      <w:r>
        <w:rPr>
          <w:spacing w:val="-60"/>
        </w:rPr>
        <w:t> </w:t>
      </w:r>
      <w:r>
        <w:rPr/>
        <w:t>年</w:t>
      </w:r>
      <w:r>
        <w:rPr>
          <w:spacing w:val="-60"/>
        </w:rPr>
        <w:t> </w:t>
      </w:r>
      <w:r>
        <w:rPr/>
        <w:t>8</w:t>
      </w:r>
      <w:r>
        <w:rPr>
          <w:spacing w:val="-60"/>
        </w:rPr>
        <w:t> </w:t>
      </w:r>
      <w:r>
        <w:rPr/>
        <w:t>月</w:t>
      </w:r>
      <w:r>
        <w:rPr>
          <w:spacing w:val="-60"/>
        </w:rPr>
        <w:t> </w:t>
      </w:r>
      <w:r>
        <w:rPr/>
        <w:t>25</w:t>
      </w:r>
      <w:r>
        <w:rPr>
          <w:spacing w:val="-60"/>
        </w:rPr>
        <w:t> </w:t>
      </w:r>
      <w:r>
        <w:rPr/>
        <w:t>日至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2</w:t>
      </w:r>
      <w:r>
        <w:rPr>
          <w:spacing w:val="-60"/>
        </w:rPr>
        <w:t> </w:t>
      </w:r>
      <w:r>
        <w:rPr/>
        <w:t>日</w:t>
      </w:r>
      <w:r>
        <w:rPr>
          <w:spacing w:val="-116"/>
        </w:rPr>
        <w:t>，</w:t>
      </w:r>
      <w:r>
        <w:rPr/>
        <w:t>公司通过集中竞价交易减持所持</w:t>
      </w:r>
      <w:r>
        <w:rPr>
          <w:spacing w:val="-3"/>
        </w:rPr>
        <w:t>深</w:t>
      </w:r>
      <w:r>
        <w:rPr/>
        <w:t>深</w:t>
      </w:r>
    </w:p>
    <w:p>
      <w:pPr>
        <w:pStyle w:val="BodyText"/>
        <w:spacing w:line="357" w:lineRule="auto" w:before="154"/>
        <w:ind w:left="137" w:right="175"/>
        <w:jc w:val="left"/>
      </w:pPr>
      <w:r>
        <w:rPr/>
        <w:t>宝股权</w:t>
      </w:r>
      <w:r>
        <w:rPr>
          <w:spacing w:val="-51"/>
        </w:rPr>
        <w:t> </w:t>
      </w:r>
      <w:r>
        <w:rPr/>
        <w:t>1,402,084</w:t>
      </w:r>
      <w:r>
        <w:rPr>
          <w:spacing w:val="-51"/>
        </w:rPr>
        <w:t> </w:t>
      </w:r>
      <w:r>
        <w:rPr/>
        <w:t>股，占深深宝总股本的</w:t>
      </w:r>
      <w:r>
        <w:rPr>
          <w:spacing w:val="-53"/>
        </w:rPr>
        <w:t> </w:t>
      </w:r>
      <w:r>
        <w:rPr/>
        <w:t>0.77％，转让总价款为</w:t>
      </w:r>
      <w:r>
        <w:rPr>
          <w:spacing w:val="-51"/>
        </w:rPr>
        <w:t> </w:t>
      </w:r>
      <w:r>
        <w:rPr/>
        <w:t>13,696,744.91</w:t>
      </w:r>
      <w:r>
        <w:rPr/>
        <w:t> 元。</w:t>
      </w:r>
    </w:p>
    <w:p>
      <w:pPr>
        <w:pStyle w:val="BodyText"/>
        <w:spacing w:line="240" w:lineRule="auto"/>
        <w:ind w:left="617" w:right="0"/>
        <w:jc w:val="left"/>
      </w:pPr>
      <w:r>
        <w:rPr/>
        <w:t>2009</w:t>
      </w:r>
      <w:r>
        <w:rPr>
          <w:spacing w:val="-60"/>
        </w:rPr>
        <w:t> </w:t>
      </w:r>
      <w:r>
        <w:rPr/>
        <w:t>年</w:t>
      </w:r>
      <w:r>
        <w:rPr>
          <w:spacing w:val="-60"/>
        </w:rPr>
        <w:t> </w:t>
      </w:r>
      <w:r>
        <w:rPr/>
        <w:t>12</w:t>
      </w:r>
      <w:r>
        <w:rPr>
          <w:spacing w:val="-60"/>
        </w:rPr>
        <w:t> </w:t>
      </w:r>
      <w:r>
        <w:rPr/>
        <w:t>月</w:t>
      </w:r>
      <w:r>
        <w:rPr>
          <w:spacing w:val="-60"/>
        </w:rPr>
        <w:t> </w:t>
      </w:r>
      <w:r>
        <w:rPr/>
        <w:t>29</w:t>
      </w:r>
      <w:r>
        <w:rPr>
          <w:spacing w:val="-60"/>
        </w:rPr>
        <w:t> </w:t>
      </w:r>
      <w:r>
        <w:rPr/>
        <w:t>日</w:t>
      </w:r>
      <w:r>
        <w:rPr>
          <w:spacing w:val="-116"/>
        </w:rPr>
        <w:t>，</w:t>
      </w:r>
      <w:r>
        <w:rPr/>
        <w:t>公司通过集中竞价交易减持所持深深宝股权</w:t>
      </w:r>
      <w:r>
        <w:rPr>
          <w:spacing w:val="-63"/>
        </w:rPr>
        <w:t> </w:t>
      </w:r>
      <w:r>
        <w:rPr/>
        <w:t>295,000</w:t>
      </w:r>
      <w:r>
        <w:rPr>
          <w:spacing w:val="-60"/>
        </w:rPr>
        <w:t> </w:t>
      </w:r>
      <w:r>
        <w:rPr/>
        <w:t>股</w:t>
      </w:r>
      <w:r>
        <w:rPr>
          <w:w w:val="51"/>
        </w:rPr>
        <w:t>，</w:t>
      </w:r>
      <w:r>
        <w:rPr/>
      </w:r>
    </w:p>
    <w:p>
      <w:pPr>
        <w:pStyle w:val="BodyText"/>
        <w:spacing w:line="240" w:lineRule="auto" w:before="154"/>
        <w:ind w:left="137" w:right="0"/>
        <w:jc w:val="left"/>
      </w:pPr>
      <w:r>
        <w:rPr/>
        <w:t>转让总价款为</w:t>
      </w:r>
      <w:r>
        <w:rPr>
          <w:spacing w:val="-60"/>
        </w:rPr>
        <w:t> </w:t>
      </w:r>
      <w:r>
        <w:rPr/>
        <w:t>3,081,309.00</w:t>
      </w:r>
      <w:r>
        <w:rPr>
          <w:spacing w:val="-60"/>
        </w:rPr>
        <w:t> </w:t>
      </w:r>
      <w:r>
        <w:rPr/>
        <w:t>元。</w:t>
      </w:r>
    </w:p>
    <w:p>
      <w:pPr>
        <w:pStyle w:val="BodyText"/>
        <w:spacing w:line="240" w:lineRule="auto" w:before="154"/>
        <w:ind w:left="617" w:right="0"/>
        <w:jc w:val="left"/>
      </w:pPr>
      <w:r>
        <w:rPr/>
        <w:t>上述减持给公司增加税前收益约</w:t>
      </w:r>
      <w:r>
        <w:rPr>
          <w:spacing w:val="-60"/>
        </w:rPr>
        <w:t> </w:t>
      </w:r>
      <w:r>
        <w:rPr/>
        <w:t>1960</w:t>
      </w:r>
      <w:r>
        <w:rPr>
          <w:spacing w:val="-60"/>
        </w:rPr>
        <w:t> </w:t>
      </w:r>
      <w:r>
        <w:rPr/>
        <w:t>万元（以最终审计数为准）。</w:t>
      </w:r>
    </w:p>
    <w:p>
      <w:pPr>
        <w:pStyle w:val="BodyText"/>
        <w:spacing w:line="357" w:lineRule="auto" w:before="154"/>
        <w:ind w:left="137" w:right="151" w:firstLine="441"/>
        <w:jc w:val="left"/>
      </w:pPr>
      <w:r>
        <w:rPr/>
        <w:t>（详见</w:t>
      </w:r>
      <w:r>
        <w:rPr>
          <w:spacing w:val="-62"/>
        </w:rPr>
        <w:t> </w:t>
      </w:r>
      <w:r>
        <w:rPr/>
        <w:t>2009</w:t>
      </w:r>
      <w:r>
        <w:rPr>
          <w:spacing w:val="-62"/>
        </w:rPr>
        <w:t> </w:t>
      </w:r>
      <w:r>
        <w:rPr/>
        <w:t>年</w:t>
      </w:r>
      <w:r>
        <w:rPr>
          <w:spacing w:val="-62"/>
        </w:rPr>
        <w:t> </w:t>
      </w:r>
      <w:r>
        <w:rPr/>
        <w:t>6</w:t>
      </w:r>
      <w:r>
        <w:rPr>
          <w:spacing w:val="-62"/>
        </w:rPr>
        <w:t> </w:t>
      </w:r>
      <w:r>
        <w:rPr/>
        <w:t>月</w:t>
      </w:r>
      <w:r>
        <w:rPr>
          <w:spacing w:val="-62"/>
        </w:rPr>
        <w:t> </w:t>
      </w:r>
      <w:r>
        <w:rPr/>
        <w:t>25</w:t>
      </w:r>
      <w:r>
        <w:rPr>
          <w:spacing w:val="-62"/>
        </w:rPr>
        <w:t> </w:t>
      </w:r>
      <w:r>
        <w:rPr/>
        <w:t>日</w:t>
      </w:r>
      <w:r>
        <w:rPr>
          <w:spacing w:val="-102"/>
        </w:rPr>
        <w:t> </w:t>
      </w:r>
      <w:r>
        <w:rPr>
          <w:spacing w:val="-5"/>
        </w:rPr>
        <w:t>、2009</w:t>
      </w:r>
      <w:r>
        <w:rPr>
          <w:spacing w:val="-62"/>
        </w:rPr>
        <w:t> </w:t>
      </w:r>
      <w:r>
        <w:rPr/>
        <w:t>年</w:t>
      </w:r>
      <w:r>
        <w:rPr>
          <w:spacing w:val="-62"/>
        </w:rPr>
        <w:t> </w:t>
      </w:r>
      <w:r>
        <w:rPr/>
        <w:t>12</w:t>
      </w:r>
      <w:r>
        <w:rPr>
          <w:spacing w:val="-62"/>
        </w:rPr>
        <w:t> </w:t>
      </w:r>
      <w:r>
        <w:rPr/>
        <w:t>月</w:t>
      </w:r>
      <w:r>
        <w:rPr>
          <w:spacing w:val="-62"/>
        </w:rPr>
        <w:t> </w:t>
      </w:r>
      <w:r>
        <w:rPr/>
        <w:t>4</w:t>
      </w:r>
      <w:r>
        <w:rPr>
          <w:spacing w:val="-62"/>
        </w:rPr>
        <w:t> </w:t>
      </w:r>
      <w:r>
        <w:rPr/>
        <w:t>日和</w:t>
      </w:r>
      <w:r>
        <w:rPr>
          <w:spacing w:val="-62"/>
        </w:rPr>
        <w:t> </w:t>
      </w:r>
      <w:r>
        <w:rPr/>
        <w:t>2010</w:t>
      </w:r>
      <w:r>
        <w:rPr>
          <w:spacing w:val="-62"/>
        </w:rPr>
        <w:t> </w:t>
      </w:r>
      <w:r>
        <w:rPr/>
        <w:t>年</w:t>
      </w:r>
      <w:r>
        <w:rPr>
          <w:spacing w:val="-62"/>
        </w:rPr>
        <w:t> </w:t>
      </w:r>
      <w:r>
        <w:rPr/>
        <w:t>1</w:t>
      </w:r>
      <w:r>
        <w:rPr>
          <w:spacing w:val="-62"/>
        </w:rPr>
        <w:t> </w:t>
      </w:r>
      <w:r>
        <w:rPr/>
        <w:t>月</w:t>
      </w:r>
      <w:r>
        <w:rPr>
          <w:spacing w:val="-62"/>
        </w:rPr>
        <w:t> </w:t>
      </w:r>
      <w:r>
        <w:rPr/>
        <w:t>20</w:t>
      </w:r>
      <w:r>
        <w:rPr>
          <w:spacing w:val="-62"/>
        </w:rPr>
        <w:t> </w:t>
      </w:r>
      <w:r>
        <w:rPr>
          <w:spacing w:val="-7"/>
        </w:rPr>
        <w:t>日刊登在《证</w:t>
      </w:r>
      <w:r>
        <w:rPr/>
        <w:t> 券时报》、《中国证券报》、《上海证券报》和巨潮资讯网上的公司公告）</w:t>
      </w:r>
    </w:p>
    <w:p>
      <w:pPr>
        <w:pStyle w:val="Heading5"/>
        <w:spacing w:line="378" w:lineRule="exact"/>
        <w:ind w:left="617" w:right="0"/>
        <w:jc w:val="left"/>
        <w:rPr>
          <w:b w:val="0"/>
          <w:bCs w:val="0"/>
        </w:rPr>
      </w:pPr>
      <w:r>
        <w:rPr/>
        <w:t>7、寿光公司股权转让事项</w:t>
      </w:r>
      <w:r>
        <w:rPr>
          <w:b w:val="0"/>
          <w:bCs w:val="0"/>
        </w:rPr>
      </w:r>
    </w:p>
    <w:p>
      <w:pPr>
        <w:pStyle w:val="BodyText"/>
        <w:spacing w:line="357" w:lineRule="auto" w:before="126"/>
        <w:ind w:left="137" w:right="165" w:firstLine="480"/>
        <w:jc w:val="right"/>
      </w:pPr>
      <w:r>
        <w:rPr/>
        <w:t>经公司第五届董事会第二十六次会议审议通过，同意公司以上海立信资产评 估有限公司出具的资产评估报告书所对应的公司所持山东寿光蔬菜批发市场有限 </w:t>
      </w:r>
      <w:r>
        <w:rPr>
          <w:spacing w:val="-3"/>
        </w:rPr>
        <w:t>公司（简称“寿光公司”）54.41％股权的评估值人民币 </w:t>
      </w:r>
      <w:r>
        <w:rPr/>
        <w:t>86,539,482.24</w:t>
      </w:r>
      <w:r>
        <w:rPr>
          <w:spacing w:val="-95"/>
        </w:rPr>
        <w:t> </w:t>
      </w:r>
      <w:r>
        <w:rPr/>
        <w:t>元为作价</w:t>
      </w:r>
      <w:r>
        <w:rPr/>
        <w:t> </w:t>
      </w:r>
      <w:r>
        <w:rPr>
          <w:spacing w:val="-5"/>
        </w:rPr>
        <w:t>依据，转让公司所持寿光公司</w:t>
      </w:r>
      <w:r>
        <w:rPr>
          <w:spacing w:val="-40"/>
        </w:rPr>
        <w:t> </w:t>
      </w:r>
      <w:r>
        <w:rPr>
          <w:spacing w:val="-3"/>
        </w:rPr>
        <w:t>54.41％股权；董事会授权公司管理层根据国有资产</w:t>
      </w:r>
      <w:r>
        <w:rPr/>
        <w:t> 管理部门规定履行相关手续，以上述评估价为挂牌价向相关产权交易机构办理转 让上述股权的挂牌手续，成交且收到全部股权转让款后办理股权转让过户手续。 后公司与寿光市国有资产管理局签订《股权转让合同》，将所持有的寿光公</w:t>
      </w:r>
    </w:p>
    <w:p>
      <w:pPr>
        <w:pStyle w:val="BodyText"/>
        <w:spacing w:line="357" w:lineRule="auto"/>
        <w:ind w:left="137" w:right="146"/>
        <w:jc w:val="left"/>
      </w:pPr>
      <w:r>
        <w:rPr/>
        <w:t>司</w:t>
      </w:r>
      <w:r>
        <w:rPr>
          <w:spacing w:val="-88"/>
        </w:rPr>
        <w:t> </w:t>
      </w:r>
      <w:r>
        <w:rPr/>
        <w:t>54.41％股权转让给寿光市国有资产管理局，转让价格为人民币</w:t>
      </w:r>
      <w:r>
        <w:rPr>
          <w:spacing w:val="-89"/>
        </w:rPr>
        <w:t> </w:t>
      </w:r>
      <w:r>
        <w:rPr/>
        <w:t>86,539,485.87</w:t>
      </w:r>
      <w:r>
        <w:rPr/>
        <w:t> 元。相关股权转让过户手续已全部办理完毕。</w:t>
      </w:r>
    </w:p>
    <w:p>
      <w:pPr>
        <w:pStyle w:val="BodyText"/>
        <w:spacing w:line="240" w:lineRule="auto"/>
        <w:ind w:left="617" w:right="0"/>
        <w:jc w:val="left"/>
      </w:pPr>
      <w:r>
        <w:rPr/>
        <w:t>本次股权转让预计产生税后收益 2,100 万元左右（以最终审计数据为准）。</w:t>
      </w:r>
    </w:p>
    <w:p>
      <w:pPr>
        <w:pStyle w:val="BodyText"/>
        <w:spacing w:line="357" w:lineRule="auto" w:before="154"/>
        <w:ind w:left="137" w:right="0" w:firstLine="480"/>
        <w:jc w:val="left"/>
      </w:pPr>
      <w:r>
        <w:rPr/>
        <w:t>（详见</w:t>
      </w:r>
      <w:r>
        <w:rPr>
          <w:spacing w:val="-57"/>
        </w:rPr>
        <w:t> </w:t>
      </w:r>
      <w:r>
        <w:rPr/>
        <w:t>2009</w:t>
      </w:r>
      <w:r>
        <w:rPr>
          <w:spacing w:val="-57"/>
        </w:rPr>
        <w:t> </w:t>
      </w:r>
      <w:r>
        <w:rPr/>
        <w:t>年</w:t>
      </w:r>
      <w:r>
        <w:rPr>
          <w:spacing w:val="-57"/>
        </w:rPr>
        <w:t> </w:t>
      </w:r>
      <w:r>
        <w:rPr/>
        <w:t>10</w:t>
      </w:r>
      <w:r>
        <w:rPr>
          <w:spacing w:val="-57"/>
        </w:rPr>
        <w:t> </w:t>
      </w:r>
      <w:r>
        <w:rPr/>
        <w:t>月</w:t>
      </w:r>
      <w:r>
        <w:rPr>
          <w:spacing w:val="-57"/>
        </w:rPr>
        <w:t> </w:t>
      </w:r>
      <w:r>
        <w:rPr/>
        <w:t>24</w:t>
      </w:r>
      <w:r>
        <w:rPr>
          <w:spacing w:val="-59"/>
        </w:rPr>
        <w:t> </w:t>
      </w:r>
      <w:r>
        <w:rPr/>
        <w:t>日和</w:t>
      </w:r>
      <w:r>
        <w:rPr>
          <w:spacing w:val="-55"/>
        </w:rPr>
        <w:t> </w:t>
      </w:r>
      <w:r>
        <w:rPr/>
        <w:t>2009</w:t>
      </w:r>
      <w:r>
        <w:rPr>
          <w:spacing w:val="-57"/>
        </w:rPr>
        <w:t> </w:t>
      </w:r>
      <w:r>
        <w:rPr/>
        <w:t>年</w:t>
      </w:r>
      <w:r>
        <w:rPr>
          <w:spacing w:val="-57"/>
        </w:rPr>
        <w:t> </w:t>
      </w:r>
      <w:r>
        <w:rPr/>
        <w:t>12</w:t>
      </w:r>
      <w:r>
        <w:rPr>
          <w:spacing w:val="-57"/>
        </w:rPr>
        <w:t> </w:t>
      </w:r>
      <w:r>
        <w:rPr/>
        <w:t>月</w:t>
      </w:r>
      <w:r>
        <w:rPr>
          <w:spacing w:val="-59"/>
        </w:rPr>
        <w:t> </w:t>
      </w:r>
      <w:r>
        <w:rPr/>
        <w:t>29</w:t>
      </w:r>
      <w:r>
        <w:rPr>
          <w:spacing w:val="-57"/>
        </w:rPr>
        <w:t> </w:t>
      </w:r>
      <w:r>
        <w:rPr/>
        <w:t>日刊登在《证券时报》、《中</w:t>
      </w:r>
      <w:r>
        <w:rPr/>
        <w:t> 国证券报》、《上海证券报》、《证券日报》和巨潮资讯网上的公司公告）</w:t>
      </w:r>
    </w:p>
    <w:p>
      <w:pPr>
        <w:spacing w:after="0" w:line="357" w:lineRule="auto"/>
        <w:jc w:val="left"/>
        <w:sectPr>
          <w:pgSz w:w="11910" w:h="16840"/>
          <w:pgMar w:header="859" w:footer="835" w:top="1420" w:bottom="1020" w:left="1660" w:right="1480"/>
        </w:sectPr>
      </w:pPr>
    </w:p>
    <w:p>
      <w:pPr>
        <w:pStyle w:val="Heading5"/>
        <w:spacing w:line="268" w:lineRule="auto" w:before="19"/>
        <w:ind w:left="137" w:right="192" w:firstLine="480"/>
        <w:jc w:val="both"/>
        <w:rPr>
          <w:b w:val="0"/>
          <w:bCs w:val="0"/>
        </w:rPr>
      </w:pPr>
      <w:r>
        <w:rPr/>
        <w:pict>
          <v:group style="position:absolute;margin-left:88.799995pt;margin-top:6.30363pt;width:425.2pt;height:.1pt;mso-position-horizontal-relative:page;mso-position-vertical-relative:paragraph;z-index:-1140928" coordorigin="1776,126" coordsize="8504,2">
            <v:shape style="position:absolute;left:1776;top:126;width:8504;height:2" coordorigin="1776,126" coordsize="8504,0" path="m1776,126l10279,126e" filled="false" stroked="true" strokeweight=".72pt" strokecolor="#000008">
              <v:path arrowok="t"/>
            </v:shape>
            <w10:wrap type="none"/>
          </v:group>
        </w:pict>
      </w:r>
      <w:r>
        <w:rPr/>
        <w:t>第五节</w:t>
      </w:r>
      <w:r>
        <w:rPr>
          <w:spacing w:val="26"/>
        </w:rPr>
        <w:t> </w:t>
      </w:r>
      <w:r>
        <w:rPr/>
        <w:t>报告期内，公司股权激励方案的实施情况，以及对财务状况和经营</w:t>
      </w:r>
      <w:r>
        <w:rPr/>
        <w:t> 成果的影响</w:t>
      </w:r>
      <w:r>
        <w:rPr>
          <w:b w:val="0"/>
          <w:bCs w:val="0"/>
        </w:rPr>
      </w:r>
    </w:p>
    <w:p>
      <w:pPr>
        <w:spacing w:before="12"/>
        <w:ind w:left="61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一、公司股权激励方案实施情况</w:t>
      </w:r>
      <w:r>
        <w:rPr>
          <w:rFonts w:ascii="Microsoft JhengHei" w:hAnsi="Microsoft JhengHei" w:cs="Microsoft JhengHei" w:eastAsia="Microsoft JhengHei" w:hint="default"/>
          <w:sz w:val="24"/>
          <w:szCs w:val="24"/>
        </w:rPr>
      </w:r>
    </w:p>
    <w:p>
      <w:pPr>
        <w:pStyle w:val="BodyText"/>
        <w:spacing w:line="240" w:lineRule="auto" w:before="126"/>
        <w:ind w:left="617" w:right="0"/>
        <w:jc w:val="left"/>
      </w:pPr>
      <w:r>
        <w:rPr/>
        <w:t>（一）股权激励方案及认股计划实施情况</w:t>
      </w:r>
    </w:p>
    <w:p>
      <w:pPr>
        <w:pStyle w:val="BodyText"/>
        <w:spacing w:line="357" w:lineRule="auto" w:before="154"/>
        <w:ind w:left="137" w:right="165" w:firstLine="480"/>
        <w:jc w:val="both"/>
      </w:pPr>
      <w:r>
        <w:rPr/>
        <w:t>根据</w:t>
      </w:r>
      <w:r>
        <w:rPr>
          <w:spacing w:val="-60"/>
        </w:rPr>
        <w:t> </w:t>
      </w:r>
      <w:r>
        <w:rPr/>
        <w:t>2005 年公司实施的股权分置改革方案，公司原</w:t>
      </w:r>
      <w:r>
        <w:rPr>
          <w:spacing w:val="-60"/>
        </w:rPr>
        <w:t> </w:t>
      </w:r>
      <w:r>
        <w:rPr/>
        <w:t>11</w:t>
      </w:r>
      <w:r>
        <w:rPr>
          <w:spacing w:val="-60"/>
        </w:rPr>
        <w:t> </w:t>
      </w:r>
      <w:r>
        <w:rPr/>
        <w:t>家法人股东将其拥有</w:t>
      </w:r>
      <w:r>
        <w:rPr/>
        <w:t> 的农产品股份的</w:t>
      </w:r>
      <w:r>
        <w:rPr>
          <w:spacing w:val="-67"/>
        </w:rPr>
        <w:t> </w:t>
      </w:r>
      <w:r>
        <w:rPr>
          <w:spacing w:val="-5"/>
        </w:rPr>
        <w:t>50%，合计</w:t>
      </w:r>
      <w:r>
        <w:rPr>
          <w:spacing w:val="-70"/>
        </w:rPr>
        <w:t> </w:t>
      </w:r>
      <w:r>
        <w:rPr/>
        <w:t>26,204,253</w:t>
      </w:r>
      <w:r>
        <w:rPr>
          <w:spacing w:val="-14"/>
        </w:rPr>
        <w:t> </w:t>
      </w:r>
      <w:r>
        <w:rPr/>
        <w:t>股，按照不低于公司被批准为股权分置改</w:t>
      </w:r>
      <w:r>
        <w:rPr/>
        <w:t> 革试点公司前的交易日收盘价</w:t>
      </w:r>
      <w:r>
        <w:rPr>
          <w:spacing w:val="-60"/>
        </w:rPr>
        <w:t> </w:t>
      </w:r>
      <w:r>
        <w:rPr/>
        <w:t>3.4 元/股且不高于</w:t>
      </w:r>
      <w:r>
        <w:rPr>
          <w:spacing w:val="-60"/>
        </w:rPr>
        <w:t> </w:t>
      </w:r>
      <w:r>
        <w:rPr/>
        <w:t>3.66 元/股的价格（最终定为</w:t>
      </w:r>
    </w:p>
    <w:p>
      <w:pPr>
        <w:pStyle w:val="BodyText"/>
        <w:spacing w:line="357" w:lineRule="auto"/>
        <w:ind w:left="137" w:right="92"/>
        <w:jc w:val="left"/>
      </w:pPr>
      <w:r>
        <w:rPr/>
        <w:t>3.5</w:t>
      </w:r>
      <w:r>
        <w:rPr>
          <w:spacing w:val="-60"/>
        </w:rPr>
        <w:t> </w:t>
      </w:r>
      <w:r>
        <w:rPr/>
        <w:t>元/股）出售给公司管理层，建立公司管理层股权激励计划。该股权激励计划</w:t>
      </w:r>
      <w:r>
        <w:rPr/>
        <w:t> 作为公司股权分置改革方案的重要组成部分，已获国家国资委和深圳市国资委的</w:t>
      </w:r>
      <w:r>
        <w:rPr>
          <w:spacing w:val="-91"/>
        </w:rPr>
        <w:t> </w:t>
      </w:r>
      <w:r>
        <w:rPr>
          <w:spacing w:val="-91"/>
        </w:rPr>
      </w:r>
      <w:r>
        <w:rPr/>
        <w:t>批准，并报相关监管部门备案。该部分股权已过户到深圳国际信托投资有限责任</w:t>
      </w:r>
      <w:r>
        <w:rPr>
          <w:spacing w:val="-91"/>
        </w:rPr>
        <w:t> </w:t>
      </w:r>
      <w:r>
        <w:rPr>
          <w:spacing w:val="-91"/>
        </w:rPr>
      </w:r>
      <w:r>
        <w:rPr>
          <w:spacing w:val="-6"/>
        </w:rPr>
        <w:t>公司－农产品股权分置改革集合财产信托名下。公司</w:t>
      </w:r>
      <w:r>
        <w:rPr>
          <w:spacing w:val="-88"/>
        </w:rPr>
        <w:t> </w:t>
      </w:r>
      <w:r>
        <w:rPr/>
        <w:t>2005</w:t>
      </w:r>
      <w:r>
        <w:rPr>
          <w:spacing w:val="-85"/>
        </w:rPr>
        <w:t> </w:t>
      </w:r>
      <w:r>
        <w:rPr>
          <w:w w:val="97"/>
        </w:rPr>
        <w:t>年第二次临时股东大会</w:t>
      </w:r>
      <w:r>
        <w:rPr>
          <w:spacing w:val="-49"/>
          <w:w w:val="97"/>
        </w:rPr>
        <w:t> </w:t>
      </w:r>
      <w:r>
        <w:rPr>
          <w:w w:val="75"/>
        </w:rPr>
        <w:t>，</w:t>
      </w:r>
      <w:r>
        <w:rPr>
          <w:w w:val="75"/>
        </w:rPr>
        <w:t> </w:t>
      </w:r>
      <w:r>
        <w:rPr/>
        <w:t>审议通过了《深圳市农产品股份有限公司股权激励计划管理办法》和《深圳市农</w:t>
      </w:r>
      <w:r>
        <w:rPr>
          <w:spacing w:val="-91"/>
        </w:rPr>
        <w:t> </w:t>
      </w:r>
      <w:r>
        <w:rPr>
          <w:spacing w:val="-91"/>
        </w:rPr>
      </w:r>
      <w:r>
        <w:rPr/>
        <w:t>产品股份有限公司股权激励计划实施细则》。按照《深圳市农产品股份有限公司</w:t>
      </w:r>
      <w:r>
        <w:rPr>
          <w:spacing w:val="-91"/>
        </w:rPr>
        <w:t> </w:t>
      </w:r>
      <w:r>
        <w:rPr>
          <w:spacing w:val="-91"/>
        </w:rPr>
      </w:r>
      <w:r>
        <w:rPr/>
        <w:t>股权分置改革集合财产信托合同》、《深圳市农产品股份有限公司股权激励管理</w:t>
      </w:r>
      <w:r>
        <w:rPr>
          <w:spacing w:val="-91"/>
        </w:rPr>
        <w:t> </w:t>
      </w:r>
      <w:r>
        <w:rPr>
          <w:spacing w:val="-91"/>
        </w:rPr>
      </w:r>
      <w:r>
        <w:rPr/>
        <w:t>办法》及其实施细则的规定，公司股权激励计划分三期实施认股计划，若第三期</w:t>
      </w:r>
      <w:r>
        <w:rPr>
          <w:spacing w:val="-91"/>
        </w:rPr>
        <w:t> </w:t>
      </w:r>
      <w:r>
        <w:rPr>
          <w:spacing w:val="-91"/>
        </w:rPr>
      </w:r>
      <w:r>
        <w:rPr/>
        <w:t>认股计划实施完毕后，信托帐户中仍有剩余股票，薪酬与考核委员会可以再补充</w:t>
      </w:r>
      <w:r>
        <w:rPr>
          <w:spacing w:val="-91"/>
        </w:rPr>
        <w:t> </w:t>
      </w:r>
      <w:r>
        <w:rPr>
          <w:spacing w:val="-91"/>
        </w:rPr>
      </w:r>
      <w:r>
        <w:rPr/>
        <w:t>提交一期认股计划。</w:t>
      </w:r>
    </w:p>
    <w:p>
      <w:pPr>
        <w:pStyle w:val="BodyText"/>
        <w:spacing w:line="357" w:lineRule="auto"/>
        <w:ind w:left="137" w:right="171" w:firstLine="480"/>
        <w:jc w:val="both"/>
      </w:pPr>
      <w:r>
        <w:rPr/>
        <w:t>公司已分三期(2005</w:t>
      </w:r>
      <w:r>
        <w:rPr>
          <w:spacing w:val="-50"/>
        </w:rPr>
        <w:t> </w:t>
      </w:r>
      <w:r>
        <w:rPr/>
        <w:t>年度、2006</w:t>
      </w:r>
      <w:r>
        <w:rPr>
          <w:spacing w:val="-50"/>
        </w:rPr>
        <w:t> </w:t>
      </w:r>
      <w:r>
        <w:rPr/>
        <w:t>年度和</w:t>
      </w:r>
      <w:r>
        <w:rPr>
          <w:spacing w:val="-50"/>
        </w:rPr>
        <w:t> </w:t>
      </w:r>
      <w:r>
        <w:rPr/>
        <w:t>2007</w:t>
      </w:r>
      <w:r>
        <w:rPr>
          <w:spacing w:val="-50"/>
        </w:rPr>
        <w:t> </w:t>
      </w:r>
      <w:r>
        <w:rPr/>
        <w:t>年度)实施完成股权激励认股计</w:t>
      </w:r>
      <w:r>
        <w:rPr/>
        <w:t> 划，具体如下：</w:t>
      </w:r>
    </w:p>
    <w:p>
      <w:pPr>
        <w:pStyle w:val="BodyText"/>
        <w:spacing w:line="357" w:lineRule="auto"/>
        <w:ind w:left="137" w:right="165" w:firstLine="480"/>
        <w:jc w:val="both"/>
      </w:pPr>
      <w:r>
        <w:rPr/>
        <w:t>1、2005</w:t>
      </w:r>
      <w:r>
        <w:rPr>
          <w:spacing w:val="-87"/>
        </w:rPr>
        <w:t> </w:t>
      </w:r>
      <w:r>
        <w:rPr>
          <w:spacing w:val="-3"/>
        </w:rPr>
        <w:t>年度，公司实施了第一次股权激励认股计划，该次实施股权激励股份</w:t>
      </w:r>
      <w:r>
        <w:rPr/>
        <w:t> 数为</w:t>
      </w:r>
      <w:r>
        <w:rPr>
          <w:spacing w:val="-67"/>
        </w:rPr>
        <w:t> </w:t>
      </w:r>
      <w:r>
        <w:rPr/>
        <w:t>785.2</w:t>
      </w:r>
      <w:r>
        <w:rPr>
          <w:spacing w:val="-67"/>
        </w:rPr>
        <w:t> </w:t>
      </w:r>
      <w:r>
        <w:rPr/>
        <w:t>万股，参与股权激励认股计划的管理层及核心业务骨干共</w:t>
      </w:r>
      <w:r>
        <w:rPr>
          <w:spacing w:val="-67"/>
        </w:rPr>
        <w:t> </w:t>
      </w:r>
      <w:r>
        <w:rPr/>
        <w:t>69</w:t>
      </w:r>
      <w:r>
        <w:rPr>
          <w:spacing w:val="-67"/>
        </w:rPr>
        <w:t> </w:t>
      </w:r>
      <w:r>
        <w:rPr>
          <w:spacing w:val="-8"/>
        </w:rPr>
        <w:t>人，共交</w:t>
      </w:r>
    </w:p>
    <w:p>
      <w:pPr>
        <w:pStyle w:val="BodyText"/>
        <w:spacing w:line="240" w:lineRule="auto"/>
        <w:ind w:left="137" w:right="0"/>
        <w:jc w:val="left"/>
      </w:pPr>
      <w:r>
        <w:rPr/>
        <w:t>风险抵押金</w:t>
      </w:r>
      <w:r>
        <w:rPr>
          <w:spacing w:val="-48"/>
        </w:rPr>
        <w:t> </w:t>
      </w:r>
      <w:r>
        <w:rPr/>
        <w:t>628.16</w:t>
      </w:r>
      <w:r>
        <w:rPr>
          <w:spacing w:val="-48"/>
        </w:rPr>
        <w:t> </w:t>
      </w:r>
      <w:r>
        <w:rPr/>
        <w:t>万元。参与</w:t>
      </w:r>
      <w:r>
        <w:rPr>
          <w:spacing w:val="-48"/>
        </w:rPr>
        <w:t> </w:t>
      </w:r>
      <w:r>
        <w:rPr/>
        <w:t>2005</w:t>
      </w:r>
      <w:r>
        <w:rPr>
          <w:spacing w:val="-48"/>
        </w:rPr>
        <w:t> </w:t>
      </w:r>
      <w:r>
        <w:rPr/>
        <w:t>年度股权激励认股计划的公司董事、监事及</w:t>
      </w:r>
    </w:p>
    <w:p>
      <w:pPr>
        <w:pStyle w:val="BodyText"/>
        <w:spacing w:line="240" w:lineRule="auto" w:before="154"/>
        <w:ind w:left="137" w:right="0"/>
        <w:jc w:val="left"/>
      </w:pPr>
      <w:r>
        <w:rPr/>
        <w:t>高管人员的具体明细请见公司</w:t>
      </w:r>
      <w:r>
        <w:rPr>
          <w:spacing w:val="-60"/>
        </w:rPr>
        <w:t> </w:t>
      </w:r>
      <w:r>
        <w:rPr/>
        <w:t>2005</w:t>
      </w:r>
      <w:r>
        <w:rPr>
          <w:spacing w:val="-60"/>
        </w:rPr>
        <w:t> </w:t>
      </w:r>
      <w:r>
        <w:rPr/>
        <w:t>年度报告。</w:t>
      </w:r>
    </w:p>
    <w:p>
      <w:pPr>
        <w:pStyle w:val="BodyText"/>
        <w:spacing w:line="357" w:lineRule="auto" w:before="154"/>
        <w:ind w:left="137" w:right="165" w:firstLine="480"/>
        <w:jc w:val="both"/>
      </w:pPr>
      <w:r>
        <w:rPr/>
        <w:t>2、2006</w:t>
      </w:r>
      <w:r>
        <w:rPr>
          <w:spacing w:val="-87"/>
        </w:rPr>
        <w:t> </w:t>
      </w:r>
      <w:r>
        <w:rPr>
          <w:spacing w:val="-3"/>
        </w:rPr>
        <w:t>年度，公司实施第二次股权激励认股计划，该次实施股权激励股份数</w:t>
      </w:r>
      <w:r>
        <w:rPr/>
        <w:t> 为</w:t>
      </w:r>
      <w:r>
        <w:rPr>
          <w:spacing w:val="-60"/>
        </w:rPr>
        <w:t> </w:t>
      </w:r>
      <w:r>
        <w:rPr/>
        <w:t>1,302</w:t>
      </w:r>
      <w:r>
        <w:rPr>
          <w:spacing w:val="-60"/>
        </w:rPr>
        <w:t> </w:t>
      </w:r>
      <w:r>
        <w:rPr/>
        <w:t>万股，参与股权激励认股计划的管理层及核心业务骨干共</w:t>
      </w:r>
      <w:r>
        <w:rPr>
          <w:spacing w:val="-60"/>
        </w:rPr>
        <w:t> </w:t>
      </w:r>
      <w:r>
        <w:rPr/>
        <w:t>106 人，共缴</w:t>
      </w:r>
    </w:p>
    <w:p>
      <w:pPr>
        <w:pStyle w:val="BodyText"/>
        <w:spacing w:line="240" w:lineRule="auto"/>
        <w:ind w:left="137" w:right="0"/>
        <w:jc w:val="left"/>
      </w:pPr>
      <w:r>
        <w:rPr/>
        <w:t>纳风险抵押金</w:t>
      </w:r>
      <w:r>
        <w:rPr>
          <w:spacing w:val="-67"/>
        </w:rPr>
        <w:t> </w:t>
      </w:r>
      <w:r>
        <w:rPr/>
        <w:t>1,041.6</w:t>
      </w:r>
      <w:r>
        <w:rPr>
          <w:spacing w:val="-67"/>
        </w:rPr>
        <w:t> </w:t>
      </w:r>
      <w:r>
        <w:rPr>
          <w:spacing w:val="-6"/>
        </w:rPr>
        <w:t>万元。参与</w:t>
      </w:r>
      <w:r>
        <w:rPr>
          <w:spacing w:val="-70"/>
        </w:rPr>
        <w:t> </w:t>
      </w:r>
      <w:r>
        <w:rPr/>
        <w:t>2006</w:t>
      </w:r>
      <w:r>
        <w:rPr>
          <w:spacing w:val="-67"/>
        </w:rPr>
        <w:t> </w:t>
      </w:r>
      <w:r>
        <w:rPr/>
        <w:t>年度股权激励认股计划的公司董事、监事</w:t>
      </w:r>
    </w:p>
    <w:p>
      <w:pPr>
        <w:pStyle w:val="BodyText"/>
        <w:spacing w:line="240" w:lineRule="auto" w:before="154"/>
        <w:ind w:left="137" w:right="0"/>
        <w:jc w:val="left"/>
      </w:pPr>
      <w:r>
        <w:rPr/>
        <w:t>及高管人员的具体明细请见公司</w:t>
      </w:r>
      <w:r>
        <w:rPr>
          <w:spacing w:val="-60"/>
        </w:rPr>
        <w:t> </w:t>
      </w:r>
      <w:r>
        <w:rPr/>
        <w:t>2006</w:t>
      </w:r>
      <w:r>
        <w:rPr>
          <w:spacing w:val="-60"/>
        </w:rPr>
        <w:t> </w:t>
      </w:r>
      <w:r>
        <w:rPr/>
        <w:t>年度报告。</w:t>
      </w:r>
    </w:p>
    <w:p>
      <w:pPr>
        <w:pStyle w:val="BodyText"/>
        <w:spacing w:line="357" w:lineRule="auto" w:before="154"/>
        <w:ind w:left="137" w:right="165" w:firstLine="480"/>
        <w:jc w:val="both"/>
      </w:pPr>
      <w:r>
        <w:rPr/>
        <w:t>3、2007</w:t>
      </w:r>
      <w:r>
        <w:rPr>
          <w:spacing w:val="-87"/>
        </w:rPr>
        <w:t> </w:t>
      </w:r>
      <w:r>
        <w:rPr>
          <w:spacing w:val="-3"/>
        </w:rPr>
        <w:t>年度，公司实施第三次股权激励认股计划，该次实施股权激励股份数</w:t>
      </w:r>
      <w:r>
        <w:rPr/>
        <w:t> 为</w:t>
      </w:r>
      <w:r>
        <w:rPr>
          <w:spacing w:val="-67"/>
        </w:rPr>
        <w:t> </w:t>
      </w:r>
      <w:r>
        <w:rPr/>
        <w:t>533.22</w:t>
      </w:r>
      <w:r>
        <w:rPr>
          <w:spacing w:val="-67"/>
        </w:rPr>
        <w:t> </w:t>
      </w:r>
      <w:r>
        <w:rPr/>
        <w:t>万股，参与股权激励认股计划的管理层及核心业务骨干共</w:t>
      </w:r>
      <w:r>
        <w:rPr>
          <w:spacing w:val="-67"/>
        </w:rPr>
        <w:t> </w:t>
      </w:r>
      <w:r>
        <w:rPr/>
        <w:t>222</w:t>
      </w:r>
      <w:r>
        <w:rPr>
          <w:spacing w:val="-67"/>
        </w:rPr>
        <w:t> </w:t>
      </w:r>
      <w:r>
        <w:rPr>
          <w:spacing w:val="-8"/>
        </w:rPr>
        <w:t>人，共缴</w:t>
      </w:r>
    </w:p>
    <w:p>
      <w:pPr>
        <w:spacing w:after="0" w:line="357" w:lineRule="auto"/>
        <w:jc w:val="both"/>
        <w:sectPr>
          <w:pgSz w:w="11910" w:h="16840"/>
          <w:pgMar w:header="859" w:footer="835" w:top="1420" w:bottom="1020" w:left="1660" w:right="1480"/>
        </w:sectPr>
      </w:pPr>
    </w:p>
    <w:p>
      <w:pPr>
        <w:pStyle w:val="BodyText"/>
        <w:spacing w:line="240" w:lineRule="auto" w:before="96"/>
        <w:ind w:left="137" w:right="89"/>
        <w:jc w:val="left"/>
      </w:pPr>
      <w:r>
        <w:rPr/>
        <w:pict>
          <v:group style="position:absolute;margin-left:88.799995pt;margin-top:6.335606pt;width:425.2pt;height:.1pt;mso-position-horizontal-relative:page;mso-position-vertical-relative:paragraph;z-index:-1140904" coordorigin="1776,127" coordsize="8504,2">
            <v:shape style="position:absolute;left:1776;top:127;width:8504;height:2" coordorigin="1776,127" coordsize="8504,0" path="m1776,127l10279,127e" filled="false" stroked="true" strokeweight=".72pt" strokecolor="#000008">
              <v:path arrowok="t"/>
            </v:shape>
            <w10:wrap type="none"/>
          </v:group>
        </w:pict>
      </w:r>
      <w:r>
        <w:rPr/>
        <w:t>纳风险抵押金</w:t>
      </w:r>
      <w:r>
        <w:rPr>
          <w:spacing w:val="-48"/>
        </w:rPr>
        <w:t> </w:t>
      </w:r>
      <w:r>
        <w:rPr/>
        <w:t>426.58</w:t>
      </w:r>
      <w:r>
        <w:rPr>
          <w:spacing w:val="-48"/>
        </w:rPr>
        <w:t> </w:t>
      </w:r>
      <w:r>
        <w:rPr/>
        <w:t>万元。参与</w:t>
      </w:r>
      <w:r>
        <w:rPr>
          <w:spacing w:val="-48"/>
        </w:rPr>
        <w:t> </w:t>
      </w:r>
      <w:r>
        <w:rPr/>
        <w:t>2007</w:t>
      </w:r>
      <w:r>
        <w:rPr>
          <w:spacing w:val="-48"/>
        </w:rPr>
        <w:t> </w:t>
      </w:r>
      <w:r>
        <w:rPr/>
        <w:t>年度股权激励认股计划的公司董事、监事</w:t>
      </w:r>
    </w:p>
    <w:p>
      <w:pPr>
        <w:pStyle w:val="BodyText"/>
        <w:spacing w:line="240" w:lineRule="auto" w:before="154"/>
        <w:ind w:left="137" w:right="89"/>
        <w:jc w:val="left"/>
      </w:pPr>
      <w:r>
        <w:rPr/>
        <w:t>及高管人员的具体明细请见公司</w:t>
      </w:r>
      <w:r>
        <w:rPr>
          <w:spacing w:val="-60"/>
        </w:rPr>
        <w:t> </w:t>
      </w:r>
      <w:r>
        <w:rPr/>
        <w:t>2007</w:t>
      </w:r>
      <w:r>
        <w:rPr>
          <w:spacing w:val="-60"/>
        </w:rPr>
        <w:t> </w:t>
      </w:r>
      <w:r>
        <w:rPr/>
        <w:t>年度报告。</w:t>
      </w:r>
    </w:p>
    <w:p>
      <w:pPr>
        <w:pStyle w:val="BodyText"/>
        <w:spacing w:line="357" w:lineRule="auto" w:before="154"/>
        <w:ind w:left="137" w:right="89" w:firstLine="480"/>
        <w:jc w:val="left"/>
      </w:pPr>
      <w:r>
        <w:rPr/>
        <w:t>2008</w:t>
      </w:r>
      <w:r>
        <w:rPr>
          <w:spacing w:val="-58"/>
        </w:rPr>
        <w:t> </w:t>
      </w:r>
      <w:r>
        <w:rPr/>
        <w:t>年</w:t>
      </w:r>
      <w:r>
        <w:rPr>
          <w:spacing w:val="-58"/>
        </w:rPr>
        <w:t> </w:t>
      </w:r>
      <w:r>
        <w:rPr/>
        <w:t>8</w:t>
      </w:r>
      <w:r>
        <w:rPr>
          <w:spacing w:val="-58"/>
        </w:rPr>
        <w:t> </w:t>
      </w:r>
      <w:r>
        <w:rPr/>
        <w:t>月</w:t>
      </w:r>
      <w:r>
        <w:rPr>
          <w:spacing w:val="-58"/>
        </w:rPr>
        <w:t> </w:t>
      </w:r>
      <w:r>
        <w:rPr/>
        <w:t>25</w:t>
      </w:r>
      <w:r>
        <w:rPr>
          <w:spacing w:val="-58"/>
        </w:rPr>
        <w:t> </w:t>
      </w:r>
      <w:r>
        <w:rPr>
          <w:spacing w:val="-5"/>
        </w:rPr>
        <w:t>日，本公司在中国证券登记结算有限责任公司深圳分公司办理</w:t>
      </w:r>
      <w:r>
        <w:rPr/>
        <w:t> </w:t>
      </w:r>
      <w:r>
        <w:rPr>
          <w:spacing w:val="3"/>
        </w:rPr>
        <w:t>完成了农产品股权分置改革集合财产信托股权过户至激励对象名下的相关手续。</w:t>
      </w:r>
      <w:r>
        <w:rPr>
          <w:spacing w:val="-96"/>
        </w:rPr>
        <w:t> </w:t>
      </w:r>
      <w:r>
        <w:rPr>
          <w:spacing w:val="-96"/>
        </w:rPr>
      </w:r>
      <w:r>
        <w:rPr/>
        <w:t>根据中国证监会相关规定，此次激励股权的解禁分两期执行，第一期其他管理人</w:t>
      </w:r>
      <w:r>
        <w:rPr>
          <w:spacing w:val="-91"/>
        </w:rPr>
        <w:t> </w:t>
      </w:r>
      <w:r>
        <w:rPr>
          <w:spacing w:val="-91"/>
        </w:rPr>
      </w:r>
      <w:r>
        <w:rPr/>
        <w:t>员及业务骨干所持股份（股份总数为</w:t>
      </w:r>
      <w:r>
        <w:rPr>
          <w:spacing w:val="-64"/>
        </w:rPr>
        <w:t> </w:t>
      </w:r>
      <w:r>
        <w:rPr/>
        <w:t>13,148,253</w:t>
      </w:r>
      <w:r>
        <w:rPr>
          <w:spacing w:val="-64"/>
        </w:rPr>
        <w:t> </w:t>
      </w:r>
      <w:r>
        <w:rPr>
          <w:spacing w:val="-8"/>
        </w:rPr>
        <w:t>股）于</w:t>
      </w:r>
      <w:r>
        <w:rPr>
          <w:spacing w:val="-69"/>
        </w:rPr>
        <w:t> </w:t>
      </w:r>
      <w:r>
        <w:rPr/>
        <w:t>2009</w:t>
      </w:r>
      <w:r>
        <w:rPr>
          <w:spacing w:val="-64"/>
        </w:rPr>
        <w:t> </w:t>
      </w:r>
      <w:r>
        <w:rPr/>
        <w:t>年</w:t>
      </w:r>
      <w:r>
        <w:rPr>
          <w:spacing w:val="-64"/>
        </w:rPr>
        <w:t> </w:t>
      </w:r>
      <w:r>
        <w:rPr/>
        <w:t>2</w:t>
      </w:r>
      <w:r>
        <w:rPr>
          <w:spacing w:val="-64"/>
        </w:rPr>
        <w:t> </w:t>
      </w:r>
      <w:r>
        <w:rPr/>
        <w:t>月</w:t>
      </w:r>
      <w:r>
        <w:rPr>
          <w:spacing w:val="-64"/>
        </w:rPr>
        <w:t> </w:t>
      </w:r>
      <w:r>
        <w:rPr/>
        <w:t>16</w:t>
      </w:r>
      <w:r>
        <w:rPr>
          <w:spacing w:val="-64"/>
        </w:rPr>
        <w:t> </w:t>
      </w:r>
      <w:r>
        <w:rPr/>
        <w:t>日解禁完</w:t>
      </w:r>
    </w:p>
    <w:p>
      <w:pPr>
        <w:pStyle w:val="BodyText"/>
        <w:spacing w:line="240" w:lineRule="auto"/>
        <w:ind w:left="137" w:right="89"/>
        <w:jc w:val="left"/>
      </w:pPr>
      <w:r>
        <w:rPr/>
        <w:t>毕，第二期公司董事、监事及高管人员所持股份（股份总数为</w:t>
      </w:r>
      <w:r>
        <w:rPr>
          <w:spacing w:val="-85"/>
        </w:rPr>
        <w:t> </w:t>
      </w:r>
      <w:r>
        <w:rPr/>
        <w:t>13,056,000</w:t>
      </w:r>
      <w:r>
        <w:rPr>
          <w:spacing w:val="-84"/>
        </w:rPr>
        <w:t> </w:t>
      </w:r>
      <w:r>
        <w:rPr>
          <w:spacing w:val="-4"/>
        </w:rPr>
        <w:t>股）自</w:t>
      </w:r>
    </w:p>
    <w:p>
      <w:pPr>
        <w:pStyle w:val="BodyText"/>
        <w:spacing w:line="357" w:lineRule="auto" w:before="154"/>
        <w:ind w:left="137" w:right="212"/>
        <w:jc w:val="left"/>
      </w:pPr>
      <w:r>
        <w:rPr>
          <w:spacing w:val="-3"/>
        </w:rPr>
        <w:t>过户之日（2008</w:t>
      </w:r>
      <w:r>
        <w:rPr>
          <w:spacing w:val="-62"/>
        </w:rPr>
        <w:t> </w:t>
      </w:r>
      <w:r>
        <w:rPr/>
        <w:t>年</w:t>
      </w:r>
      <w:r>
        <w:rPr>
          <w:spacing w:val="-62"/>
        </w:rPr>
        <w:t> </w:t>
      </w:r>
      <w:r>
        <w:rPr/>
        <w:t>8</w:t>
      </w:r>
      <w:r>
        <w:rPr>
          <w:spacing w:val="-62"/>
        </w:rPr>
        <w:t> </w:t>
      </w:r>
      <w:r>
        <w:rPr/>
        <w:t>月</w:t>
      </w:r>
      <w:r>
        <w:rPr>
          <w:spacing w:val="-62"/>
        </w:rPr>
        <w:t> </w:t>
      </w:r>
      <w:r>
        <w:rPr/>
        <w:t>25</w:t>
      </w:r>
      <w:r>
        <w:rPr>
          <w:spacing w:val="-62"/>
        </w:rPr>
        <w:t> </w:t>
      </w:r>
      <w:r>
        <w:rPr>
          <w:spacing w:val="-5"/>
        </w:rPr>
        <w:t>日）起</w:t>
      </w:r>
      <w:r>
        <w:rPr>
          <w:spacing w:val="-67"/>
        </w:rPr>
        <w:t> </w:t>
      </w:r>
      <w:r>
        <w:rPr/>
        <w:t>6</w:t>
      </w:r>
      <w:r>
        <w:rPr>
          <w:spacing w:val="-62"/>
        </w:rPr>
        <w:t> </w:t>
      </w:r>
      <w:r>
        <w:rPr/>
        <w:t>个月之内仍不上市交易，6</w:t>
      </w:r>
      <w:r>
        <w:rPr>
          <w:spacing w:val="-62"/>
        </w:rPr>
        <w:t> </w:t>
      </w:r>
      <w:r>
        <w:rPr/>
        <w:t>个月之后按中国证</w:t>
      </w:r>
      <w:r>
        <w:rPr/>
        <w:t> 监会的有关规定每年解禁</w:t>
      </w:r>
      <w:r>
        <w:rPr>
          <w:spacing w:val="-60"/>
        </w:rPr>
        <w:t> </w:t>
      </w:r>
      <w:r>
        <w:rPr/>
        <w:t>25%。</w:t>
      </w:r>
    </w:p>
    <w:p>
      <w:pPr>
        <w:pStyle w:val="BodyText"/>
        <w:spacing w:line="357" w:lineRule="auto"/>
        <w:ind w:left="137" w:right="209" w:firstLine="480"/>
        <w:jc w:val="left"/>
      </w:pPr>
      <w:r>
        <w:rPr/>
        <w:t>报</w:t>
      </w:r>
      <w:r>
        <w:rPr>
          <w:spacing w:val="-89"/>
        </w:rPr>
        <w:t> </w:t>
      </w:r>
      <w:r>
        <w:rPr/>
        <w:t>告</w:t>
      </w:r>
      <w:r>
        <w:rPr>
          <w:spacing w:val="-87"/>
        </w:rPr>
        <w:t> </w:t>
      </w:r>
      <w:r>
        <w:rPr/>
        <w:t>期</w:t>
      </w:r>
      <w:r>
        <w:rPr>
          <w:spacing w:val="-87"/>
        </w:rPr>
        <w:t> </w:t>
      </w:r>
      <w:r>
        <w:rPr/>
        <w:t>内</w:t>
      </w:r>
      <w:r>
        <w:rPr>
          <w:spacing w:val="-87"/>
        </w:rPr>
        <w:t> </w:t>
      </w:r>
      <w:r>
        <w:rPr/>
        <w:t>，</w:t>
      </w:r>
      <w:r>
        <w:rPr>
          <w:spacing w:val="-87"/>
        </w:rPr>
        <w:t> </w:t>
      </w:r>
      <w:r>
        <w:rPr/>
        <w:t>公</w:t>
      </w:r>
      <w:r>
        <w:rPr>
          <w:spacing w:val="-87"/>
        </w:rPr>
        <w:t> </w:t>
      </w:r>
      <w:r>
        <w:rPr/>
        <w:t>司</w:t>
      </w:r>
      <w:r>
        <w:rPr>
          <w:spacing w:val="-87"/>
        </w:rPr>
        <w:t> </w:t>
      </w:r>
      <w:r>
        <w:rPr/>
        <w:t>其</w:t>
      </w:r>
      <w:r>
        <w:rPr>
          <w:spacing w:val="-87"/>
        </w:rPr>
        <w:t> </w:t>
      </w:r>
      <w:r>
        <w:rPr/>
        <w:t>他</w:t>
      </w:r>
      <w:r>
        <w:rPr>
          <w:spacing w:val="-87"/>
        </w:rPr>
        <w:t> </w:t>
      </w:r>
      <w:r>
        <w:rPr/>
        <w:t>管</w:t>
      </w:r>
      <w:r>
        <w:rPr>
          <w:spacing w:val="-87"/>
        </w:rPr>
        <w:t> </w:t>
      </w:r>
      <w:r>
        <w:rPr/>
        <w:t>理</w:t>
      </w:r>
      <w:r>
        <w:rPr>
          <w:spacing w:val="-87"/>
        </w:rPr>
        <w:t> </w:t>
      </w:r>
      <w:r>
        <w:rPr/>
        <w:t>人</w:t>
      </w:r>
      <w:r>
        <w:rPr>
          <w:spacing w:val="-87"/>
        </w:rPr>
        <w:t> </w:t>
      </w:r>
      <w:r>
        <w:rPr/>
        <w:t>员</w:t>
      </w:r>
      <w:r>
        <w:rPr>
          <w:spacing w:val="-87"/>
        </w:rPr>
        <w:t> </w:t>
      </w:r>
      <w:r>
        <w:rPr/>
        <w:t>及</w:t>
      </w:r>
      <w:r>
        <w:rPr>
          <w:spacing w:val="-87"/>
        </w:rPr>
        <w:t> </w:t>
      </w:r>
      <w:r>
        <w:rPr/>
        <w:t>业</w:t>
      </w:r>
      <w:r>
        <w:rPr>
          <w:spacing w:val="-87"/>
        </w:rPr>
        <w:t> </w:t>
      </w:r>
      <w:r>
        <w:rPr/>
        <w:t>务</w:t>
      </w:r>
      <w:r>
        <w:rPr>
          <w:spacing w:val="-87"/>
        </w:rPr>
        <w:t> </w:t>
      </w:r>
      <w:r>
        <w:rPr/>
        <w:t>骨</w:t>
      </w:r>
      <w:r>
        <w:rPr>
          <w:spacing w:val="-87"/>
        </w:rPr>
        <w:t> </w:t>
      </w:r>
      <w:r>
        <w:rPr/>
        <w:t>干</w:t>
      </w:r>
      <w:r>
        <w:rPr>
          <w:spacing w:val="-87"/>
        </w:rPr>
        <w:t> </w:t>
      </w:r>
      <w:r>
        <w:rPr/>
        <w:t>所</w:t>
      </w:r>
      <w:r>
        <w:rPr>
          <w:spacing w:val="-87"/>
        </w:rPr>
        <w:t> </w:t>
      </w:r>
      <w:r>
        <w:rPr/>
        <w:t>持</w:t>
      </w:r>
      <w:r>
        <w:rPr>
          <w:spacing w:val="-87"/>
        </w:rPr>
        <w:t> </w:t>
      </w:r>
      <w:r>
        <w:rPr/>
        <w:t>股</w:t>
      </w:r>
      <w:r>
        <w:rPr>
          <w:spacing w:val="-87"/>
        </w:rPr>
        <w:t> </w:t>
      </w:r>
      <w:r>
        <w:rPr/>
        <w:t>权</w:t>
      </w:r>
      <w:r>
        <w:rPr>
          <w:spacing w:val="-87"/>
        </w:rPr>
        <w:t> </w:t>
      </w:r>
      <w:r>
        <w:rPr/>
        <w:t>激</w:t>
      </w:r>
      <w:r>
        <w:rPr>
          <w:spacing w:val="-87"/>
        </w:rPr>
        <w:t> </w:t>
      </w:r>
      <w:r>
        <w:rPr/>
        <w:t>励</w:t>
      </w:r>
      <w:r>
        <w:rPr>
          <w:spacing w:val="-87"/>
        </w:rPr>
        <w:t> </w:t>
      </w:r>
      <w:r>
        <w:rPr/>
        <w:t>限</w:t>
      </w:r>
      <w:r>
        <w:rPr>
          <w:spacing w:val="-87"/>
        </w:rPr>
        <w:t> </w:t>
      </w:r>
      <w:r>
        <w:rPr/>
        <w:t>制</w:t>
      </w:r>
      <w:r>
        <w:rPr>
          <w:spacing w:val="-87"/>
        </w:rPr>
        <w:t> </w:t>
      </w:r>
      <w:r>
        <w:rPr/>
        <w:t>性</w:t>
      </w:r>
      <w:r>
        <w:rPr>
          <w:spacing w:val="-87"/>
        </w:rPr>
        <w:t> </w:t>
      </w:r>
      <w:r>
        <w:rPr/>
        <w:t>股</w:t>
      </w:r>
      <w:r>
        <w:rPr>
          <w:spacing w:val="-87"/>
        </w:rPr>
        <w:t> </w:t>
      </w:r>
      <w:r>
        <w:rPr/>
        <w:t>票</w:t>
      </w:r>
      <w:r>
        <w:rPr/>
        <w:t> 13,148,253</w:t>
      </w:r>
      <w:r>
        <w:rPr>
          <w:spacing w:val="-60"/>
        </w:rPr>
        <w:t> </w:t>
      </w:r>
      <w:r>
        <w:rPr/>
        <w:t>股于</w:t>
      </w:r>
      <w:r>
        <w:rPr>
          <w:spacing w:val="-60"/>
        </w:rPr>
        <w:t> </w:t>
      </w:r>
      <w:r>
        <w:rPr/>
        <w:t>2009</w:t>
      </w:r>
      <w:r>
        <w:rPr>
          <w:spacing w:val="-60"/>
        </w:rPr>
        <w:t> </w:t>
      </w:r>
      <w:r>
        <w:rPr/>
        <w:t>年</w:t>
      </w:r>
      <w:r>
        <w:rPr>
          <w:spacing w:val="-60"/>
        </w:rPr>
        <w:t> </w:t>
      </w:r>
      <w:r>
        <w:rPr/>
        <w:t>2</w:t>
      </w:r>
      <w:r>
        <w:rPr>
          <w:spacing w:val="-60"/>
        </w:rPr>
        <w:t> </w:t>
      </w:r>
      <w:r>
        <w:rPr/>
        <w:t>月</w:t>
      </w:r>
      <w:r>
        <w:rPr>
          <w:spacing w:val="-60"/>
        </w:rPr>
        <w:t> </w:t>
      </w:r>
      <w:r>
        <w:rPr/>
        <w:t>16</w:t>
      </w:r>
      <w:r>
        <w:rPr>
          <w:spacing w:val="-60"/>
        </w:rPr>
        <w:t> </w:t>
      </w:r>
      <w:r>
        <w:rPr/>
        <w:t>日解除限售；公司董事、监事、高级管理人员所</w:t>
      </w:r>
    </w:p>
    <w:p>
      <w:pPr>
        <w:pStyle w:val="BodyText"/>
        <w:spacing w:line="357" w:lineRule="auto"/>
        <w:ind w:left="137" w:right="89"/>
        <w:jc w:val="left"/>
      </w:pPr>
      <w:r>
        <w:rPr/>
        <w:t>持股权激励限制性股票</w:t>
      </w:r>
      <w:r>
        <w:rPr>
          <w:spacing w:val="-57"/>
        </w:rPr>
        <w:t> </w:t>
      </w:r>
      <w:r>
        <w:rPr/>
        <w:t>13,056,000</w:t>
      </w:r>
      <w:r>
        <w:rPr>
          <w:spacing w:val="-55"/>
        </w:rPr>
        <w:t> </w:t>
      </w:r>
      <w:r>
        <w:rPr/>
        <w:t>股于</w:t>
      </w:r>
      <w:r>
        <w:rPr>
          <w:spacing w:val="-53"/>
        </w:rPr>
        <w:t> </w:t>
      </w:r>
      <w:r>
        <w:rPr/>
        <w:t>2009</w:t>
      </w:r>
      <w:r>
        <w:rPr>
          <w:spacing w:val="-57"/>
        </w:rPr>
        <w:t> </w:t>
      </w:r>
      <w:r>
        <w:rPr/>
        <w:t>年</w:t>
      </w:r>
      <w:r>
        <w:rPr>
          <w:spacing w:val="-55"/>
        </w:rPr>
        <w:t> </w:t>
      </w:r>
      <w:r>
        <w:rPr/>
        <w:t>4</w:t>
      </w:r>
      <w:r>
        <w:rPr>
          <w:spacing w:val="-55"/>
        </w:rPr>
        <w:t> </w:t>
      </w:r>
      <w:r>
        <w:rPr/>
        <w:t>月</w:t>
      </w:r>
      <w:r>
        <w:rPr>
          <w:spacing w:val="-55"/>
        </w:rPr>
        <w:t> </w:t>
      </w:r>
      <w:r>
        <w:rPr/>
        <w:t>7</w:t>
      </w:r>
      <w:r>
        <w:rPr>
          <w:spacing w:val="-55"/>
        </w:rPr>
        <w:t> </w:t>
      </w:r>
      <w:r>
        <w:rPr/>
        <w:t>日解除限售。根据《公司</w:t>
      </w:r>
      <w:r>
        <w:rPr>
          <w:spacing w:val="-113"/>
        </w:rPr>
        <w:t> </w:t>
      </w:r>
      <w:r>
        <w:rPr>
          <w:spacing w:val="-113"/>
        </w:rPr>
      </w:r>
      <w:r>
        <w:rPr>
          <w:w w:val="95"/>
        </w:rPr>
        <w:t>法》、《上市公司董事、监事、高级管理人员所持本公司股份及其变动管理规则》</w:t>
      </w:r>
      <w:r>
        <w:rPr>
          <w:spacing w:val="25"/>
          <w:w w:val="95"/>
        </w:rPr>
        <w:t> </w:t>
      </w:r>
      <w:r>
        <w:rPr>
          <w:spacing w:val="25"/>
          <w:w w:val="95"/>
        </w:rPr>
      </w:r>
      <w:r>
        <w:rPr/>
        <w:t>的相关规定，公司董事、监事、高级管理人员在任职期间每年转让的股票不得超</w:t>
      </w:r>
      <w:r>
        <w:rPr>
          <w:spacing w:val="-91"/>
        </w:rPr>
        <w:t> </w:t>
      </w:r>
      <w:r>
        <w:rPr>
          <w:spacing w:val="-91"/>
        </w:rPr>
      </w:r>
      <w:r>
        <w:rPr/>
        <w:t>过其所持本公司股票总数的</w:t>
      </w:r>
      <w:r>
        <w:rPr>
          <w:spacing w:val="-60"/>
        </w:rPr>
        <w:t> </w:t>
      </w:r>
      <w:r>
        <w:rPr/>
        <w:t>25%，离职后半年内不得转让其所持有的本公司股票，</w:t>
      </w:r>
      <w:r>
        <w:rPr/>
        <w:t> 中国证劵登记结算有限责任公司根据董事、监事、高级管理人员实际任职或离职</w:t>
      </w:r>
      <w:r>
        <w:rPr>
          <w:spacing w:val="-91"/>
        </w:rPr>
        <w:t> </w:t>
      </w:r>
      <w:r>
        <w:rPr>
          <w:spacing w:val="-91"/>
        </w:rPr>
      </w:r>
      <w:r>
        <w:rPr/>
        <w:t>情况对其所持公司股份进行锁定。</w:t>
      </w:r>
    </w:p>
    <w:p>
      <w:pPr>
        <w:pStyle w:val="BodyText"/>
        <w:spacing w:line="357" w:lineRule="auto"/>
        <w:ind w:left="617" w:right="89"/>
        <w:jc w:val="left"/>
      </w:pPr>
      <w:r>
        <w:rPr/>
        <w:t>（二）认购条件及完成情况 根据《深圳市农产品股份有限公司股权激励管理办法》及《深圳市农产品股</w:t>
      </w:r>
    </w:p>
    <w:p>
      <w:pPr>
        <w:pStyle w:val="BodyText"/>
        <w:spacing w:line="357" w:lineRule="auto"/>
        <w:ind w:left="137" w:right="89"/>
        <w:jc w:val="left"/>
      </w:pPr>
      <w:r>
        <w:rPr/>
        <w:t>份有限公司实施细则》的规定，参与股权激励认股计划的人员要取得认购资格的</w:t>
      </w:r>
      <w:r>
        <w:rPr>
          <w:spacing w:val="-91"/>
        </w:rPr>
        <w:t> </w:t>
      </w:r>
      <w:r>
        <w:rPr>
          <w:spacing w:val="-91"/>
        </w:rPr>
      </w:r>
      <w:r>
        <w:rPr/>
        <w:t>条件是：公司</w:t>
      </w:r>
      <w:r>
        <w:rPr>
          <w:spacing w:val="-51"/>
        </w:rPr>
        <w:t> </w:t>
      </w:r>
      <w:r>
        <w:rPr/>
        <w:t>2005</w:t>
      </w:r>
      <w:r>
        <w:rPr>
          <w:spacing w:val="-51"/>
        </w:rPr>
        <w:t> </w:t>
      </w:r>
      <w:r>
        <w:rPr/>
        <w:t>年、2006</w:t>
      </w:r>
      <w:r>
        <w:rPr>
          <w:spacing w:val="-51"/>
        </w:rPr>
        <w:t> </w:t>
      </w:r>
      <w:r>
        <w:rPr/>
        <w:t>年、2007</w:t>
      </w:r>
      <w:r>
        <w:rPr>
          <w:spacing w:val="-51"/>
        </w:rPr>
        <w:t> </w:t>
      </w:r>
      <w:r>
        <w:rPr/>
        <w:t>年三个会计年度的基本业绩目标为公司的</w:t>
      </w:r>
      <w:r>
        <w:rPr>
          <w:spacing w:val="-105"/>
        </w:rPr>
        <w:t> </w:t>
      </w:r>
      <w:r>
        <w:rPr>
          <w:spacing w:val="-105"/>
        </w:rPr>
      </w:r>
      <w:r>
        <w:rPr/>
        <w:t>净资产收益率不低于</w:t>
      </w:r>
      <w:r>
        <w:rPr>
          <w:spacing w:val="-60"/>
        </w:rPr>
        <w:t> </w:t>
      </w:r>
      <w:r>
        <w:rPr/>
        <w:t>2.5%、4.5%、6％，或者，若公司未能达到上述业绩目标时，</w:t>
      </w:r>
      <w:r>
        <w:rPr/>
        <w:t> 则公司必须实现三年连续盈利且三年累计净利润不低于 18,200</w:t>
      </w:r>
      <w:r>
        <w:rPr>
          <w:spacing w:val="-46"/>
        </w:rPr>
        <w:t> </w:t>
      </w:r>
      <w:r>
        <w:rPr/>
        <w:t>万元。由于公司</w:t>
      </w:r>
    </w:p>
    <w:p>
      <w:pPr>
        <w:pStyle w:val="BodyText"/>
        <w:spacing w:line="357" w:lineRule="auto"/>
        <w:ind w:left="137" w:right="225"/>
        <w:jc w:val="both"/>
      </w:pPr>
      <w:r>
        <w:rPr/>
        <w:t>2005</w:t>
      </w:r>
      <w:r>
        <w:rPr>
          <w:spacing w:val="-81"/>
        </w:rPr>
        <w:t> </w:t>
      </w:r>
      <w:r>
        <w:rPr/>
        <w:t>年</w:t>
      </w:r>
      <w:r>
        <w:rPr>
          <w:spacing w:val="-101"/>
        </w:rPr>
        <w:t> </w:t>
      </w:r>
      <w:r>
        <w:rPr>
          <w:spacing w:val="-7"/>
        </w:rPr>
        <w:t>、2006</w:t>
      </w:r>
      <w:r>
        <w:rPr>
          <w:spacing w:val="-81"/>
        </w:rPr>
        <w:t> </w:t>
      </w:r>
      <w:r>
        <w:rPr/>
        <w:t>年两个会计年度实际完成的净资产收益率未达到股权激励所要求的</w:t>
      </w:r>
      <w:r>
        <w:rPr/>
        <w:t> 目标。因此，参与股权激励认购对象要取得股权激励股份的认购资格，公司必须</w:t>
      </w:r>
      <w:r>
        <w:rPr>
          <w:spacing w:val="-91"/>
        </w:rPr>
        <w:t> </w:t>
      </w:r>
      <w:r>
        <w:rPr>
          <w:spacing w:val="-91"/>
        </w:rPr>
      </w:r>
      <w:r>
        <w:rPr/>
        <w:t>实现</w:t>
      </w:r>
      <w:r>
        <w:rPr>
          <w:spacing w:val="-70"/>
        </w:rPr>
        <w:t> </w:t>
      </w:r>
      <w:r>
        <w:rPr/>
        <w:t>2005</w:t>
      </w:r>
      <w:r>
        <w:rPr>
          <w:spacing w:val="-70"/>
        </w:rPr>
        <w:t> </w:t>
      </w:r>
      <w:r>
        <w:rPr/>
        <w:t>年、2006</w:t>
      </w:r>
      <w:r>
        <w:rPr>
          <w:spacing w:val="-20"/>
        </w:rPr>
        <w:t> </w:t>
      </w:r>
      <w:r>
        <w:rPr/>
        <w:t>年、2007</w:t>
      </w:r>
      <w:r>
        <w:rPr>
          <w:spacing w:val="-20"/>
        </w:rPr>
        <w:t> </w:t>
      </w:r>
      <w:r>
        <w:rPr/>
        <w:t>年三个会计年度连续盈利且三年累计净利润不低于</w:t>
      </w:r>
      <w:r>
        <w:rPr/>
        <w:t> 18,200</w:t>
      </w:r>
      <w:r>
        <w:rPr>
          <w:spacing w:val="-60"/>
        </w:rPr>
        <w:t> </w:t>
      </w:r>
      <w:r>
        <w:rPr/>
        <w:t>万元。对于纳入本次管理层约束和激励计划的股份，自管理层约束和激励</w:t>
      </w:r>
    </w:p>
    <w:p>
      <w:pPr>
        <w:pStyle w:val="BodyText"/>
        <w:spacing w:line="240" w:lineRule="auto"/>
        <w:ind w:left="137" w:right="89"/>
        <w:jc w:val="left"/>
      </w:pPr>
      <w:r>
        <w:rPr>
          <w:spacing w:val="-3"/>
        </w:rPr>
        <w:t>计划开始实施之日起三年内不上市交易，即自</w:t>
      </w:r>
      <w:r>
        <w:rPr>
          <w:spacing w:val="-63"/>
        </w:rPr>
        <w:t> </w:t>
      </w:r>
      <w:r>
        <w:rPr/>
        <w:t>2005</w:t>
      </w:r>
      <w:r>
        <w:rPr>
          <w:spacing w:val="-60"/>
        </w:rPr>
        <w:t> </w:t>
      </w:r>
      <w:r>
        <w:rPr/>
        <w:t>年</w:t>
      </w:r>
      <w:r>
        <w:rPr>
          <w:spacing w:val="-60"/>
        </w:rPr>
        <w:t> </w:t>
      </w:r>
      <w:r>
        <w:rPr/>
        <w:t>11</w:t>
      </w:r>
      <w:r>
        <w:rPr>
          <w:spacing w:val="-60"/>
        </w:rPr>
        <w:t> </w:t>
      </w:r>
      <w:r>
        <w:rPr/>
        <w:t>月</w:t>
      </w:r>
      <w:r>
        <w:rPr>
          <w:spacing w:val="-60"/>
        </w:rPr>
        <w:t> </w:t>
      </w:r>
      <w:r>
        <w:rPr/>
        <w:t>24</w:t>
      </w:r>
      <w:r>
        <w:rPr>
          <w:spacing w:val="-60"/>
        </w:rPr>
        <w:t> </w:t>
      </w:r>
      <w:r>
        <w:rPr/>
        <w:t>日至</w:t>
      </w:r>
      <w:r>
        <w:rPr>
          <w:spacing w:val="-60"/>
        </w:rPr>
        <w:t> </w:t>
      </w:r>
      <w:r>
        <w:rPr/>
        <w:t>2008</w:t>
      </w:r>
      <w:r>
        <w:rPr>
          <w:spacing w:val="-60"/>
        </w:rPr>
        <w:t> </w:t>
      </w:r>
      <w:r>
        <w:rPr/>
        <w:t>年</w:t>
      </w:r>
      <w:r>
        <w:rPr>
          <w:spacing w:val="-60"/>
        </w:rPr>
        <w:t> </w:t>
      </w:r>
      <w:r>
        <w:rPr/>
        <w:t>11</w:t>
      </w:r>
      <w:r>
        <w:rPr>
          <w:spacing w:val="-60"/>
        </w:rPr>
        <w:t> </w:t>
      </w:r>
      <w:r>
        <w:rPr/>
        <w:t>月</w:t>
      </w:r>
    </w:p>
    <w:p>
      <w:pPr>
        <w:pStyle w:val="BodyText"/>
        <w:spacing w:line="240" w:lineRule="auto" w:before="154"/>
        <w:ind w:left="137" w:right="89"/>
        <w:jc w:val="left"/>
      </w:pPr>
      <w:r>
        <w:rPr/>
        <w:t>24</w:t>
      </w:r>
      <w:r>
        <w:rPr>
          <w:spacing w:val="-60"/>
        </w:rPr>
        <w:t> </w:t>
      </w:r>
      <w:r>
        <w:rPr/>
        <w:t>日三年内不流通，三年后按中国证监会的有关规定执行。</w:t>
      </w:r>
    </w:p>
    <w:p>
      <w:pPr>
        <w:spacing w:after="0" w:line="240" w:lineRule="auto"/>
        <w:jc w:val="left"/>
        <w:sectPr>
          <w:pgSz w:w="11910" w:h="16840"/>
          <w:pgMar w:header="859" w:footer="835" w:top="1420" w:bottom="1020" w:left="1660" w:right="1420"/>
        </w:sectPr>
      </w:pPr>
    </w:p>
    <w:p>
      <w:pPr>
        <w:pStyle w:val="BodyText"/>
        <w:spacing w:line="357" w:lineRule="auto" w:before="96"/>
        <w:ind w:left="137" w:right="184" w:firstLine="480"/>
        <w:jc w:val="both"/>
      </w:pPr>
      <w:r>
        <w:rPr/>
        <w:pict>
          <v:group style="position:absolute;margin-left:88.799995pt;margin-top:6.335606pt;width:425.2pt;height:.1pt;mso-position-horizontal-relative:page;mso-position-vertical-relative:paragraph;z-index:-1140880" coordorigin="1776,127" coordsize="8504,2">
            <v:shape style="position:absolute;left:1776;top:127;width:8504;height:2" coordorigin="1776,127" coordsize="8504,0" path="m1776,127l10279,127e" filled="false" stroked="true" strokeweight=".72pt" strokecolor="#000008">
              <v:path arrowok="t"/>
            </v:shape>
            <w10:wrap type="none"/>
          </v:group>
        </w:pict>
      </w:r>
      <w:r>
        <w:rPr/>
        <w:t>根据深圳南方民和会计师事务所出具的深南财审报字（2008）第 CA106</w:t>
      </w:r>
      <w:r>
        <w:rPr>
          <w:spacing w:val="-92"/>
        </w:rPr>
        <w:t> </w:t>
      </w:r>
      <w:r>
        <w:rPr/>
        <w:t>号审</w:t>
      </w:r>
      <w:r>
        <w:rPr/>
        <w:t> </w:t>
      </w:r>
      <w:r>
        <w:rPr>
          <w:spacing w:val="2"/>
        </w:rPr>
        <w:t>计报告，公司</w:t>
      </w:r>
      <w:r>
        <w:rPr>
          <w:spacing w:val="-47"/>
        </w:rPr>
        <w:t> </w:t>
      </w:r>
      <w:r>
        <w:rPr/>
        <w:t>2007</w:t>
      </w:r>
      <w:r>
        <w:rPr>
          <w:spacing w:val="-55"/>
        </w:rPr>
        <w:t> </w:t>
      </w:r>
      <w:r>
        <w:rPr/>
        <w:t>年度实现净利润</w:t>
      </w:r>
      <w:r>
        <w:rPr>
          <w:spacing w:val="-44"/>
        </w:rPr>
        <w:t> </w:t>
      </w:r>
      <w:r>
        <w:rPr/>
        <w:t>17,067</w:t>
      </w:r>
      <w:r>
        <w:rPr>
          <w:spacing w:val="-52"/>
        </w:rPr>
        <w:t> </w:t>
      </w:r>
      <w:r>
        <w:rPr/>
        <w:t>万元。公司</w:t>
      </w:r>
      <w:r>
        <w:rPr>
          <w:spacing w:val="-47"/>
        </w:rPr>
        <w:t> </w:t>
      </w:r>
      <w:r>
        <w:rPr/>
        <w:t>2005</w:t>
      </w:r>
      <w:r>
        <w:rPr>
          <w:spacing w:val="-52"/>
        </w:rPr>
        <w:t> </w:t>
      </w:r>
      <w:r>
        <w:rPr/>
        <w:t>年、2006</w:t>
      </w:r>
      <w:r>
        <w:rPr>
          <w:spacing w:val="-52"/>
        </w:rPr>
        <w:t> </w:t>
      </w:r>
      <w:r>
        <w:rPr/>
        <w:t>年、2007</w:t>
      </w:r>
      <w:r>
        <w:rPr>
          <w:spacing w:val="-114"/>
        </w:rPr>
        <w:t> </w:t>
      </w:r>
      <w:r>
        <w:rPr>
          <w:spacing w:val="-114"/>
        </w:rPr>
      </w:r>
      <w:r>
        <w:rPr/>
        <w:t>年三个会计年度连续盈利且三年累计净利润</w:t>
      </w:r>
      <w:r>
        <w:rPr>
          <w:spacing w:val="-87"/>
        </w:rPr>
        <w:t> </w:t>
      </w:r>
      <w:r>
        <w:rPr/>
        <w:t>23,958</w:t>
      </w:r>
      <w:r>
        <w:rPr>
          <w:spacing w:val="-87"/>
        </w:rPr>
        <w:t> </w:t>
      </w:r>
      <w:r>
        <w:rPr>
          <w:spacing w:val="-10"/>
          <w:w w:val="98"/>
        </w:rPr>
        <w:t>万元，超过股权激励业绩目标</w:t>
      </w:r>
      <w:r>
        <w:rPr>
          <w:spacing w:val="-55"/>
          <w:w w:val="98"/>
        </w:rPr>
        <w:t> </w:t>
      </w:r>
      <w:r>
        <w:rPr>
          <w:w w:val="75"/>
        </w:rPr>
        <w:t>，</w:t>
      </w:r>
      <w:r>
        <w:rPr>
          <w:w w:val="75"/>
        </w:rPr>
        <w:t> </w:t>
      </w:r>
      <w:r>
        <w:rPr/>
        <w:t>参与股权激励认股计划的公司管理层及核心业务骨干有资格以</w:t>
      </w:r>
      <w:r>
        <w:rPr>
          <w:spacing w:val="-89"/>
        </w:rPr>
        <w:t> </w:t>
      </w:r>
      <w:r>
        <w:rPr/>
        <w:t>3.5</w:t>
      </w:r>
      <w:r>
        <w:rPr>
          <w:spacing w:val="-89"/>
        </w:rPr>
        <w:t> </w:t>
      </w:r>
      <w:r>
        <w:rPr/>
        <w:t>元/股认购公司</w:t>
      </w:r>
      <w:r>
        <w:rPr/>
        <w:t> 激励股份。</w:t>
      </w:r>
    </w:p>
    <w:p>
      <w:pPr>
        <w:pStyle w:val="Heading5"/>
        <w:spacing w:line="378" w:lineRule="exact"/>
        <w:ind w:left="617" w:right="0"/>
        <w:jc w:val="left"/>
        <w:rPr>
          <w:b w:val="0"/>
          <w:bCs w:val="0"/>
        </w:rPr>
      </w:pPr>
      <w:r>
        <w:rPr/>
        <w:t>二、公司实施股权激励方案对财务状况和经营成果的影响。</w:t>
      </w:r>
      <w:r>
        <w:rPr>
          <w:b w:val="0"/>
          <w:bCs w:val="0"/>
        </w:rPr>
      </w:r>
    </w:p>
    <w:p>
      <w:pPr>
        <w:pStyle w:val="BodyText"/>
        <w:spacing w:line="240" w:lineRule="auto" w:before="126"/>
        <w:ind w:left="617" w:right="0"/>
        <w:jc w:val="left"/>
      </w:pPr>
      <w:r>
        <w:rPr/>
        <w:t>鉴于公司实施股权激励方案的股份来源由原 11</w:t>
      </w:r>
      <w:r>
        <w:rPr>
          <w:spacing w:val="-49"/>
        </w:rPr>
        <w:t> </w:t>
      </w:r>
      <w:r>
        <w:rPr>
          <w:spacing w:val="-10"/>
        </w:rPr>
        <w:t>家法人股东支付，同时，公司</w:t>
      </w:r>
    </w:p>
    <w:p>
      <w:pPr>
        <w:pStyle w:val="BodyText"/>
        <w:spacing w:line="357" w:lineRule="auto" w:before="154"/>
        <w:ind w:left="137" w:right="245"/>
        <w:jc w:val="both"/>
      </w:pPr>
      <w:r>
        <w:rPr/>
        <w:t>管理层主动放弃计提</w:t>
      </w:r>
      <w:r>
        <w:rPr>
          <w:spacing w:val="-54"/>
        </w:rPr>
        <w:t> </w:t>
      </w:r>
      <w:r>
        <w:rPr/>
        <w:t>2007</w:t>
      </w:r>
      <w:r>
        <w:rPr>
          <w:spacing w:val="-54"/>
        </w:rPr>
        <w:t> </w:t>
      </w:r>
      <w:r>
        <w:rPr>
          <w:spacing w:val="-3"/>
        </w:rPr>
        <w:t>年度股权激励基金，认购股权激励款项通过自筹方式解</w:t>
      </w:r>
      <w:r>
        <w:rPr/>
        <w:t> 决。因此，方案的实施对公司相关费用、成本、净利润和资本公积等财务数据未</w:t>
      </w:r>
      <w:r>
        <w:rPr>
          <w:spacing w:val="-91"/>
        </w:rPr>
        <w:t> </w:t>
      </w:r>
      <w:r>
        <w:rPr>
          <w:spacing w:val="-91"/>
        </w:rPr>
      </w:r>
      <w:r>
        <w:rPr/>
        <w:t>产生增加或摊薄。</w:t>
      </w:r>
    </w:p>
    <w:p>
      <w:pPr>
        <w:pStyle w:val="BodyText"/>
        <w:spacing w:line="357" w:lineRule="auto" w:before="154"/>
        <w:ind w:left="137" w:right="246" w:firstLine="568"/>
        <w:jc w:val="both"/>
      </w:pPr>
      <w:r>
        <w:rPr>
          <w:spacing w:val="4"/>
        </w:rPr>
        <w:t>股权激励方案的实施，大大增强了公司管理层及核心业务骨干的工作积极</w:t>
      </w:r>
      <w:r>
        <w:rPr/>
        <w:t> 性，公司发展战略得到有效落实，主营业务的赢利能力和发展空间大大提升，公</w:t>
      </w:r>
      <w:r>
        <w:rPr>
          <w:spacing w:val="-93"/>
        </w:rPr>
        <w:t> </w:t>
      </w:r>
      <w:r>
        <w:rPr>
          <w:spacing w:val="-93"/>
        </w:rPr>
      </w:r>
      <w:r>
        <w:rPr/>
        <w:t>司</w:t>
      </w:r>
      <w:r>
        <w:rPr>
          <w:spacing w:val="-60"/>
        </w:rPr>
        <w:t> </w:t>
      </w:r>
      <w:r>
        <w:rPr/>
        <w:t>2008</w:t>
      </w:r>
      <w:r>
        <w:rPr>
          <w:spacing w:val="-60"/>
        </w:rPr>
        <w:t> </w:t>
      </w:r>
      <w:r>
        <w:rPr/>
        <w:t>年（若剔除</w:t>
      </w:r>
      <w:r>
        <w:rPr>
          <w:spacing w:val="-60"/>
        </w:rPr>
        <w:t> </w:t>
      </w:r>
      <w:r>
        <w:rPr/>
        <w:t>2007</w:t>
      </w:r>
      <w:r>
        <w:rPr>
          <w:spacing w:val="-60"/>
        </w:rPr>
        <w:t> </w:t>
      </w:r>
      <w:r>
        <w:rPr/>
        <w:t>年南昌市场商铺销售影响）、2009</w:t>
      </w:r>
      <w:r>
        <w:rPr>
          <w:spacing w:val="-60"/>
        </w:rPr>
        <w:t> </w:t>
      </w:r>
      <w:r>
        <w:rPr/>
        <w:t>年批发市场主营业务</w:t>
      </w:r>
      <w:r>
        <w:rPr/>
        <w:t> </w:t>
      </w:r>
      <w:r>
        <w:rPr>
          <w:spacing w:val="2"/>
        </w:rPr>
        <w:t>收入同比增长</w:t>
      </w:r>
      <w:r>
        <w:rPr>
          <w:spacing w:val="-43"/>
        </w:rPr>
        <w:t> </w:t>
      </w:r>
      <w:r>
        <w:rPr/>
        <w:t>28.85％、9.14%；2009</w:t>
      </w:r>
      <w:r>
        <w:rPr>
          <w:spacing w:val="-48"/>
        </w:rPr>
        <w:t> </w:t>
      </w:r>
      <w:r>
        <w:rPr>
          <w:spacing w:val="2"/>
        </w:rPr>
        <w:t>年归属于上市公司股东的净利润同比增长</w:t>
      </w:r>
      <w:r>
        <w:rPr>
          <w:spacing w:val="-108"/>
        </w:rPr>
        <w:t> </w:t>
      </w:r>
      <w:r>
        <w:rPr>
          <w:spacing w:val="-108"/>
        </w:rPr>
      </w:r>
      <w:r>
        <w:rPr/>
        <w:t>60.53%。</w:t>
      </w:r>
    </w:p>
    <w:p>
      <w:pPr>
        <w:pStyle w:val="BodyText"/>
        <w:spacing w:line="357" w:lineRule="auto"/>
        <w:ind w:left="137" w:right="275" w:firstLine="480"/>
        <w:jc w:val="both"/>
      </w:pPr>
      <w:r>
        <w:rPr/>
        <w:t>随着公司股权激励计划的实施，公司的治理机制将更加完善，为公司“网络 化”发展战略的落实提供强有力的机制保障，更好地提高公司整体的盈利能力。</w:t>
      </w:r>
    </w:p>
    <w:p>
      <w:pPr>
        <w:spacing w:line="240" w:lineRule="auto" w:before="8"/>
        <w:rPr>
          <w:rFonts w:ascii="宋体" w:hAnsi="宋体" w:cs="宋体" w:eastAsia="宋体" w:hint="default"/>
          <w:sz w:val="33"/>
          <w:szCs w:val="33"/>
        </w:rPr>
      </w:pPr>
    </w:p>
    <w:p>
      <w:pPr>
        <w:spacing w:line="396" w:lineRule="auto" w:before="0"/>
        <w:ind w:left="617"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第六节 报告期内重大关联交易事项</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2"/>
          <w:sz w:val="24"/>
          <w:szCs w:val="24"/>
        </w:rPr>
        <w:t>报告期内，公司无重大关联交易事项亦无与关联人进行的与日常经营相关的关</w:t>
      </w:r>
    </w:p>
    <w:p>
      <w:pPr>
        <w:pStyle w:val="BodyText"/>
        <w:spacing w:line="240" w:lineRule="auto" w:before="10"/>
        <w:ind w:left="137" w:right="0"/>
        <w:jc w:val="both"/>
      </w:pPr>
      <w:r>
        <w:rPr/>
        <w:t>联交易事项。</w:t>
      </w:r>
    </w:p>
    <w:p>
      <w:pPr>
        <w:spacing w:line="240" w:lineRule="auto" w:before="7"/>
        <w:rPr>
          <w:rFonts w:ascii="宋体" w:hAnsi="宋体" w:cs="宋体" w:eastAsia="宋体" w:hint="default"/>
          <w:sz w:val="32"/>
          <w:szCs w:val="32"/>
        </w:rPr>
      </w:pPr>
    </w:p>
    <w:p>
      <w:pPr>
        <w:pStyle w:val="Heading5"/>
        <w:spacing w:line="352" w:lineRule="auto"/>
        <w:ind w:left="725" w:right="2866" w:hanging="108"/>
        <w:jc w:val="left"/>
        <w:rPr>
          <w:b w:val="0"/>
          <w:bCs w:val="0"/>
        </w:rPr>
      </w:pPr>
      <w:r>
        <w:rPr/>
        <w:t>第七节</w:t>
      </w:r>
      <w:r>
        <w:rPr>
          <w:spacing w:val="9"/>
        </w:rPr>
        <w:t> </w:t>
      </w:r>
      <w:r>
        <w:rPr/>
        <w:t>重大合同及其履行情况</w:t>
      </w:r>
      <w:r>
        <w:rPr/>
        <w:t> 一、托管、承包、租赁事项</w:t>
      </w:r>
      <w:r>
        <w:rPr>
          <w:b w:val="0"/>
          <w:bCs w:val="0"/>
        </w:rPr>
      </w:r>
    </w:p>
    <w:p>
      <w:pPr>
        <w:pStyle w:val="BodyText"/>
        <w:spacing w:line="240" w:lineRule="auto" w:before="3"/>
        <w:ind w:left="720" w:right="0"/>
        <w:jc w:val="left"/>
      </w:pPr>
      <w:r>
        <w:rPr/>
        <w:t>报告期内公司没有发生重大托管、承包、租赁事项亦无以前期间发生并延续</w:t>
      </w:r>
    </w:p>
    <w:p>
      <w:pPr>
        <w:spacing w:line="340" w:lineRule="exact" w:before="196"/>
        <w:ind w:left="617" w:right="2866" w:hanging="377"/>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到报告期的托管、承包、租赁事项。 </w:t>
      </w:r>
      <w:r>
        <w:rPr>
          <w:rFonts w:ascii="Microsoft JhengHei" w:hAnsi="Microsoft JhengHei" w:cs="Microsoft JhengHei" w:eastAsia="Microsoft JhengHei" w:hint="default"/>
          <w:b/>
          <w:bCs/>
          <w:sz w:val="24"/>
          <w:szCs w:val="24"/>
        </w:rPr>
        <w:t>二、重大担保情况</w:t>
      </w:r>
      <w:r>
        <w:rPr>
          <w:rFonts w:ascii="Microsoft JhengHei" w:hAnsi="Microsoft JhengHei" w:cs="Microsoft JhengHei" w:eastAsia="Microsoft JhengHei" w:hint="default"/>
          <w:sz w:val="24"/>
          <w:szCs w:val="24"/>
        </w:rPr>
      </w:r>
    </w:p>
    <w:p>
      <w:pPr>
        <w:pStyle w:val="BodyText"/>
        <w:spacing w:line="357" w:lineRule="auto" w:before="119"/>
        <w:ind w:left="617" w:right="0"/>
        <w:jc w:val="left"/>
      </w:pPr>
      <w:r>
        <w:rPr/>
        <w:t>1、报告期内公司对外担保情况说明 报告期内，公司没有为控股股东及其附属企业提供担保。截至报告期末，本</w:t>
      </w:r>
    </w:p>
    <w:p>
      <w:pPr>
        <w:spacing w:after="0" w:line="357" w:lineRule="auto"/>
        <w:jc w:val="left"/>
        <w:sectPr>
          <w:pgSz w:w="11910" w:h="16840"/>
          <w:pgMar w:header="859" w:footer="835" w:top="1420" w:bottom="1020" w:left="1660" w:right="1400"/>
        </w:sectPr>
      </w:pPr>
    </w:p>
    <w:p>
      <w:pPr>
        <w:pStyle w:val="BodyText"/>
        <w:spacing w:line="357" w:lineRule="auto" w:before="96"/>
        <w:ind w:left="137" w:right="145"/>
        <w:jc w:val="both"/>
      </w:pPr>
      <w:r>
        <w:rPr/>
        <w:pict>
          <v:group style="position:absolute;margin-left:88.799995pt;margin-top:6.335606pt;width:425.2pt;height:.1pt;mso-position-horizontal-relative:page;mso-position-vertical-relative:paragraph;z-index:-1140856" coordorigin="1776,127" coordsize="8504,2">
            <v:shape style="position:absolute;left:1776;top:127;width:8504;height:2" coordorigin="1776,127" coordsize="8504,0" path="m1776,127l10279,127e" filled="false" stroked="true" strokeweight=".72pt" strokecolor="#000008">
              <v:path arrowok="t"/>
            </v:shape>
            <w10:wrap type="none"/>
          </v:group>
        </w:pict>
      </w:r>
      <w:r>
        <w:rPr/>
        <w:t>公司对外担保总额</w:t>
      </w:r>
      <w:r>
        <w:rPr>
          <w:spacing w:val="-58"/>
        </w:rPr>
        <w:t> </w:t>
      </w:r>
      <w:r>
        <w:rPr/>
        <w:t>25,200</w:t>
      </w:r>
      <w:r>
        <w:rPr>
          <w:spacing w:val="-58"/>
        </w:rPr>
        <w:t> </w:t>
      </w:r>
      <w:r>
        <w:rPr>
          <w:spacing w:val="-6"/>
        </w:rPr>
        <w:t>万元，占公司净资产的</w:t>
      </w:r>
      <w:r>
        <w:rPr>
          <w:spacing w:val="-61"/>
        </w:rPr>
        <w:t> </w:t>
      </w:r>
      <w:r>
        <w:rPr>
          <w:spacing w:val="-4"/>
        </w:rPr>
        <w:t>8.73％，其中为下属控股子公司</w:t>
      </w:r>
      <w:r>
        <w:rPr/>
        <w:t> 提供担保总额</w:t>
      </w:r>
      <w:r>
        <w:rPr>
          <w:spacing w:val="-60"/>
        </w:rPr>
        <w:t> </w:t>
      </w:r>
      <w:r>
        <w:rPr/>
        <w:t>12,200</w:t>
      </w:r>
      <w:r>
        <w:rPr>
          <w:spacing w:val="-60"/>
        </w:rPr>
        <w:t> </w:t>
      </w:r>
      <w:r>
        <w:rPr/>
        <w:t>万元，为持股</w:t>
      </w:r>
      <w:r>
        <w:rPr>
          <w:spacing w:val="-60"/>
        </w:rPr>
        <w:t> </w:t>
      </w:r>
      <w:r>
        <w:rPr/>
        <w:t>50％以下的参股企业提供担保总额</w:t>
      </w:r>
      <w:r>
        <w:rPr>
          <w:spacing w:val="-60"/>
        </w:rPr>
        <w:t> </w:t>
      </w:r>
      <w:r>
        <w:rPr/>
        <w:t>13,000</w:t>
      </w:r>
      <w:r>
        <w:rPr>
          <w:spacing w:val="-60"/>
        </w:rPr>
        <w:t> </w:t>
      </w:r>
      <w:r>
        <w:rPr/>
        <w:t>万</w:t>
      </w:r>
      <w:r>
        <w:rPr/>
        <w:t> 元，为资产负债率超过</w:t>
      </w:r>
      <w:r>
        <w:rPr>
          <w:spacing w:val="-60"/>
        </w:rPr>
        <w:t> </w:t>
      </w:r>
      <w:r>
        <w:rPr/>
        <w:t>70％的公司提供担保</w:t>
      </w:r>
      <w:r>
        <w:rPr>
          <w:spacing w:val="-60"/>
        </w:rPr>
        <w:t> </w:t>
      </w:r>
      <w:r>
        <w:rPr/>
        <w:t>13,000</w:t>
      </w:r>
      <w:r>
        <w:rPr>
          <w:spacing w:val="-60"/>
        </w:rPr>
        <w:t> </w:t>
      </w:r>
      <w:r>
        <w:rPr/>
        <w:t>万元。</w:t>
      </w:r>
    </w:p>
    <w:p>
      <w:pPr>
        <w:pStyle w:val="BodyText"/>
        <w:tabs>
          <w:tab w:pos="7555" w:val="left" w:leader="none"/>
        </w:tabs>
        <w:spacing w:line="240" w:lineRule="auto"/>
        <w:ind w:left="617" w:right="25"/>
        <w:jc w:val="left"/>
        <w:rPr>
          <w:sz w:val="21"/>
          <w:szCs w:val="21"/>
        </w:rPr>
      </w:pPr>
      <w:r>
        <w:rPr/>
        <w:t>截至</w:t>
      </w:r>
      <w:r>
        <w:rPr>
          <w:spacing w:val="-62"/>
        </w:rPr>
        <w:t> </w:t>
      </w:r>
      <w:r>
        <w:rPr/>
        <w:t>2010</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日，具体担保明细如下表：</w:t>
        <w:tab/>
      </w:r>
      <w:r>
        <w:rPr>
          <w:spacing w:val="-3"/>
          <w:sz w:val="21"/>
          <w:szCs w:val="21"/>
        </w:rPr>
        <w:t>单位：万元</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06"/>
        <w:gridCol w:w="1567"/>
        <w:gridCol w:w="775"/>
        <w:gridCol w:w="518"/>
        <w:gridCol w:w="1639"/>
        <w:gridCol w:w="722"/>
        <w:gridCol w:w="1289"/>
      </w:tblGrid>
      <w:tr>
        <w:trPr>
          <w:trHeight w:val="360" w:hRule="exact"/>
        </w:trPr>
        <w:tc>
          <w:tcPr>
            <w:tcW w:w="8518" w:type="dxa"/>
            <w:gridSpan w:val="7"/>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0" w:lineRule="exact"/>
              <w:ind w:left="2544" w:right="0"/>
              <w:jc w:val="left"/>
              <w:rPr>
                <w:rFonts w:ascii="宋体" w:hAnsi="宋体" w:cs="宋体" w:eastAsia="宋体" w:hint="default"/>
                <w:sz w:val="18"/>
                <w:szCs w:val="18"/>
              </w:rPr>
            </w:pPr>
            <w:r>
              <w:rPr>
                <w:rFonts w:ascii="宋体" w:hAnsi="宋体" w:cs="宋体" w:eastAsia="宋体" w:hint="default"/>
                <w:sz w:val="18"/>
                <w:szCs w:val="18"/>
              </w:rPr>
              <w:t>公司对外担保情况（包括对子公司的担保）</w:t>
            </w:r>
          </w:p>
        </w:tc>
      </w:tr>
      <w:tr>
        <w:trPr>
          <w:trHeight w:val="713" w:hRule="exact"/>
        </w:trPr>
        <w:tc>
          <w:tcPr>
            <w:tcW w:w="200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（公司所占权益比例）</w:t>
            </w:r>
          </w:p>
        </w:tc>
        <w:tc>
          <w:tcPr>
            <w:tcW w:w="1567"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发生日期</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（协议签署日）</w:t>
            </w:r>
          </w:p>
        </w:tc>
        <w:tc>
          <w:tcPr>
            <w:tcW w:w="77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51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0" w:lineRule="exact"/>
              <w:ind w:left="74"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40" w:lineRule="auto" w:before="115"/>
              <w:ind w:left="7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3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2"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0" w:lineRule="exact"/>
              <w:ind w:left="86"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40" w:lineRule="auto" w:before="115"/>
              <w:ind w:left="86"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28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0" w:lineRule="exact"/>
              <w:ind w:left="55" w:right="-29" w:firstLine="45"/>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40" w:lineRule="auto" w:before="115"/>
              <w:ind w:left="55" w:right="-29"/>
              <w:jc w:val="left"/>
              <w:rPr>
                <w:rFonts w:ascii="宋体" w:hAnsi="宋体" w:cs="宋体" w:eastAsia="宋体" w:hint="default"/>
                <w:sz w:val="18"/>
                <w:szCs w:val="18"/>
              </w:rPr>
            </w:pPr>
            <w:r>
              <w:rPr>
                <w:rFonts w:ascii="宋体" w:hAnsi="宋体" w:cs="宋体" w:eastAsia="宋体" w:hint="default"/>
                <w:spacing w:val="11"/>
                <w:w w:val="90"/>
                <w:sz w:val="18"/>
                <w:szCs w:val="18"/>
              </w:rPr>
              <w:t>担保（是或否）</w:t>
            </w:r>
            <w:r>
              <w:rPr>
                <w:rFonts w:ascii="宋体" w:hAnsi="宋体" w:cs="宋体" w:eastAsia="宋体" w:hint="default"/>
                <w:spacing w:val="11"/>
                <w:sz w:val="18"/>
                <w:szCs w:val="18"/>
              </w:rPr>
            </w:r>
          </w:p>
        </w:tc>
      </w:tr>
      <w:tr>
        <w:trPr>
          <w:trHeight w:val="319" w:hRule="exact"/>
        </w:trPr>
        <w:tc>
          <w:tcPr>
            <w:tcW w:w="2006" w:type="dxa"/>
            <w:vMerge w:val="restart"/>
            <w:tcBorders>
              <w:top w:val="single" w:sz="4" w:space="0" w:color="000008"/>
              <w:left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pacing w:val="16"/>
                <w:sz w:val="20"/>
                <w:szCs w:val="20"/>
              </w:rPr>
              <w:t>深圳市福田农产品批</w:t>
            </w:r>
          </w:p>
          <w:p>
            <w:pPr>
              <w:pStyle w:val="TableParagraph"/>
              <w:spacing w:line="240" w:lineRule="auto" w:before="129"/>
              <w:ind w:left="24" w:right="0"/>
              <w:jc w:val="left"/>
              <w:rPr>
                <w:rFonts w:ascii="宋体" w:hAnsi="宋体" w:cs="宋体" w:eastAsia="宋体" w:hint="default"/>
                <w:sz w:val="20"/>
                <w:szCs w:val="20"/>
              </w:rPr>
            </w:pPr>
            <w:r>
              <w:rPr>
                <w:rFonts w:ascii="宋体" w:hAnsi="宋体" w:cs="宋体" w:eastAsia="宋体" w:hint="default"/>
                <w:sz w:val="20"/>
                <w:szCs w:val="20"/>
              </w:rPr>
              <w:t>发 市 场 有 限 公</w:t>
            </w:r>
            <w:r>
              <w:rPr>
                <w:rFonts w:ascii="宋体" w:hAnsi="宋体" w:cs="宋体" w:eastAsia="宋体" w:hint="default"/>
                <w:spacing w:val="-59"/>
                <w:sz w:val="20"/>
                <w:szCs w:val="20"/>
              </w:rPr>
              <w:t> </w:t>
            </w:r>
            <w:r>
              <w:rPr>
                <w:rFonts w:ascii="宋体" w:hAnsi="宋体" w:cs="宋体" w:eastAsia="宋体" w:hint="default"/>
                <w:sz w:val="20"/>
                <w:szCs w:val="20"/>
              </w:rPr>
              <w:t>司</w:t>
            </w:r>
          </w:p>
          <w:p>
            <w:pPr>
              <w:pStyle w:val="TableParagraph"/>
              <w:spacing w:line="240" w:lineRule="auto" w:before="127"/>
              <w:ind w:left="2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72.99%</w:t>
            </w:r>
            <w:r>
              <w:rPr>
                <w:rFonts w:ascii="宋体" w:hAnsi="宋体" w:cs="宋体" w:eastAsia="宋体" w:hint="default"/>
                <w:sz w:val="20"/>
                <w:szCs w:val="20"/>
              </w:rPr>
              <w:t>）</w:t>
            </w:r>
          </w:p>
        </w:tc>
        <w:tc>
          <w:tcPr>
            <w:tcW w:w="1567"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 w:right="0"/>
              <w:jc w:val="center"/>
              <w:rPr>
                <w:rFonts w:ascii="Times New Roman" w:hAnsi="Times New Roman" w:cs="Times New Roman" w:eastAsia="Times New Roman" w:hint="default"/>
                <w:sz w:val="18"/>
                <w:szCs w:val="18"/>
              </w:rPr>
            </w:pPr>
            <w:r>
              <w:rPr>
                <w:rFonts w:ascii="Times New Roman"/>
                <w:sz w:val="18"/>
              </w:rPr>
              <w:t>1,700.00</w:t>
            </w:r>
          </w:p>
        </w:tc>
        <w:tc>
          <w:tcPr>
            <w:tcW w:w="518" w:type="dxa"/>
            <w:vMerge w:val="restart"/>
            <w:tcBorders>
              <w:top w:val="single" w:sz="4" w:space="0" w:color="000008"/>
              <w:left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57" w:lineRule="auto"/>
              <w:ind w:left="74" w:right="72"/>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3" w:right="0"/>
              <w:jc w:val="center"/>
              <w:rPr>
                <w:rFonts w:ascii="Times New Roman" w:hAnsi="Times New Roman" w:cs="Times New Roman" w:eastAsia="Times New Roman" w:hint="default"/>
                <w:sz w:val="18"/>
                <w:szCs w:val="18"/>
              </w:rPr>
            </w:pPr>
            <w:r>
              <w:rPr>
                <w:rFonts w:ascii="Times New Roman"/>
                <w:sz w:val="18"/>
              </w:rPr>
              <w:t>2008.3.24-2011.3.24</w:t>
            </w:r>
          </w:p>
        </w:tc>
        <w:tc>
          <w:tcPr>
            <w:tcW w:w="72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89"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62" w:hRule="exact"/>
        </w:trPr>
        <w:tc>
          <w:tcPr>
            <w:tcW w:w="2006" w:type="dxa"/>
            <w:vMerge/>
            <w:tcBorders>
              <w:left w:val="single" w:sz="4" w:space="0" w:color="000008"/>
              <w:bottom w:val="single" w:sz="4" w:space="0" w:color="000008"/>
              <w:right w:val="single" w:sz="4" w:space="0" w:color="000008"/>
            </w:tcBorders>
          </w:tcPr>
          <w:p>
            <w:pPr/>
          </w:p>
        </w:tc>
        <w:tc>
          <w:tcPr>
            <w:tcW w:w="1567" w:type="dxa"/>
            <w:vMerge/>
            <w:tcBorders>
              <w:left w:val="single" w:sz="4" w:space="0" w:color="000008"/>
              <w:bottom w:val="single" w:sz="4" w:space="0" w:color="000008"/>
              <w:right w:val="single" w:sz="4" w:space="0" w:color="000008"/>
            </w:tcBorders>
          </w:tcPr>
          <w:p>
            <w:pPr/>
          </w:p>
        </w:tc>
        <w:tc>
          <w:tcPr>
            <w:tcW w:w="7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1,500.00</w:t>
            </w:r>
          </w:p>
        </w:tc>
        <w:tc>
          <w:tcPr>
            <w:tcW w:w="518" w:type="dxa"/>
            <w:vMerge/>
            <w:tcBorders>
              <w:left w:val="single" w:sz="4" w:space="0" w:color="000008"/>
              <w:bottom w:val="single" w:sz="4" w:space="0" w:color="000008"/>
              <w:right w:val="single" w:sz="4" w:space="0" w:color="000008"/>
            </w:tcBorders>
          </w:tcPr>
          <w:p>
            <w:pP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2009.12.11-2011.3.24</w:t>
            </w:r>
          </w:p>
        </w:tc>
        <w:tc>
          <w:tcPr>
            <w:tcW w:w="722" w:type="dxa"/>
            <w:vMerge/>
            <w:tcBorders>
              <w:left w:val="single" w:sz="4" w:space="0" w:color="000008"/>
              <w:bottom w:val="single" w:sz="4" w:space="0" w:color="000008"/>
              <w:right w:val="single" w:sz="4" w:space="0" w:color="000008"/>
            </w:tcBorders>
          </w:tcPr>
          <w:p>
            <w:pPr/>
          </w:p>
        </w:tc>
        <w:tc>
          <w:tcPr>
            <w:tcW w:w="1289" w:type="dxa"/>
            <w:vMerge/>
            <w:tcBorders>
              <w:left w:val="single" w:sz="4" w:space="0" w:color="000008"/>
              <w:bottom w:val="single" w:sz="4" w:space="0" w:color="000008"/>
              <w:right w:val="single" w:sz="4" w:space="0" w:color="000008"/>
            </w:tcBorders>
          </w:tcPr>
          <w:p>
            <w:pPr/>
          </w:p>
        </w:tc>
      </w:tr>
      <w:tr>
        <w:trPr>
          <w:trHeight w:val="710" w:hRule="exact"/>
        </w:trPr>
        <w:tc>
          <w:tcPr>
            <w:tcW w:w="2006" w:type="dxa"/>
            <w:vMerge w:val="restart"/>
            <w:tcBorders>
              <w:top w:val="single" w:sz="4" w:space="0" w:color="000008"/>
              <w:left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72" w:lineRule="auto"/>
              <w:ind w:left="24" w:right="26"/>
              <w:jc w:val="both"/>
              <w:rPr>
                <w:rFonts w:ascii="Times New Roman" w:hAnsi="Times New Roman" w:cs="Times New Roman" w:eastAsia="Times New Roman" w:hint="default"/>
                <w:sz w:val="18"/>
                <w:szCs w:val="18"/>
              </w:rPr>
            </w:pPr>
            <w:r>
              <w:rPr>
                <w:rFonts w:ascii="宋体" w:hAnsi="宋体" w:cs="宋体" w:eastAsia="宋体" w:hint="default"/>
                <w:spacing w:val="13"/>
                <w:sz w:val="18"/>
                <w:szCs w:val="18"/>
              </w:rPr>
              <w:t>深圳市民润农产品配送</w:t>
            </w:r>
            <w:r>
              <w:rPr>
                <w:rFonts w:ascii="宋体" w:hAnsi="宋体" w:cs="宋体" w:eastAsia="宋体" w:hint="default"/>
                <w:sz w:val="18"/>
                <w:szCs w:val="18"/>
              </w:rPr>
              <w:t> 连</w:t>
            </w:r>
            <w:r>
              <w:rPr>
                <w:rFonts w:ascii="宋体" w:hAnsi="宋体" w:cs="宋体" w:eastAsia="宋体" w:hint="default"/>
                <w:spacing w:val="-23"/>
                <w:sz w:val="18"/>
                <w:szCs w:val="18"/>
              </w:rPr>
              <w:t> </w:t>
            </w:r>
            <w:r>
              <w:rPr>
                <w:rFonts w:ascii="宋体" w:hAnsi="宋体" w:cs="宋体" w:eastAsia="宋体" w:hint="default"/>
                <w:sz w:val="18"/>
                <w:szCs w:val="18"/>
              </w:rPr>
              <w:t>锁</w:t>
            </w:r>
            <w:r>
              <w:rPr>
                <w:rFonts w:ascii="宋体" w:hAnsi="宋体" w:cs="宋体" w:eastAsia="宋体" w:hint="default"/>
                <w:spacing w:val="-16"/>
                <w:sz w:val="18"/>
                <w:szCs w:val="18"/>
              </w:rPr>
              <w:t> </w:t>
            </w:r>
            <w:r>
              <w:rPr>
                <w:rFonts w:ascii="宋体" w:hAnsi="宋体" w:cs="宋体" w:eastAsia="宋体" w:hint="default"/>
                <w:sz w:val="18"/>
                <w:szCs w:val="18"/>
              </w:rPr>
              <w:t>商</w:t>
            </w:r>
            <w:r>
              <w:rPr>
                <w:rFonts w:ascii="宋体" w:hAnsi="宋体" w:cs="宋体" w:eastAsia="宋体" w:hint="default"/>
                <w:spacing w:val="-18"/>
                <w:sz w:val="18"/>
                <w:szCs w:val="18"/>
              </w:rPr>
              <w:t> </w:t>
            </w:r>
            <w:r>
              <w:rPr>
                <w:rFonts w:ascii="宋体" w:hAnsi="宋体" w:cs="宋体" w:eastAsia="宋体" w:hint="default"/>
                <w:sz w:val="18"/>
                <w:szCs w:val="18"/>
              </w:rPr>
              <w:t>业</w:t>
            </w:r>
            <w:r>
              <w:rPr>
                <w:rFonts w:ascii="宋体" w:hAnsi="宋体" w:cs="宋体" w:eastAsia="宋体" w:hint="default"/>
                <w:spacing w:val="-18"/>
                <w:sz w:val="18"/>
                <w:szCs w:val="18"/>
              </w:rPr>
              <w:t> </w:t>
            </w:r>
            <w:r>
              <w:rPr>
                <w:rFonts w:ascii="宋体" w:hAnsi="宋体" w:cs="宋体" w:eastAsia="宋体" w:hint="default"/>
                <w:sz w:val="18"/>
                <w:szCs w:val="18"/>
              </w:rPr>
              <w:t>有</w:t>
            </w:r>
            <w:r>
              <w:rPr>
                <w:rFonts w:ascii="宋体" w:hAnsi="宋体" w:cs="宋体" w:eastAsia="宋体" w:hint="default"/>
                <w:spacing w:val="-16"/>
                <w:sz w:val="18"/>
                <w:szCs w:val="18"/>
              </w:rPr>
              <w:t> </w:t>
            </w:r>
            <w:r>
              <w:rPr>
                <w:rFonts w:ascii="宋体" w:hAnsi="宋体" w:cs="宋体" w:eastAsia="宋体" w:hint="default"/>
                <w:sz w:val="18"/>
                <w:szCs w:val="18"/>
              </w:rPr>
              <w:t>限</w:t>
            </w:r>
            <w:r>
              <w:rPr>
                <w:rFonts w:ascii="宋体" w:hAnsi="宋体" w:cs="宋体" w:eastAsia="宋体" w:hint="default"/>
                <w:spacing w:val="-18"/>
                <w:sz w:val="18"/>
                <w:szCs w:val="18"/>
              </w:rPr>
              <w:t> </w:t>
            </w:r>
            <w:r>
              <w:rPr>
                <w:rFonts w:ascii="宋体" w:hAnsi="宋体" w:cs="宋体" w:eastAsia="宋体" w:hint="default"/>
                <w:sz w:val="18"/>
                <w:szCs w:val="18"/>
              </w:rPr>
              <w:t>公</w:t>
            </w:r>
            <w:r>
              <w:rPr>
                <w:rFonts w:ascii="宋体" w:hAnsi="宋体" w:cs="宋体" w:eastAsia="宋体" w:hint="default"/>
                <w:spacing w:val="-18"/>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(47.76%)</w:t>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w:t>
            </w:r>
          </w:p>
        </w:tc>
        <w:tc>
          <w:tcPr>
            <w:tcW w:w="518" w:type="dxa"/>
            <w:tcBorders>
              <w:top w:val="single" w:sz="4" w:space="0" w:color="000008"/>
              <w:left w:val="single" w:sz="4" w:space="0" w:color="000008"/>
              <w:bottom w:val="single" w:sz="4" w:space="0" w:color="000008"/>
              <w:right w:val="single" w:sz="4" w:space="0" w:color="000008"/>
            </w:tcBorders>
          </w:tcPr>
          <w:p>
            <w:pPr>
              <w:pStyle w:val="TableParagraph"/>
              <w:spacing w:line="208" w:lineRule="exact"/>
              <w:ind w:left="74" w:right="0"/>
              <w:jc w:val="left"/>
              <w:rPr>
                <w:rFonts w:ascii="宋体" w:hAnsi="宋体" w:cs="宋体" w:eastAsia="宋体" w:hint="default"/>
                <w:sz w:val="18"/>
                <w:szCs w:val="18"/>
              </w:rPr>
            </w:pPr>
            <w:r>
              <w:rPr>
                <w:rFonts w:ascii="宋体" w:hAnsi="宋体" w:cs="宋体" w:eastAsia="宋体" w:hint="default"/>
                <w:sz w:val="18"/>
                <w:szCs w:val="18"/>
              </w:rPr>
              <w:t>连带</w:t>
            </w:r>
          </w:p>
          <w:p>
            <w:pPr>
              <w:pStyle w:val="TableParagraph"/>
              <w:spacing w:line="240" w:lineRule="auto" w:before="115"/>
              <w:ind w:left="7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2008.9.5-2010.1.10</w:t>
            </w:r>
          </w:p>
        </w:tc>
        <w:tc>
          <w:tcPr>
            <w:tcW w:w="7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264"/>
              <w:jc w:val="right"/>
              <w:rPr>
                <w:rFonts w:ascii="宋体" w:hAnsi="宋体" w:cs="宋体" w:eastAsia="宋体" w:hint="default"/>
                <w:sz w:val="18"/>
                <w:szCs w:val="18"/>
              </w:rPr>
            </w:pPr>
            <w:r>
              <w:rPr>
                <w:rFonts w:ascii="宋体" w:hAnsi="宋体" w:cs="宋体" w:eastAsia="宋体" w:hint="default"/>
                <w:sz w:val="18"/>
                <w:szCs w:val="18"/>
              </w:rPr>
              <w:t>否</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006" w:type="dxa"/>
            <w:vMerge/>
            <w:tcBorders>
              <w:left w:val="single" w:sz="4" w:space="0" w:color="000008"/>
              <w:bottom w:val="single" w:sz="4" w:space="0" w:color="000008"/>
              <w:right w:val="single" w:sz="4" w:space="0" w:color="000008"/>
            </w:tcBorders>
          </w:tcPr>
          <w:p>
            <w:pP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3,000.00</w:t>
            </w:r>
          </w:p>
        </w:tc>
        <w:tc>
          <w:tcPr>
            <w:tcW w:w="518"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74" w:right="0"/>
              <w:jc w:val="left"/>
              <w:rPr>
                <w:rFonts w:ascii="宋体" w:hAnsi="宋体" w:cs="宋体" w:eastAsia="宋体" w:hint="default"/>
                <w:sz w:val="18"/>
                <w:szCs w:val="18"/>
              </w:rPr>
            </w:pPr>
            <w:r>
              <w:rPr>
                <w:rFonts w:ascii="宋体" w:hAnsi="宋体" w:cs="宋体" w:eastAsia="宋体" w:hint="default"/>
                <w:sz w:val="18"/>
                <w:szCs w:val="18"/>
              </w:rPr>
              <w:t>连带</w:t>
            </w:r>
          </w:p>
          <w:p>
            <w:pPr>
              <w:pStyle w:val="TableParagraph"/>
              <w:spacing w:line="240" w:lineRule="auto" w:before="115"/>
              <w:ind w:left="7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2009.11.30-2010.5.30</w:t>
            </w:r>
          </w:p>
        </w:tc>
        <w:tc>
          <w:tcPr>
            <w:tcW w:w="7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264"/>
              <w:jc w:val="right"/>
              <w:rPr>
                <w:rFonts w:ascii="宋体" w:hAnsi="宋体" w:cs="宋体" w:eastAsia="宋体" w:hint="default"/>
                <w:sz w:val="18"/>
                <w:szCs w:val="18"/>
              </w:rPr>
            </w:pPr>
            <w:r>
              <w:rPr>
                <w:rFonts w:ascii="宋体" w:hAnsi="宋体" w:cs="宋体" w:eastAsia="宋体" w:hint="default"/>
                <w:sz w:val="18"/>
                <w:szCs w:val="18"/>
              </w:rPr>
              <w:t>否</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1" w:hRule="exact"/>
        </w:trPr>
        <w:tc>
          <w:tcPr>
            <w:tcW w:w="2006"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pacing w:val="13"/>
                <w:sz w:val="18"/>
                <w:szCs w:val="18"/>
              </w:rPr>
              <w:t>深圳市布吉海鲜市场有</w:t>
            </w:r>
          </w:p>
          <w:p>
            <w:pPr>
              <w:pStyle w:val="TableParagraph"/>
              <w:spacing w:line="240" w:lineRule="auto" w:before="110"/>
              <w:ind w:left="24" w:right="0"/>
              <w:jc w:val="left"/>
              <w:rPr>
                <w:rFonts w:ascii="宋体" w:hAnsi="宋体" w:cs="宋体" w:eastAsia="宋体" w:hint="default"/>
                <w:sz w:val="20"/>
                <w:szCs w:val="20"/>
              </w:rPr>
            </w:pPr>
            <w:r>
              <w:rPr>
                <w:rFonts w:ascii="宋体" w:hAnsi="宋体" w:cs="宋体" w:eastAsia="宋体" w:hint="default"/>
                <w:sz w:val="18"/>
                <w:szCs w:val="18"/>
              </w:rPr>
              <w:t>限公司（</w:t>
            </w:r>
            <w:r>
              <w:rPr>
                <w:rFonts w:ascii="Times New Roman" w:hAnsi="Times New Roman" w:cs="Times New Roman" w:eastAsia="Times New Roman" w:hint="default"/>
                <w:sz w:val="20"/>
                <w:szCs w:val="20"/>
              </w:rPr>
              <w:t>51.20%</w:t>
            </w:r>
            <w:r>
              <w:rPr>
                <w:rFonts w:ascii="宋体" w:hAnsi="宋体" w:cs="宋体" w:eastAsia="宋体" w:hint="default"/>
                <w:sz w:val="20"/>
                <w:szCs w:val="20"/>
              </w:rPr>
              <w:t>）</w:t>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3,000.00</w:t>
            </w:r>
          </w:p>
        </w:tc>
        <w:tc>
          <w:tcPr>
            <w:tcW w:w="518" w:type="dxa"/>
            <w:tcBorders>
              <w:top w:val="single" w:sz="4" w:space="0" w:color="000008"/>
              <w:left w:val="single" w:sz="4" w:space="0" w:color="000008"/>
              <w:bottom w:val="single" w:sz="4" w:space="0" w:color="000008"/>
              <w:right w:val="single" w:sz="4" w:space="0" w:color="000008"/>
            </w:tcBorders>
          </w:tcPr>
          <w:p>
            <w:pPr>
              <w:pStyle w:val="TableParagraph"/>
              <w:spacing w:line="357" w:lineRule="auto"/>
              <w:ind w:left="74" w:right="72"/>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2009.9.23-2010.9.23</w:t>
            </w:r>
          </w:p>
        </w:tc>
        <w:tc>
          <w:tcPr>
            <w:tcW w:w="7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否</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006"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pacing w:val="13"/>
                <w:sz w:val="18"/>
                <w:szCs w:val="18"/>
              </w:rPr>
              <w:t>南昌深圳农产品中心批</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发市场有限公司（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3,000.00</w:t>
            </w:r>
          </w:p>
        </w:tc>
        <w:tc>
          <w:tcPr>
            <w:tcW w:w="518"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74" w:right="0"/>
              <w:jc w:val="left"/>
              <w:rPr>
                <w:rFonts w:ascii="宋体" w:hAnsi="宋体" w:cs="宋体" w:eastAsia="宋体" w:hint="default"/>
                <w:sz w:val="18"/>
                <w:szCs w:val="18"/>
              </w:rPr>
            </w:pPr>
            <w:r>
              <w:rPr>
                <w:rFonts w:ascii="宋体" w:hAnsi="宋体" w:cs="宋体" w:eastAsia="宋体" w:hint="default"/>
                <w:sz w:val="18"/>
                <w:szCs w:val="18"/>
              </w:rPr>
              <w:t>连带</w:t>
            </w:r>
          </w:p>
          <w:p>
            <w:pPr>
              <w:pStyle w:val="TableParagraph"/>
              <w:spacing w:line="240" w:lineRule="auto" w:before="115"/>
              <w:ind w:left="7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2009.6.12-2012.9.29</w:t>
            </w:r>
          </w:p>
        </w:tc>
        <w:tc>
          <w:tcPr>
            <w:tcW w:w="7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264"/>
              <w:jc w:val="right"/>
              <w:rPr>
                <w:rFonts w:ascii="宋体" w:hAnsi="宋体" w:cs="宋体" w:eastAsia="宋体" w:hint="default"/>
                <w:sz w:val="18"/>
                <w:szCs w:val="18"/>
              </w:rPr>
            </w:pPr>
            <w:r>
              <w:rPr>
                <w:rFonts w:ascii="宋体" w:hAnsi="宋体" w:cs="宋体" w:eastAsia="宋体" w:hint="default"/>
                <w:sz w:val="18"/>
                <w:szCs w:val="18"/>
              </w:rPr>
              <w:t>否</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2006"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pacing w:val="16"/>
                <w:sz w:val="20"/>
                <w:szCs w:val="20"/>
              </w:rPr>
              <w:t>深圳市果菜贸易公司</w:t>
            </w:r>
          </w:p>
          <w:p>
            <w:pPr>
              <w:pStyle w:val="TableParagraph"/>
              <w:spacing w:line="240" w:lineRule="auto" w:before="127"/>
              <w:ind w:left="24" w:right="0"/>
              <w:jc w:val="left"/>
              <w:rPr>
                <w:rFonts w:ascii="宋体" w:hAnsi="宋体" w:cs="宋体" w:eastAsia="宋体" w:hint="default"/>
                <w:sz w:val="20"/>
                <w:szCs w:val="20"/>
              </w:rPr>
            </w:pPr>
            <w:r>
              <w:rPr>
                <w:rFonts w:ascii="宋体" w:hAnsi="宋体" w:cs="宋体" w:eastAsia="宋体" w:hint="default"/>
                <w:sz w:val="20"/>
                <w:szCs w:val="20"/>
              </w:rPr>
              <w:t>（100％）</w:t>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3,000.00</w:t>
            </w:r>
          </w:p>
        </w:tc>
        <w:tc>
          <w:tcPr>
            <w:tcW w:w="518" w:type="dxa"/>
            <w:tcBorders>
              <w:top w:val="single" w:sz="4" w:space="0" w:color="000008"/>
              <w:left w:val="single" w:sz="4" w:space="0" w:color="000008"/>
              <w:bottom w:val="single" w:sz="4" w:space="0" w:color="000008"/>
              <w:right w:val="single" w:sz="4" w:space="0" w:color="000008"/>
            </w:tcBorders>
          </w:tcPr>
          <w:p>
            <w:pPr>
              <w:pStyle w:val="TableParagraph"/>
              <w:spacing w:line="357" w:lineRule="auto" w:before="10"/>
              <w:ind w:left="74" w:right="72"/>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2009.9.17-2010.9.17</w:t>
            </w:r>
          </w:p>
        </w:tc>
        <w:tc>
          <w:tcPr>
            <w:tcW w:w="7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否</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367"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350" w:hRule="exact"/>
        </w:trPr>
        <w:tc>
          <w:tcPr>
            <w:tcW w:w="8518" w:type="dxa"/>
            <w:gridSpan w:val="7"/>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67"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8"/>
              <w:jc w:val="right"/>
              <w:rPr>
                <w:rFonts w:ascii="Times New Roman" w:hAnsi="Times New Roman" w:cs="Times New Roman" w:eastAsia="Times New Roman" w:hint="default"/>
                <w:sz w:val="18"/>
                <w:szCs w:val="18"/>
              </w:rPr>
            </w:pPr>
            <w:r>
              <w:rPr>
                <w:rFonts w:ascii="Times New Roman"/>
                <w:spacing w:val="-1"/>
                <w:sz w:val="18"/>
              </w:rPr>
              <w:t>12,200.00</w:t>
            </w:r>
          </w:p>
        </w:tc>
      </w:tr>
      <w:tr>
        <w:trPr>
          <w:trHeight w:val="365"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9"/>
              <w:ind w:right="18"/>
              <w:jc w:val="right"/>
              <w:rPr>
                <w:rFonts w:ascii="Times New Roman" w:hAnsi="Times New Roman" w:cs="Times New Roman" w:eastAsia="Times New Roman" w:hint="default"/>
                <w:sz w:val="18"/>
                <w:szCs w:val="18"/>
              </w:rPr>
            </w:pPr>
            <w:r>
              <w:rPr>
                <w:rFonts w:ascii="Times New Roman"/>
                <w:spacing w:val="-1"/>
                <w:sz w:val="18"/>
              </w:rPr>
              <w:t>12,200.00</w:t>
            </w:r>
          </w:p>
        </w:tc>
      </w:tr>
      <w:tr>
        <w:trPr>
          <w:trHeight w:val="350" w:hRule="exact"/>
        </w:trPr>
        <w:tc>
          <w:tcPr>
            <w:tcW w:w="8518" w:type="dxa"/>
            <w:gridSpan w:val="7"/>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367"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right="18"/>
              <w:jc w:val="right"/>
              <w:rPr>
                <w:rFonts w:ascii="Times New Roman" w:hAnsi="Times New Roman" w:cs="Times New Roman" w:eastAsia="Times New Roman" w:hint="default"/>
                <w:sz w:val="18"/>
                <w:szCs w:val="18"/>
              </w:rPr>
            </w:pPr>
            <w:r>
              <w:rPr>
                <w:rFonts w:ascii="Times New Roman"/>
                <w:spacing w:val="-1"/>
                <w:sz w:val="18"/>
              </w:rPr>
              <w:t>25,200.00</w:t>
            </w:r>
          </w:p>
        </w:tc>
      </w:tr>
      <w:tr>
        <w:trPr>
          <w:trHeight w:val="365"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pacing w:val="-1"/>
                <w:sz w:val="18"/>
              </w:rPr>
              <w:t>8.73%</w:t>
            </w:r>
          </w:p>
        </w:tc>
      </w:tr>
      <w:tr>
        <w:trPr>
          <w:trHeight w:val="353" w:hRule="exact"/>
        </w:trPr>
        <w:tc>
          <w:tcPr>
            <w:tcW w:w="8518" w:type="dxa"/>
            <w:gridSpan w:val="7"/>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5"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为股东</w:t>
            </w:r>
            <w:r>
              <w:rPr>
                <w:rFonts w:ascii="宋体" w:hAnsi="宋体" w:cs="宋体" w:eastAsia="宋体" w:hint="default"/>
                <w:spacing w:val="-82"/>
                <w:sz w:val="18"/>
                <w:szCs w:val="18"/>
              </w:rPr>
              <w:t>、</w:t>
            </w:r>
            <w:r>
              <w:rPr>
                <w:rFonts w:ascii="宋体" w:hAnsi="宋体" w:cs="宋体" w:eastAsia="宋体" w:hint="default"/>
                <w:sz w:val="18"/>
                <w:szCs w:val="18"/>
              </w:rPr>
              <w:t>实际控制人及其关联方提供担保</w:t>
            </w:r>
            <w:r>
              <w:rPr>
                <w:rFonts w:ascii="宋体" w:hAnsi="宋体" w:cs="宋体" w:eastAsia="宋体" w:hint="default"/>
                <w:spacing w:val="-3"/>
                <w:sz w:val="18"/>
                <w:szCs w:val="18"/>
              </w:rPr>
              <w:t>的</w:t>
            </w:r>
            <w:r>
              <w:rPr>
                <w:rFonts w:ascii="宋体" w:hAnsi="宋体" w:cs="宋体" w:eastAsia="宋体" w:hint="default"/>
                <w:sz w:val="18"/>
                <w:szCs w:val="18"/>
              </w:rPr>
              <w:t>金</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对象提供的债务担保金额</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361"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61" w:hRule="exact"/>
        </w:trPr>
        <w:tc>
          <w:tcPr>
            <w:tcW w:w="3574"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4944"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13,000.00</w:t>
            </w:r>
          </w:p>
        </w:tc>
      </w:tr>
    </w:tbl>
    <w:p>
      <w:pPr>
        <w:spacing w:after="0" w:line="240" w:lineRule="auto"/>
        <w:jc w:val="right"/>
        <w:rPr>
          <w:rFonts w:ascii="Times New Roman" w:hAnsi="Times New Roman" w:cs="Times New Roman" w:eastAsia="Times New Roman" w:hint="default"/>
          <w:sz w:val="18"/>
          <w:szCs w:val="18"/>
        </w:rPr>
        <w:sectPr>
          <w:pgSz w:w="11910" w:h="16840"/>
          <w:pgMar w:header="859" w:footer="835" w:top="1420" w:bottom="1020" w:left="1660" w:right="1500"/>
        </w:sectPr>
      </w:pPr>
    </w:p>
    <w:p>
      <w:pPr>
        <w:spacing w:line="393" w:lineRule="auto" w:before="19"/>
        <w:ind w:left="697" w:right="0" w:firstLine="0"/>
        <w:jc w:val="left"/>
        <w:rPr>
          <w:rFonts w:ascii="宋体" w:hAnsi="宋体" w:cs="宋体" w:eastAsia="宋体" w:hint="default"/>
          <w:sz w:val="24"/>
          <w:szCs w:val="24"/>
        </w:rPr>
      </w:pPr>
      <w:r>
        <w:rPr/>
        <w:pict>
          <v:group style="position:absolute;margin-left:88.799995pt;margin-top:6.30363pt;width:425.2pt;height:.1pt;mso-position-horizontal-relative:page;mso-position-vertical-relative:paragraph;z-index:-1140832" coordorigin="1776,126" coordsize="8504,2">
            <v:shape style="position:absolute;left:1776;top:126;width:8504;height:2" coordorigin="1776,126" coordsize="8504,0" path="m1776,126l10279,126e" filled="false" stroked="true" strokeweight=".72pt" strokecolor="#000008">
              <v:path arrowok="t"/>
            </v:shape>
            <w10:wrap type="none"/>
          </v:group>
        </w:pict>
      </w:r>
      <w:r>
        <w:rPr>
          <w:rFonts w:ascii="Microsoft JhengHei" w:hAnsi="Microsoft JhengHei" w:cs="Microsoft JhengHei" w:eastAsia="Microsoft JhengHei" w:hint="default"/>
          <w:b/>
          <w:bCs/>
          <w:sz w:val="24"/>
          <w:szCs w:val="24"/>
        </w:rPr>
        <w:t>2、独立董事对公司对外担保情况的专项说明及独立意见 </w:t>
      </w:r>
      <w:r>
        <w:rPr>
          <w:rFonts w:ascii="宋体" w:hAnsi="宋体" w:cs="宋体" w:eastAsia="宋体" w:hint="default"/>
          <w:sz w:val="24"/>
          <w:szCs w:val="24"/>
        </w:rPr>
        <w:t>报告期内，公司没有为控股股东及其附属企业提供担保。截至报告期末，公</w:t>
      </w:r>
    </w:p>
    <w:p>
      <w:pPr>
        <w:pStyle w:val="BodyText"/>
        <w:spacing w:line="367" w:lineRule="auto" w:before="12"/>
        <w:ind w:left="217" w:right="108"/>
        <w:jc w:val="both"/>
      </w:pPr>
      <w:r>
        <w:rPr/>
        <w:t>司未撤销对外担保总额</w:t>
      </w:r>
      <w:r>
        <w:rPr>
          <w:spacing w:val="-30"/>
        </w:rPr>
        <w:t> </w:t>
      </w:r>
      <w:r>
        <w:rPr/>
        <w:t>25,200</w:t>
      </w:r>
      <w:r>
        <w:rPr>
          <w:spacing w:val="-30"/>
        </w:rPr>
        <w:t> </w:t>
      </w:r>
      <w:r>
        <w:rPr/>
        <w:t>万元，占公司</w:t>
      </w:r>
      <w:r>
        <w:rPr>
          <w:spacing w:val="-75"/>
        </w:rPr>
        <w:t> </w:t>
      </w:r>
      <w:r>
        <w:rPr/>
        <w:t>2009</w:t>
      </w:r>
      <w:r>
        <w:rPr>
          <w:spacing w:val="-75"/>
        </w:rPr>
        <w:t> </w:t>
      </w:r>
      <w:r>
        <w:rPr/>
        <w:t>年度经审计净资产的</w:t>
      </w:r>
      <w:r>
        <w:rPr>
          <w:spacing w:val="-75"/>
        </w:rPr>
        <w:t> </w:t>
      </w:r>
      <w:r>
        <w:rPr/>
        <w:t>8.73％</w:t>
      </w:r>
      <w:r>
        <w:rPr>
          <w:spacing w:val="-76"/>
        </w:rPr>
        <w:t> </w:t>
      </w:r>
      <w:r>
        <w:rPr/>
        <w:t>。</w:t>
      </w:r>
      <w:r>
        <w:rPr>
          <w:w w:val="75"/>
        </w:rPr>
        <w:t> </w:t>
      </w:r>
      <w:r>
        <w:rPr/>
        <w:t>其中为下属控股子公司提供担保总额 12,200 </w:t>
      </w:r>
      <w:r>
        <w:rPr>
          <w:spacing w:val="-20"/>
        </w:rPr>
        <w:t>万元，为持股</w:t>
      </w:r>
      <w:r>
        <w:rPr>
          <w:spacing w:val="-60"/>
        </w:rPr>
        <w:t> </w:t>
      </w:r>
      <w:r>
        <w:rPr/>
        <w:t>50%以下的参股企业提</w:t>
      </w:r>
      <w:r>
        <w:rPr/>
        <w:t> 供担保总额</w:t>
      </w:r>
      <w:r>
        <w:rPr>
          <w:spacing w:val="12"/>
        </w:rPr>
        <w:t> </w:t>
      </w:r>
      <w:r>
        <w:rPr/>
        <w:t>13,000</w:t>
      </w:r>
      <w:r>
        <w:rPr>
          <w:spacing w:val="10"/>
        </w:rPr>
        <w:t> </w:t>
      </w:r>
      <w:r>
        <w:rPr/>
        <w:t>万元，为资产负债率超过</w:t>
      </w:r>
      <w:r>
        <w:rPr>
          <w:spacing w:val="10"/>
        </w:rPr>
        <w:t> </w:t>
      </w:r>
      <w:r>
        <w:rPr/>
        <w:t>70％的公司提供担保总额</w:t>
      </w:r>
      <w:r>
        <w:rPr>
          <w:spacing w:val="12"/>
        </w:rPr>
        <w:t> </w:t>
      </w:r>
      <w:r>
        <w:rPr/>
        <w:t>13,000</w:t>
      </w:r>
      <w:r>
        <w:rPr>
          <w:spacing w:val="-115"/>
        </w:rPr>
        <w:t> </w:t>
      </w:r>
      <w:r>
        <w:rPr>
          <w:spacing w:val="-115"/>
        </w:rPr>
      </w:r>
      <w:r>
        <w:rPr/>
        <w:t>万元。</w:t>
      </w:r>
    </w:p>
    <w:p>
      <w:pPr>
        <w:pStyle w:val="BodyText"/>
        <w:spacing w:line="367" w:lineRule="auto" w:before="38"/>
        <w:ind w:left="217" w:right="165" w:firstLine="480"/>
        <w:jc w:val="both"/>
      </w:pPr>
      <w:r>
        <w:rPr>
          <w:spacing w:val="-2"/>
        </w:rPr>
        <w:t>1、公司根据自身的实际运营需要对外提供担保，严格遵照、执行了中国证监</w:t>
      </w:r>
      <w:r>
        <w:rPr/>
        <w:t> 会下发的</w:t>
      </w:r>
      <w:r>
        <w:rPr>
          <w:spacing w:val="20"/>
        </w:rPr>
        <w:t> </w:t>
      </w:r>
      <w:r>
        <w:rPr/>
        <w:t>56</w:t>
      </w:r>
      <w:r>
        <w:rPr>
          <w:spacing w:val="9"/>
        </w:rPr>
        <w:t> </w:t>
      </w:r>
      <w:r>
        <w:rPr/>
        <w:t>号文和</w:t>
      </w:r>
      <w:r>
        <w:rPr>
          <w:spacing w:val="22"/>
        </w:rPr>
        <w:t> </w:t>
      </w:r>
      <w:r>
        <w:rPr/>
        <w:t>120</w:t>
      </w:r>
      <w:r>
        <w:rPr>
          <w:spacing w:val="9"/>
        </w:rPr>
        <w:t> </w:t>
      </w:r>
      <w:r>
        <w:rPr>
          <w:spacing w:val="3"/>
        </w:rPr>
        <w:t>号文的要求，对外担保事项已严格履行决策及审批程</w:t>
      </w:r>
      <w:r>
        <w:rPr>
          <w:spacing w:val="-118"/>
        </w:rPr>
        <w:t> </w:t>
      </w:r>
      <w:r>
        <w:rPr>
          <w:spacing w:val="-118"/>
        </w:rPr>
      </w:r>
      <w:r>
        <w:rPr/>
        <w:t>序。</w:t>
      </w:r>
    </w:p>
    <w:p>
      <w:pPr>
        <w:pStyle w:val="BodyText"/>
        <w:spacing w:line="240" w:lineRule="auto" w:before="38"/>
        <w:ind w:left="697" w:right="0"/>
        <w:jc w:val="left"/>
      </w:pPr>
      <w:r>
        <w:rPr/>
        <w:t>2、公司及时履行了对外担保的信息披露义务。</w:t>
      </w:r>
    </w:p>
    <w:p>
      <w:pPr>
        <w:pStyle w:val="BodyText"/>
        <w:spacing w:line="367" w:lineRule="auto" w:before="166"/>
        <w:ind w:left="217" w:right="0" w:firstLine="480"/>
        <w:jc w:val="left"/>
      </w:pPr>
      <w:r>
        <w:rPr>
          <w:spacing w:val="-6"/>
          <w:w w:val="95"/>
        </w:rPr>
        <w:t>3、公司为下属控股子公司提供担保能改善其经营状况，保障公司的投资价值</w:t>
      </w:r>
      <w:r>
        <w:rPr>
          <w:spacing w:val="1"/>
          <w:w w:val="95"/>
        </w:rPr>
        <w:t> </w:t>
      </w:r>
      <w:r>
        <w:rPr>
          <w:w w:val="95"/>
        </w:rPr>
        <w:t>；</w:t>
      </w:r>
      <w:r>
        <w:rPr>
          <w:w w:val="75"/>
        </w:rPr>
        <w:t> </w:t>
      </w:r>
      <w:r>
        <w:rPr/>
        <w:t>为资产负债率超过 </w:t>
      </w:r>
      <w:r>
        <w:rPr>
          <w:spacing w:val="-3"/>
        </w:rPr>
        <w:t>70％的公司提供担保是历史遗留续贷担保事项，是为支持推动</w:t>
      </w:r>
      <w:r>
        <w:rPr>
          <w:spacing w:val="-95"/>
        </w:rPr>
        <w:t> </w:t>
      </w:r>
      <w:r>
        <w:rPr>
          <w:spacing w:val="-95"/>
        </w:rPr>
      </w:r>
      <w:r>
        <w:rPr/>
        <w:t>民润重组工作而采取的理性措施，符合公司利益最大化原则，不存在损害公司及</w:t>
      </w:r>
      <w:r>
        <w:rPr>
          <w:spacing w:val="-91"/>
        </w:rPr>
        <w:t> </w:t>
      </w:r>
      <w:r>
        <w:rPr>
          <w:spacing w:val="-91"/>
        </w:rPr>
      </w:r>
      <w:r>
        <w:rPr/>
        <w:t>公司股东，特别是中小股东利益的情况。</w:t>
      </w:r>
    </w:p>
    <w:p>
      <w:pPr>
        <w:pStyle w:val="Heading5"/>
        <w:spacing w:line="397" w:lineRule="exact"/>
        <w:ind w:left="805" w:right="0"/>
        <w:jc w:val="left"/>
        <w:rPr>
          <w:b w:val="0"/>
          <w:bCs w:val="0"/>
        </w:rPr>
      </w:pPr>
      <w:r>
        <w:rPr/>
        <w:t>三、委托理财事项</w:t>
      </w:r>
      <w:r>
        <w:rPr>
          <w:b w:val="0"/>
          <w:bCs w:val="0"/>
        </w:rPr>
      </w:r>
    </w:p>
    <w:p>
      <w:pPr>
        <w:spacing w:line="559" w:lineRule="auto" w:before="158"/>
        <w:ind w:left="697" w:right="0" w:firstLine="120"/>
        <w:jc w:val="left"/>
        <w:rPr>
          <w:rFonts w:ascii="Microsoft JhengHei" w:hAnsi="Microsoft JhengHei" w:cs="Microsoft JhengHei" w:eastAsia="Microsoft JhengHei" w:hint="default"/>
          <w:sz w:val="24"/>
          <w:szCs w:val="24"/>
        </w:rPr>
      </w:pPr>
      <w:r>
        <w:rPr/>
        <w:pict>
          <v:shape style="position:absolute;margin-left:84.119995pt;margin-top:73.75563pt;width:427.2pt;height:23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1"/>
                    <w:gridCol w:w="1567"/>
                    <w:gridCol w:w="1620"/>
                    <w:gridCol w:w="3202"/>
                  </w:tblGrid>
                  <w:tr>
                    <w:trPr>
                      <w:trHeight w:val="360" w:hRule="exact"/>
                    </w:trPr>
                    <w:tc>
                      <w:tcPr>
                        <w:tcW w:w="2141"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28" w:lineRule="exact"/>
                          <w:ind w:left="7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承诺事项</w:t>
                        </w:r>
                        <w:r>
                          <w:rPr>
                            <w:rFonts w:ascii="Microsoft JhengHei" w:hAnsi="Microsoft JhengHei" w:cs="Microsoft JhengHei" w:eastAsia="Microsoft JhengHei" w:hint="default"/>
                            <w:sz w:val="18"/>
                            <w:szCs w:val="18"/>
                          </w:rPr>
                        </w:r>
                      </w:p>
                    </w:tc>
                    <w:tc>
                      <w:tcPr>
                        <w:tcW w:w="1567"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28" w:lineRule="exact"/>
                          <w:ind w:left="5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承诺人</w:t>
                        </w:r>
                        <w:r>
                          <w:rPr>
                            <w:rFonts w:ascii="Microsoft JhengHei" w:hAnsi="Microsoft JhengHei" w:cs="Microsoft JhengHei" w:eastAsia="Microsoft JhengHei" w:hint="default"/>
                            <w:sz w:val="18"/>
                            <w:szCs w:val="18"/>
                          </w:rPr>
                        </w:r>
                      </w:p>
                    </w:tc>
                    <w:tc>
                      <w:tcPr>
                        <w:tcW w:w="1620"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承诺内容</w:t>
                        </w:r>
                        <w:r>
                          <w:rPr>
                            <w:rFonts w:ascii="Microsoft JhengHei" w:hAnsi="Microsoft JhengHei" w:cs="Microsoft JhengHei" w:eastAsia="Microsoft JhengHei" w:hint="default"/>
                            <w:sz w:val="18"/>
                            <w:szCs w:val="18"/>
                          </w:rPr>
                        </w:r>
                      </w:p>
                    </w:tc>
                    <w:tc>
                      <w:tcPr>
                        <w:tcW w:w="3202" w:type="dxa"/>
                        <w:tcBorders>
                          <w:top w:val="single" w:sz="4" w:space="0" w:color="000008"/>
                          <w:left w:val="single" w:sz="4" w:space="0" w:color="000008"/>
                          <w:bottom w:val="single" w:sz="4" w:space="0" w:color="000008"/>
                          <w:right w:val="single" w:sz="4" w:space="0" w:color="000008"/>
                        </w:tcBorders>
                        <w:shd w:val="clear" w:color="auto" w:fill="F2F2F2"/>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履行情况</w:t>
                        </w:r>
                        <w:r>
                          <w:rPr>
                            <w:rFonts w:ascii="Microsoft JhengHei" w:hAnsi="Microsoft JhengHei" w:cs="Microsoft JhengHei" w:eastAsia="Microsoft JhengHei" w:hint="default"/>
                            <w:sz w:val="18"/>
                            <w:szCs w:val="18"/>
                          </w:rPr>
                        </w:r>
                      </w:p>
                    </w:tc>
                  </w:tr>
                  <w:tr>
                    <w:trPr>
                      <w:trHeight w:val="826" w:hRule="exact"/>
                    </w:trPr>
                    <w:tc>
                      <w:tcPr>
                        <w:tcW w:w="2141"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70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深圳市国有资</w:t>
                        </w:r>
                      </w:p>
                      <w:p>
                        <w:pPr>
                          <w:pStyle w:val="TableParagraph"/>
                          <w:spacing w:line="240" w:lineRule="auto" w:before="133"/>
                          <w:ind w:left="148" w:right="0"/>
                          <w:jc w:val="left"/>
                          <w:rPr>
                            <w:rFonts w:ascii="宋体" w:hAnsi="宋体" w:cs="宋体" w:eastAsia="宋体" w:hint="default"/>
                            <w:sz w:val="21"/>
                            <w:szCs w:val="21"/>
                          </w:rPr>
                        </w:pPr>
                        <w:r>
                          <w:rPr>
                            <w:rFonts w:ascii="宋体" w:hAnsi="宋体" w:cs="宋体" w:eastAsia="宋体" w:hint="default"/>
                            <w:sz w:val="21"/>
                            <w:szCs w:val="21"/>
                          </w:rPr>
                          <w:t>产监督管理局</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2"/>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3202"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宋体" w:hAnsi="宋体" w:cs="宋体" w:eastAsia="宋体" w:hint="default"/>
                            <w:sz w:val="21"/>
                            <w:szCs w:val="21"/>
                          </w:rPr>
                          <w:t>承诺事项（</w:t>
                        </w:r>
                        <w:r>
                          <w:rPr>
                            <w:rFonts w:ascii="Times New Roman" w:hAnsi="Times New Roman" w:cs="Times New Roman" w:eastAsia="Times New Roman" w:hint="default"/>
                            <w:sz w:val="21"/>
                            <w:szCs w:val="21"/>
                          </w:rPr>
                          <w:t>1</w:t>
                        </w:r>
                        <w:r>
                          <w:rPr>
                            <w:rFonts w:ascii="宋体" w:hAnsi="宋体" w:cs="宋体" w:eastAsia="宋体" w:hint="default"/>
                            <w:sz w:val="21"/>
                            <w:szCs w:val="21"/>
                          </w:rPr>
                          <w:t>）和（</w:t>
                        </w:r>
                        <w:r>
                          <w:rPr>
                            <w:rFonts w:ascii="Times New Roman" w:hAnsi="Times New Roman" w:cs="Times New Roman" w:eastAsia="Times New Roman" w:hint="default"/>
                            <w:sz w:val="21"/>
                            <w:szCs w:val="21"/>
                          </w:rPr>
                          <w:t>3</w:t>
                        </w:r>
                        <w:r>
                          <w:rPr>
                            <w:rFonts w:ascii="宋体" w:hAnsi="宋体" w:cs="宋体" w:eastAsia="宋体" w:hint="default"/>
                            <w:sz w:val="21"/>
                            <w:szCs w:val="21"/>
                          </w:rPr>
                          <w:t>）已履行完</w:t>
                        </w:r>
                      </w:p>
                      <w:p>
                        <w:pPr>
                          <w:pStyle w:val="TableParagraph"/>
                          <w:spacing w:line="240" w:lineRule="auto" w:before="117"/>
                          <w:ind w:left="4" w:right="0"/>
                          <w:jc w:val="center"/>
                          <w:rPr>
                            <w:rFonts w:ascii="宋体" w:hAnsi="宋体" w:cs="宋体" w:eastAsia="宋体" w:hint="default"/>
                            <w:sz w:val="21"/>
                            <w:szCs w:val="21"/>
                          </w:rPr>
                        </w:pPr>
                        <w:r>
                          <w:rPr>
                            <w:rFonts w:ascii="宋体" w:hAnsi="宋体" w:cs="宋体" w:eastAsia="宋体" w:hint="default"/>
                            <w:sz w:val="21"/>
                            <w:szCs w:val="21"/>
                          </w:rPr>
                          <w:t>毕，其他承诺正在履行当中。</w:t>
                        </w:r>
                      </w:p>
                    </w:tc>
                  </w:tr>
                  <w:tr>
                    <w:trPr>
                      <w:trHeight w:val="826" w:hRule="exact"/>
                    </w:trPr>
                    <w:tc>
                      <w:tcPr>
                        <w:tcW w:w="2141" w:type="dxa"/>
                        <w:vMerge/>
                        <w:tcBorders>
                          <w:left w:val="single" w:sz="4" w:space="0" w:color="000008"/>
                          <w:bottom w:val="single" w:sz="4" w:space="0" w:color="000008"/>
                          <w:right w:val="single" w:sz="4" w:space="0" w:color="000008"/>
                        </w:tcBorders>
                      </w:tcPr>
                      <w:p>
                        <w:pP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公司原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w:t>
                        </w:r>
                      </w:p>
                      <w:p>
                        <w:pPr>
                          <w:pStyle w:val="TableParagraph"/>
                          <w:spacing w:line="240" w:lineRule="auto" w:before="117"/>
                          <w:ind w:left="4" w:right="0"/>
                          <w:jc w:val="center"/>
                          <w:rPr>
                            <w:rFonts w:ascii="宋体" w:hAnsi="宋体" w:cs="宋体" w:eastAsia="宋体" w:hint="default"/>
                            <w:sz w:val="21"/>
                            <w:szCs w:val="21"/>
                          </w:rPr>
                        </w:pPr>
                        <w:r>
                          <w:rPr>
                            <w:rFonts w:ascii="宋体" w:hAnsi="宋体" w:cs="宋体" w:eastAsia="宋体" w:hint="default"/>
                            <w:sz w:val="21"/>
                            <w:szCs w:val="21"/>
                          </w:rPr>
                          <w:t>法人股东</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2"/>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3202"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4" w:right="0"/>
                          <w:jc w:val="center"/>
                          <w:rPr>
                            <w:rFonts w:ascii="宋体" w:hAnsi="宋体" w:cs="宋体" w:eastAsia="宋体" w:hint="default"/>
                            <w:sz w:val="21"/>
                            <w:szCs w:val="21"/>
                          </w:rPr>
                        </w:pPr>
                        <w:r>
                          <w:rPr>
                            <w:rFonts w:ascii="宋体" w:hAnsi="宋体" w:cs="宋体" w:eastAsia="宋体" w:hint="default"/>
                            <w:spacing w:val="-6"/>
                            <w:sz w:val="21"/>
                            <w:szCs w:val="21"/>
                          </w:rPr>
                          <w:t>承诺事项（</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）已经履行完毕。承</w:t>
                        </w:r>
                      </w:p>
                      <w:p>
                        <w:pPr>
                          <w:pStyle w:val="TableParagraph"/>
                          <w:spacing w:line="240" w:lineRule="auto" w:before="117"/>
                          <w:ind w:left="4" w:right="0"/>
                          <w:jc w:val="center"/>
                          <w:rPr>
                            <w:rFonts w:ascii="宋体" w:hAnsi="宋体" w:cs="宋体" w:eastAsia="宋体" w:hint="default"/>
                            <w:sz w:val="21"/>
                            <w:szCs w:val="21"/>
                          </w:rPr>
                        </w:pPr>
                        <w:r>
                          <w:rPr>
                            <w:rFonts w:ascii="宋体" w:hAnsi="宋体" w:cs="宋体" w:eastAsia="宋体" w:hint="default"/>
                            <w:sz w:val="21"/>
                            <w:szCs w:val="21"/>
                          </w:rPr>
                          <w:t>诺事项（</w:t>
                        </w:r>
                        <w:r>
                          <w:rPr>
                            <w:rFonts w:ascii="Times New Roman" w:hAnsi="Times New Roman" w:cs="Times New Roman" w:eastAsia="Times New Roman" w:hint="default"/>
                            <w:sz w:val="21"/>
                            <w:szCs w:val="21"/>
                          </w:rPr>
                          <w:t>2</w:t>
                        </w:r>
                        <w:r>
                          <w:rPr>
                            <w:rFonts w:ascii="宋体" w:hAnsi="宋体" w:cs="宋体" w:eastAsia="宋体" w:hint="default"/>
                            <w:sz w:val="21"/>
                            <w:szCs w:val="21"/>
                          </w:rPr>
                          <w:t>）正在履行中。</w:t>
                        </w:r>
                      </w:p>
                    </w:tc>
                  </w:tr>
                  <w:tr>
                    <w:trPr>
                      <w:trHeight w:val="420" w:hRule="exact"/>
                    </w:trPr>
                    <w:tc>
                      <w:tcPr>
                        <w:tcW w:w="21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left="525"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389" w:type="dxa"/>
                        <w:gridSpan w:val="3"/>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710" w:hRule="exact"/>
                    </w:trPr>
                    <w:tc>
                      <w:tcPr>
                        <w:tcW w:w="2141" w:type="dxa"/>
                        <w:tcBorders>
                          <w:top w:val="single" w:sz="4" w:space="0" w:color="000008"/>
                          <w:left w:val="single" w:sz="4" w:space="0" w:color="000008"/>
                          <w:bottom w:val="single" w:sz="4" w:space="0" w:color="000008"/>
                          <w:right w:val="single" w:sz="4" w:space="0" w:color="000008"/>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收购报告书或权益变动</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报告书中所作承诺</w:t>
                        </w:r>
                      </w:p>
                    </w:tc>
                    <w:tc>
                      <w:tcPr>
                        <w:tcW w:w="6389"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left="4"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713" w:hRule="exact"/>
                    </w:trPr>
                    <w:tc>
                      <w:tcPr>
                        <w:tcW w:w="2141"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重大资产重组时所作承</w:t>
                        </w:r>
                      </w:p>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sz w:val="18"/>
                            <w:szCs w:val="18"/>
                          </w:rPr>
                          <w:t>诺</w:t>
                        </w:r>
                      </w:p>
                    </w:tc>
                    <w:tc>
                      <w:tcPr>
                        <w:tcW w:w="6389"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14"/>
                          <w:ind w:left="4"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8" w:hRule="exact"/>
                    </w:trPr>
                    <w:tc>
                      <w:tcPr>
                        <w:tcW w:w="21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left="436"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6389" w:type="dxa"/>
                        <w:gridSpan w:val="3"/>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8" w:hRule="exact"/>
                    </w:trPr>
                    <w:tc>
                      <w:tcPr>
                        <w:tcW w:w="21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left="120" w:right="0"/>
                          <w:jc w:val="left"/>
                          <w:rPr>
                            <w:rFonts w:ascii="宋体" w:hAnsi="宋体" w:cs="宋体" w:eastAsia="宋体" w:hint="default"/>
                            <w:sz w:val="18"/>
                            <w:szCs w:val="18"/>
                          </w:rPr>
                        </w:pPr>
                        <w:r>
                          <w:rPr>
                            <w:rFonts w:ascii="宋体" w:hAnsi="宋体" w:cs="宋体" w:eastAsia="宋体" w:hint="default"/>
                            <w:sz w:val="18"/>
                            <w:szCs w:val="18"/>
                          </w:rPr>
                          <w:t>其他承诺（含追加承诺）</w:t>
                        </w:r>
                      </w:p>
                    </w:tc>
                    <w:tc>
                      <w:tcPr>
                        <w:tcW w:w="6389" w:type="dxa"/>
                        <w:gridSpan w:val="3"/>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
              </w:txbxContent>
            </v:textbox>
            <w10:wrap type="none"/>
          </v:shape>
        </w:pict>
      </w:r>
      <w:r>
        <w:rPr>
          <w:rFonts w:ascii="宋体" w:hAnsi="宋体" w:cs="宋体" w:eastAsia="宋体" w:hint="default"/>
          <w:w w:val="95"/>
          <w:sz w:val="24"/>
          <w:szCs w:val="24"/>
        </w:rPr>
        <w:t>公司不存在报告期内或报告期继续发生委托他人进行现金资产管理的事项。</w:t>
      </w:r>
      <w:r>
        <w:rPr>
          <w:rFonts w:ascii="宋体" w:hAnsi="宋体" w:cs="宋体" w:eastAsia="宋体" w:hint="default"/>
          <w:spacing w:val="44"/>
          <w:w w:val="95"/>
          <w:sz w:val="24"/>
          <w:szCs w:val="24"/>
        </w:rPr>
        <w:t> </w:t>
      </w:r>
      <w:r>
        <w:rPr>
          <w:rFonts w:ascii="宋体" w:hAnsi="宋体" w:cs="宋体" w:eastAsia="宋体" w:hint="default"/>
          <w:spacing w:val="44"/>
          <w:w w:val="95"/>
          <w:sz w:val="24"/>
          <w:szCs w:val="24"/>
        </w:rPr>
      </w:r>
      <w:r>
        <w:rPr>
          <w:rFonts w:ascii="Microsoft JhengHei" w:hAnsi="Microsoft JhengHei" w:cs="Microsoft JhengHei" w:eastAsia="Microsoft JhengHei" w:hint="default"/>
          <w:b/>
          <w:bCs/>
          <w:sz w:val="24"/>
          <w:szCs w:val="24"/>
        </w:rPr>
        <w:t>第八节 </w:t>
      </w:r>
      <w:r>
        <w:rPr>
          <w:rFonts w:ascii="Microsoft JhengHei" w:hAnsi="Microsoft JhengHei" w:cs="Microsoft JhengHei" w:eastAsia="Microsoft JhengHei" w:hint="default"/>
          <w:b/>
          <w:bCs/>
          <w:spacing w:val="19"/>
          <w:sz w:val="24"/>
          <w:szCs w:val="24"/>
        </w:rPr>
        <w:t> </w:t>
      </w:r>
      <w:r>
        <w:rPr>
          <w:rFonts w:ascii="Microsoft JhengHei" w:hAnsi="Microsoft JhengHei" w:cs="Microsoft JhengHei" w:eastAsia="Microsoft JhengHei" w:hint="default"/>
          <w:b/>
          <w:bCs/>
          <w:sz w:val="24"/>
          <w:szCs w:val="24"/>
        </w:rPr>
        <w:t>报告期内，原非流通股东承诺事项及履行情况。</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13"/>
          <w:szCs w:val="13"/>
        </w:rPr>
      </w:pPr>
    </w:p>
    <w:p>
      <w:pPr>
        <w:pStyle w:val="BodyText"/>
        <w:spacing w:line="240" w:lineRule="auto" w:before="0"/>
        <w:ind w:left="697" w:right="0"/>
        <w:jc w:val="left"/>
      </w:pPr>
      <w:r>
        <w:rPr/>
        <w:t>公司股权分置改革方案于</w:t>
      </w:r>
      <w:r>
        <w:rPr>
          <w:spacing w:val="-54"/>
        </w:rPr>
        <w:t> </w:t>
      </w:r>
      <w:r>
        <w:rPr/>
        <w:t>2005</w:t>
      </w:r>
      <w:r>
        <w:rPr>
          <w:spacing w:val="-51"/>
        </w:rPr>
        <w:t> </w:t>
      </w:r>
      <w:r>
        <w:rPr/>
        <w:t>年</w:t>
      </w:r>
      <w:r>
        <w:rPr>
          <w:spacing w:val="-51"/>
        </w:rPr>
        <w:t> </w:t>
      </w:r>
      <w:r>
        <w:rPr/>
        <w:t>8</w:t>
      </w:r>
      <w:r>
        <w:rPr>
          <w:spacing w:val="-54"/>
        </w:rPr>
        <w:t> </w:t>
      </w:r>
      <w:r>
        <w:rPr/>
        <w:t>月</w:t>
      </w:r>
      <w:r>
        <w:rPr>
          <w:spacing w:val="-51"/>
        </w:rPr>
        <w:t> </w:t>
      </w:r>
      <w:r>
        <w:rPr/>
        <w:t>15</w:t>
      </w:r>
      <w:r>
        <w:rPr>
          <w:spacing w:val="-51"/>
        </w:rPr>
        <w:t> </w:t>
      </w:r>
      <w:r>
        <w:rPr/>
        <w:t>日经本公司第一次临时股东大会审</w:t>
      </w:r>
    </w:p>
    <w:p>
      <w:pPr>
        <w:spacing w:after="0" w:line="240" w:lineRule="auto"/>
        <w:jc w:val="left"/>
        <w:sectPr>
          <w:footerReference w:type="default" r:id="rId140"/>
          <w:pgSz w:w="11910" w:h="16840"/>
          <w:pgMar w:footer="835" w:header="859" w:top="1420" w:bottom="1020" w:left="1580" w:right="1480"/>
          <w:pgNumType w:start="90"/>
        </w:sectPr>
      </w:pPr>
    </w:p>
    <w:p>
      <w:pPr>
        <w:pStyle w:val="BodyText"/>
        <w:spacing w:line="357" w:lineRule="auto" w:before="96"/>
        <w:ind w:left="137" w:right="0"/>
        <w:jc w:val="left"/>
      </w:pPr>
      <w:r>
        <w:rPr/>
        <w:pict>
          <v:group style="position:absolute;margin-left:88.799995pt;margin-top:6.335606pt;width:425.2pt;height:.1pt;mso-position-horizontal-relative:page;mso-position-vertical-relative:paragraph;z-index:-1140784" coordorigin="1776,127" coordsize="8504,2">
            <v:shape style="position:absolute;left:1776;top:127;width:8504;height:2" coordorigin="1776,127" coordsize="8504,0" path="m1776,127l10279,127e" filled="false" stroked="true" strokeweight=".72pt" strokecolor="#000008">
              <v:path arrowok="t"/>
            </v:shape>
            <w10:wrap type="none"/>
          </v:group>
        </w:pict>
      </w:r>
      <w:r>
        <w:rPr>
          <w:spacing w:val="2"/>
        </w:rPr>
        <w:t>议通过，并于</w:t>
      </w:r>
      <w:r>
        <w:rPr>
          <w:spacing w:val="-49"/>
        </w:rPr>
        <w:t> </w:t>
      </w:r>
      <w:r>
        <w:rPr/>
        <w:t>2005</w:t>
      </w:r>
      <w:r>
        <w:rPr>
          <w:spacing w:val="-54"/>
        </w:rPr>
        <w:t> </w:t>
      </w:r>
      <w:r>
        <w:rPr/>
        <w:t>年</w:t>
      </w:r>
      <w:r>
        <w:rPr>
          <w:spacing w:val="-54"/>
        </w:rPr>
        <w:t> </w:t>
      </w:r>
      <w:r>
        <w:rPr/>
        <w:t>9</w:t>
      </w:r>
      <w:r>
        <w:rPr>
          <w:spacing w:val="-51"/>
        </w:rPr>
        <w:t> </w:t>
      </w:r>
      <w:r>
        <w:rPr/>
        <w:t>月</w:t>
      </w:r>
      <w:r>
        <w:rPr>
          <w:spacing w:val="-54"/>
        </w:rPr>
        <w:t> </w:t>
      </w:r>
      <w:r>
        <w:rPr/>
        <w:t>12</w:t>
      </w:r>
      <w:r>
        <w:rPr>
          <w:spacing w:val="-54"/>
        </w:rPr>
        <w:t> </w:t>
      </w:r>
      <w:r>
        <w:rPr>
          <w:spacing w:val="3"/>
        </w:rPr>
        <w:t>日实施。公司原非流通股股东承诺，将遵守法律、</w:t>
      </w:r>
      <w:r>
        <w:rPr/>
        <w:t> 法规和规章的规定，履行法定承诺义务。</w:t>
      </w:r>
    </w:p>
    <w:p>
      <w:pPr>
        <w:spacing w:line="339" w:lineRule="exact" w:before="0"/>
        <w:ind w:left="13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 </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1、公司控股股东深圳市国资局在《深圳市农产品股份有限公司股权分置改革方案》中承</w:t>
      </w:r>
      <w:r>
        <w:rPr>
          <w:rFonts w:ascii="Microsoft JhengHei" w:hAnsi="Microsoft JhengHei" w:cs="Microsoft JhengHei" w:eastAsia="Microsoft JhengHei" w:hint="default"/>
          <w:sz w:val="21"/>
          <w:szCs w:val="21"/>
        </w:rPr>
      </w:r>
    </w:p>
    <w:p>
      <w:pPr>
        <w:spacing w:before="42"/>
        <w:ind w:left="137" w:right="1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诺：</w:t>
      </w:r>
      <w:r>
        <w:rPr>
          <w:rFonts w:ascii="Microsoft JhengHei" w:hAnsi="Microsoft JhengHei" w:cs="Microsoft JhengHei" w:eastAsia="Microsoft JhengHei" w:hint="default"/>
          <w:sz w:val="21"/>
          <w:szCs w:val="21"/>
        </w:rPr>
      </w:r>
    </w:p>
    <w:p>
      <w:pPr>
        <w:spacing w:line="355" w:lineRule="auto" w:before="109"/>
        <w:ind w:left="137" w:right="196" w:firstLine="420"/>
        <w:jc w:val="both"/>
        <w:rPr>
          <w:rFonts w:ascii="宋体" w:hAnsi="宋体" w:cs="宋体" w:eastAsia="宋体" w:hint="default"/>
          <w:sz w:val="21"/>
          <w:szCs w:val="21"/>
        </w:rPr>
      </w:pPr>
      <w:r>
        <w:rPr>
          <w:rFonts w:ascii="宋体" w:hAnsi="宋体" w:cs="宋体" w:eastAsia="宋体" w:hint="default"/>
          <w:spacing w:val="-3"/>
          <w:sz w:val="21"/>
          <w:szCs w:val="21"/>
        </w:rPr>
        <w:t>(1)深圳市农产品股份有限公司股权分置改革方案获股东大会审议通过后，则在股权分置</w:t>
      </w:r>
      <w:r>
        <w:rPr>
          <w:rFonts w:ascii="宋体" w:hAnsi="宋体" w:cs="宋体" w:eastAsia="宋体" w:hint="default"/>
          <w:w w:val="100"/>
          <w:sz w:val="21"/>
          <w:szCs w:val="21"/>
        </w:rPr>
        <w:t> </w:t>
      </w:r>
      <w:r>
        <w:rPr>
          <w:rFonts w:ascii="宋体" w:hAnsi="宋体" w:cs="宋体" w:eastAsia="宋体" w:hint="default"/>
          <w:spacing w:val="-6"/>
          <w:w w:val="100"/>
          <w:sz w:val="21"/>
          <w:szCs w:val="21"/>
        </w:rPr>
        <w:t>改革方案实施之日起的第十二个月的最后五个交易日内，即</w:t>
      </w:r>
      <w:r>
        <w:rPr>
          <w:rFonts w:ascii="宋体" w:hAnsi="宋体" w:cs="宋体" w:eastAsia="宋体" w:hint="default"/>
          <w:spacing w:val="-67"/>
          <w:w w:val="100"/>
          <w:sz w:val="21"/>
          <w:szCs w:val="21"/>
        </w:rPr>
        <w:t> </w:t>
      </w:r>
      <w:r>
        <w:rPr>
          <w:rFonts w:ascii="宋体" w:hAnsi="宋体" w:cs="宋体" w:eastAsia="宋体" w:hint="default"/>
          <w:w w:val="100"/>
          <w:sz w:val="21"/>
          <w:szCs w:val="21"/>
        </w:rPr>
        <w:t>2006</w:t>
      </w:r>
      <w:r>
        <w:rPr>
          <w:rFonts w:ascii="宋体" w:hAnsi="宋体" w:cs="宋体" w:eastAsia="宋体" w:hint="default"/>
          <w:spacing w:val="-61"/>
          <w:w w:val="100"/>
          <w:sz w:val="21"/>
          <w:szCs w:val="21"/>
        </w:rPr>
        <w:t> </w:t>
      </w:r>
      <w:r>
        <w:rPr>
          <w:rFonts w:ascii="宋体" w:hAnsi="宋体" w:cs="宋体" w:eastAsia="宋体" w:hint="default"/>
          <w:w w:val="100"/>
          <w:sz w:val="21"/>
          <w:szCs w:val="21"/>
        </w:rPr>
        <w:t>年</w:t>
      </w:r>
      <w:r>
        <w:rPr>
          <w:rFonts w:ascii="宋体" w:hAnsi="宋体" w:cs="宋体" w:eastAsia="宋体" w:hint="default"/>
          <w:spacing w:val="-64"/>
          <w:w w:val="100"/>
          <w:sz w:val="21"/>
          <w:szCs w:val="21"/>
        </w:rPr>
        <w:t> </w:t>
      </w:r>
      <w:r>
        <w:rPr>
          <w:rFonts w:ascii="宋体" w:hAnsi="宋体" w:cs="宋体" w:eastAsia="宋体" w:hint="default"/>
          <w:w w:val="100"/>
          <w:sz w:val="21"/>
          <w:szCs w:val="21"/>
        </w:rPr>
        <w:t>9</w:t>
      </w:r>
      <w:r>
        <w:rPr>
          <w:rFonts w:ascii="宋体" w:hAnsi="宋体" w:cs="宋体" w:eastAsia="宋体" w:hint="default"/>
          <w:spacing w:val="-59"/>
          <w:w w:val="100"/>
          <w:sz w:val="21"/>
          <w:szCs w:val="21"/>
        </w:rPr>
        <w:t> </w:t>
      </w:r>
      <w:r>
        <w:rPr>
          <w:rFonts w:ascii="宋体" w:hAnsi="宋体" w:cs="宋体" w:eastAsia="宋体" w:hint="default"/>
          <w:w w:val="100"/>
          <w:sz w:val="21"/>
          <w:szCs w:val="21"/>
        </w:rPr>
        <w:t>月</w:t>
      </w:r>
      <w:r>
        <w:rPr>
          <w:rFonts w:ascii="宋体" w:hAnsi="宋体" w:cs="宋体" w:eastAsia="宋体" w:hint="default"/>
          <w:spacing w:val="-61"/>
          <w:w w:val="100"/>
          <w:sz w:val="21"/>
          <w:szCs w:val="21"/>
        </w:rPr>
        <w:t> </w:t>
      </w:r>
      <w:r>
        <w:rPr>
          <w:rFonts w:ascii="宋体" w:hAnsi="宋体" w:cs="宋体" w:eastAsia="宋体" w:hint="default"/>
          <w:w w:val="100"/>
          <w:sz w:val="21"/>
          <w:szCs w:val="21"/>
        </w:rPr>
        <w:t>5</w:t>
      </w:r>
      <w:r>
        <w:rPr>
          <w:rFonts w:ascii="宋体" w:hAnsi="宋体" w:cs="宋体" w:eastAsia="宋体" w:hint="default"/>
          <w:spacing w:val="-61"/>
          <w:w w:val="100"/>
          <w:sz w:val="21"/>
          <w:szCs w:val="21"/>
        </w:rPr>
        <w:t> </w:t>
      </w:r>
      <w:r>
        <w:rPr>
          <w:rFonts w:ascii="宋体" w:hAnsi="宋体" w:cs="宋体" w:eastAsia="宋体" w:hint="default"/>
          <w:w w:val="100"/>
          <w:sz w:val="21"/>
          <w:szCs w:val="21"/>
        </w:rPr>
        <w:t>日至</w:t>
      </w:r>
      <w:r>
        <w:rPr>
          <w:rFonts w:ascii="宋体" w:hAnsi="宋体" w:cs="宋体" w:eastAsia="宋体" w:hint="default"/>
          <w:spacing w:val="-61"/>
          <w:w w:val="100"/>
          <w:sz w:val="21"/>
          <w:szCs w:val="21"/>
        </w:rPr>
        <w:t> </w:t>
      </w:r>
      <w:r>
        <w:rPr>
          <w:rFonts w:ascii="宋体" w:hAnsi="宋体" w:cs="宋体" w:eastAsia="宋体" w:hint="default"/>
          <w:w w:val="100"/>
          <w:sz w:val="21"/>
          <w:szCs w:val="21"/>
        </w:rPr>
        <w:t>2006</w:t>
      </w:r>
      <w:r>
        <w:rPr>
          <w:rFonts w:ascii="宋体" w:hAnsi="宋体" w:cs="宋体" w:eastAsia="宋体" w:hint="default"/>
          <w:spacing w:val="-64"/>
          <w:w w:val="100"/>
          <w:sz w:val="21"/>
          <w:szCs w:val="21"/>
        </w:rPr>
        <w:t> </w:t>
      </w:r>
      <w:r>
        <w:rPr>
          <w:rFonts w:ascii="宋体" w:hAnsi="宋体" w:cs="宋体" w:eastAsia="宋体" w:hint="default"/>
          <w:w w:val="100"/>
          <w:sz w:val="21"/>
          <w:szCs w:val="21"/>
        </w:rPr>
        <w:t>年</w:t>
      </w:r>
      <w:r>
        <w:rPr>
          <w:rFonts w:ascii="宋体" w:hAnsi="宋体" w:cs="宋体" w:eastAsia="宋体" w:hint="default"/>
          <w:spacing w:val="-61"/>
          <w:w w:val="100"/>
          <w:sz w:val="21"/>
          <w:szCs w:val="21"/>
        </w:rPr>
        <w:t> </w:t>
      </w:r>
      <w:r>
        <w:rPr>
          <w:rFonts w:ascii="宋体" w:hAnsi="宋体" w:cs="宋体" w:eastAsia="宋体" w:hint="default"/>
          <w:w w:val="100"/>
          <w:sz w:val="21"/>
          <w:szCs w:val="21"/>
        </w:rPr>
        <w:t>9</w:t>
      </w:r>
      <w:r>
        <w:rPr>
          <w:rFonts w:ascii="宋体" w:hAnsi="宋体" w:cs="宋体" w:eastAsia="宋体" w:hint="default"/>
          <w:spacing w:val="-59"/>
          <w:w w:val="100"/>
          <w:sz w:val="21"/>
          <w:szCs w:val="21"/>
        </w:rPr>
        <w:t> </w:t>
      </w:r>
      <w:r>
        <w:rPr>
          <w:rFonts w:ascii="宋体" w:hAnsi="宋体" w:cs="宋体" w:eastAsia="宋体" w:hint="default"/>
          <w:w w:val="100"/>
          <w:sz w:val="21"/>
          <w:szCs w:val="21"/>
        </w:rPr>
        <w:t>月</w:t>
      </w:r>
      <w:r>
        <w:rPr>
          <w:rFonts w:ascii="宋体" w:hAnsi="宋体" w:cs="宋体" w:eastAsia="宋体" w:hint="default"/>
          <w:spacing w:val="-64"/>
          <w:w w:val="100"/>
          <w:sz w:val="21"/>
          <w:szCs w:val="21"/>
        </w:rPr>
        <w:t> </w:t>
      </w:r>
      <w:r>
        <w:rPr>
          <w:rFonts w:ascii="宋体" w:hAnsi="宋体" w:cs="宋体" w:eastAsia="宋体" w:hint="default"/>
          <w:w w:val="100"/>
          <w:sz w:val="21"/>
          <w:szCs w:val="21"/>
        </w:rPr>
        <w:t>11</w:t>
      </w:r>
    </w:p>
    <w:p>
      <w:pPr>
        <w:spacing w:line="355" w:lineRule="auto" w:before="32"/>
        <w:ind w:left="137" w:right="212" w:firstLine="0"/>
        <w:jc w:val="left"/>
        <w:rPr>
          <w:rFonts w:ascii="宋体" w:hAnsi="宋体" w:cs="宋体" w:eastAsia="宋体" w:hint="default"/>
          <w:sz w:val="21"/>
          <w:szCs w:val="21"/>
        </w:rPr>
      </w:pPr>
      <w:r>
        <w:rPr>
          <w:rFonts w:ascii="宋体" w:hAnsi="宋体" w:cs="宋体" w:eastAsia="宋体" w:hint="default"/>
          <w:sz w:val="21"/>
          <w:szCs w:val="21"/>
        </w:rPr>
        <w:t>日，所有流通股股东有权以人民币</w:t>
      </w:r>
      <w:r>
        <w:rPr>
          <w:rFonts w:ascii="宋体" w:hAnsi="宋体" w:cs="宋体" w:eastAsia="宋体" w:hint="default"/>
          <w:spacing w:val="-34"/>
          <w:sz w:val="21"/>
          <w:szCs w:val="21"/>
        </w:rPr>
        <w:t> </w:t>
      </w:r>
      <w:r>
        <w:rPr>
          <w:rFonts w:ascii="宋体" w:hAnsi="宋体" w:cs="宋体" w:eastAsia="宋体" w:hint="default"/>
          <w:sz w:val="21"/>
          <w:szCs w:val="21"/>
        </w:rPr>
        <w:t>4.25</w:t>
      </w:r>
      <w:r>
        <w:rPr>
          <w:rFonts w:ascii="宋体" w:hAnsi="宋体" w:cs="宋体" w:eastAsia="宋体" w:hint="default"/>
          <w:spacing w:val="-34"/>
          <w:sz w:val="21"/>
          <w:szCs w:val="21"/>
        </w:rPr>
        <w:t> </w:t>
      </w:r>
      <w:r>
        <w:rPr>
          <w:rFonts w:ascii="宋体" w:hAnsi="宋体" w:cs="宋体" w:eastAsia="宋体" w:hint="default"/>
          <w:sz w:val="21"/>
          <w:szCs w:val="21"/>
        </w:rPr>
        <w:t>元/股的价格将股票出售给深圳市国资局，具体实施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程序严格按照中国证券监督管理委员会和深圳证券交易所的有关规定执行。</w:t>
      </w:r>
    </w:p>
    <w:p>
      <w:pPr>
        <w:spacing w:before="32"/>
        <w:ind w:left="557" w:right="188" w:firstLine="0"/>
        <w:jc w:val="left"/>
        <w:rPr>
          <w:rFonts w:ascii="宋体" w:hAnsi="宋体" w:cs="宋体" w:eastAsia="宋体" w:hint="default"/>
          <w:sz w:val="21"/>
          <w:szCs w:val="21"/>
        </w:rPr>
      </w:pPr>
      <w:r>
        <w:rPr>
          <w:rFonts w:ascii="宋体" w:hAnsi="宋体" w:cs="宋体" w:eastAsia="宋体" w:hint="default"/>
          <w:sz w:val="21"/>
          <w:szCs w:val="21"/>
        </w:rPr>
        <w:t>深圳市商业银行于</w:t>
      </w:r>
      <w:r>
        <w:rPr>
          <w:rFonts w:ascii="宋体" w:hAnsi="宋体" w:cs="宋体" w:eastAsia="宋体" w:hint="default"/>
          <w:spacing w:val="-35"/>
          <w:sz w:val="21"/>
          <w:szCs w:val="21"/>
        </w:rPr>
        <w:t> </w:t>
      </w:r>
      <w:r>
        <w:rPr>
          <w:rFonts w:ascii="宋体" w:hAnsi="宋体" w:cs="宋体" w:eastAsia="宋体" w:hint="default"/>
          <w:sz w:val="21"/>
          <w:szCs w:val="21"/>
        </w:rPr>
        <w:t>2005</w:t>
      </w:r>
      <w:r>
        <w:rPr>
          <w:rFonts w:ascii="宋体" w:hAnsi="宋体" w:cs="宋体" w:eastAsia="宋体"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0"/>
          <w:sz w:val="21"/>
          <w:szCs w:val="21"/>
        </w:rPr>
        <w:t> </w:t>
      </w:r>
      <w:r>
        <w:rPr>
          <w:rFonts w:ascii="宋体" w:hAnsi="宋体" w:cs="宋体" w:eastAsia="宋体" w:hint="default"/>
          <w:sz w:val="21"/>
          <w:szCs w:val="21"/>
        </w:rPr>
        <w:t>日为深圳市国资委出具编号为“深商银（营）保函字</w:t>
      </w:r>
    </w:p>
    <w:p>
      <w:pPr>
        <w:spacing w:before="133"/>
        <w:ind w:left="137" w:right="0" w:firstLine="0"/>
        <w:jc w:val="left"/>
        <w:rPr>
          <w:rFonts w:ascii="宋体" w:hAnsi="宋体" w:cs="宋体" w:eastAsia="宋体" w:hint="default"/>
          <w:sz w:val="21"/>
          <w:szCs w:val="21"/>
        </w:rPr>
      </w:pPr>
      <w:r>
        <w:rPr>
          <w:rFonts w:ascii="宋体" w:hAnsi="宋体" w:cs="宋体" w:eastAsia="宋体" w:hint="default"/>
          <w:sz w:val="21"/>
          <w:szCs w:val="21"/>
        </w:rPr>
        <w:t>(2005)第</w:t>
      </w:r>
      <w:r>
        <w:rPr>
          <w:rFonts w:ascii="宋体" w:hAnsi="宋体" w:cs="宋体" w:eastAsia="宋体" w:hint="default"/>
          <w:spacing w:val="-39"/>
          <w:sz w:val="21"/>
          <w:szCs w:val="21"/>
        </w:rPr>
        <w:t> </w:t>
      </w:r>
      <w:r>
        <w:rPr>
          <w:rFonts w:ascii="宋体" w:hAnsi="宋体" w:cs="宋体" w:eastAsia="宋体" w:hint="default"/>
          <w:sz w:val="21"/>
          <w:szCs w:val="21"/>
        </w:rPr>
        <w:t>122</w:t>
      </w:r>
      <w:r>
        <w:rPr>
          <w:rFonts w:ascii="宋体" w:hAnsi="宋体" w:cs="宋体" w:eastAsia="宋体" w:hint="default"/>
          <w:spacing w:val="-43"/>
          <w:sz w:val="21"/>
          <w:szCs w:val="21"/>
        </w:rPr>
        <w:t> </w:t>
      </w:r>
      <w:r>
        <w:rPr>
          <w:rFonts w:ascii="宋体" w:hAnsi="宋体" w:cs="宋体" w:eastAsia="宋体" w:hint="default"/>
          <w:sz w:val="21"/>
          <w:szCs w:val="21"/>
        </w:rPr>
        <w:t>号”不可撤销履约担保，最高担保金额</w:t>
      </w:r>
      <w:r>
        <w:rPr>
          <w:rFonts w:ascii="宋体" w:hAnsi="宋体" w:cs="宋体" w:eastAsia="宋体" w:hint="default"/>
          <w:spacing w:val="-29"/>
          <w:sz w:val="21"/>
          <w:szCs w:val="21"/>
        </w:rPr>
        <w:t> </w:t>
      </w:r>
      <w:r>
        <w:rPr>
          <w:rFonts w:ascii="宋体" w:hAnsi="宋体" w:cs="宋体" w:eastAsia="宋体" w:hint="default"/>
          <w:sz w:val="21"/>
          <w:szCs w:val="21"/>
        </w:rPr>
        <w:t>1,014,691,830</w:t>
      </w:r>
      <w:r>
        <w:rPr>
          <w:rFonts w:ascii="宋体" w:hAnsi="宋体" w:cs="宋体" w:eastAsia="宋体" w:hint="default"/>
          <w:spacing w:val="-48"/>
          <w:sz w:val="21"/>
          <w:szCs w:val="21"/>
        </w:rPr>
        <w:t> </w:t>
      </w:r>
      <w:r>
        <w:rPr>
          <w:rFonts w:ascii="宋体" w:hAnsi="宋体" w:cs="宋体" w:eastAsia="宋体" w:hint="default"/>
          <w:sz w:val="21"/>
          <w:szCs w:val="21"/>
        </w:rPr>
        <w:t>元，担保期间为自农产</w:t>
      </w:r>
    </w:p>
    <w:p>
      <w:pPr>
        <w:spacing w:line="355" w:lineRule="auto" w:before="133"/>
        <w:ind w:left="137" w:right="188" w:firstLine="0"/>
        <w:jc w:val="left"/>
        <w:rPr>
          <w:rFonts w:ascii="宋体" w:hAnsi="宋体" w:cs="宋体" w:eastAsia="宋体" w:hint="default"/>
          <w:sz w:val="21"/>
          <w:szCs w:val="21"/>
        </w:rPr>
      </w:pPr>
      <w:r>
        <w:rPr>
          <w:rFonts w:ascii="宋体" w:hAnsi="宋体" w:cs="宋体" w:eastAsia="宋体" w:hint="default"/>
          <w:sz w:val="21"/>
          <w:szCs w:val="21"/>
        </w:rPr>
        <w:t>品公司股权分置改革方案实施之日起满</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pacing w:val="-4"/>
          <w:sz w:val="21"/>
          <w:szCs w:val="21"/>
        </w:rPr>
        <w:t>个月。深圳市商业银行保证，如果深圳市国资局未</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及时支付履行《承诺函》所需的有关资金，则根据农产品公司的申请及相关文件，立即支付</w:t>
      </w:r>
      <w:r>
        <w:rPr>
          <w:rFonts w:ascii="宋体" w:hAnsi="宋体" w:cs="宋体" w:eastAsia="宋体" w:hint="default"/>
          <w:spacing w:val="-57"/>
          <w:sz w:val="21"/>
          <w:szCs w:val="21"/>
        </w:rPr>
        <w:t> </w:t>
      </w:r>
      <w:r>
        <w:rPr>
          <w:rFonts w:ascii="宋体" w:hAnsi="宋体" w:cs="宋体" w:eastAsia="宋体" w:hint="default"/>
          <w:sz w:val="21"/>
          <w:szCs w:val="21"/>
        </w:rPr>
        <w:t>履约保函最高金额的款项至中国证券登记结算有限公司深圳分公司的专用资金结算账户中，</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以支付深圳市国资局向流通股东买入农产品公司流通股。</w:t>
      </w:r>
    </w:p>
    <w:p>
      <w:pPr>
        <w:spacing w:line="355" w:lineRule="auto" w:before="32"/>
        <w:ind w:left="137" w:right="218" w:firstLine="420"/>
        <w:jc w:val="both"/>
        <w:rPr>
          <w:rFonts w:ascii="宋体" w:hAnsi="宋体" w:cs="宋体" w:eastAsia="宋体" w:hint="default"/>
          <w:sz w:val="21"/>
          <w:szCs w:val="21"/>
        </w:rPr>
      </w:pPr>
      <w:r>
        <w:rPr>
          <w:rFonts w:ascii="宋体" w:hAnsi="宋体" w:cs="宋体" w:eastAsia="宋体" w:hint="default"/>
          <w:sz w:val="21"/>
          <w:szCs w:val="21"/>
        </w:rPr>
        <w:t>(2)在本公司非流通股份获得上市流通权之日起三年内不通过证券交易所挂牌交易出售</w:t>
      </w:r>
      <w:r>
        <w:rPr>
          <w:rFonts w:ascii="宋体" w:hAnsi="宋体" w:cs="宋体" w:eastAsia="宋体" w:hint="default"/>
          <w:w w:val="100"/>
          <w:sz w:val="21"/>
          <w:szCs w:val="21"/>
        </w:rPr>
        <w:t> </w:t>
      </w:r>
      <w:r>
        <w:rPr>
          <w:rFonts w:ascii="宋体" w:hAnsi="宋体" w:cs="宋体" w:eastAsia="宋体" w:hint="default"/>
          <w:sz w:val="21"/>
          <w:szCs w:val="21"/>
        </w:rPr>
        <w:t>所持有的股份；在本公司非流通股份获得上市流通权之日起一年内不得转让，其后两年内如</w:t>
      </w:r>
      <w:r>
        <w:rPr>
          <w:rFonts w:ascii="宋体" w:hAnsi="宋体" w:cs="宋体" w:eastAsia="宋体" w:hint="default"/>
          <w:spacing w:val="-57"/>
          <w:sz w:val="21"/>
          <w:szCs w:val="21"/>
        </w:rPr>
        <w:t> </w:t>
      </w:r>
      <w:r>
        <w:rPr>
          <w:rFonts w:ascii="宋体" w:hAnsi="宋体" w:cs="宋体" w:eastAsia="宋体" w:hint="default"/>
          <w:sz w:val="21"/>
          <w:szCs w:val="21"/>
        </w:rPr>
        <w:t>确需减持时，也将通过大宗交易、战略配售等方式进行，且减持的价格不低于承诺的购买价</w:t>
      </w:r>
      <w:r>
        <w:rPr>
          <w:rFonts w:ascii="宋体" w:hAnsi="宋体" w:cs="宋体" w:eastAsia="宋体" w:hint="default"/>
          <w:spacing w:val="-57"/>
          <w:sz w:val="21"/>
          <w:szCs w:val="21"/>
        </w:rPr>
        <w:t> </w:t>
      </w:r>
      <w:r>
        <w:rPr>
          <w:rFonts w:ascii="宋体" w:hAnsi="宋体" w:cs="宋体" w:eastAsia="宋体" w:hint="default"/>
          <w:sz w:val="21"/>
          <w:szCs w:val="21"/>
        </w:rPr>
        <w:t>格人民币</w:t>
      </w:r>
      <w:r>
        <w:rPr>
          <w:rFonts w:ascii="宋体" w:hAnsi="宋体" w:cs="宋体" w:eastAsia="宋体" w:hint="default"/>
          <w:spacing w:val="-32"/>
          <w:sz w:val="21"/>
          <w:szCs w:val="21"/>
        </w:rPr>
        <w:t> </w:t>
      </w:r>
      <w:r>
        <w:rPr>
          <w:rFonts w:ascii="宋体" w:hAnsi="宋体" w:cs="宋体" w:eastAsia="宋体" w:hint="default"/>
          <w:sz w:val="21"/>
          <w:szCs w:val="21"/>
        </w:rPr>
        <w:t>4.25</w:t>
      </w:r>
      <w:r>
        <w:rPr>
          <w:rFonts w:ascii="宋体" w:hAnsi="宋体" w:cs="宋体" w:eastAsia="宋体" w:hint="default"/>
          <w:spacing w:val="-34"/>
          <w:sz w:val="21"/>
          <w:szCs w:val="21"/>
        </w:rPr>
        <w:t> </w:t>
      </w:r>
      <w:r>
        <w:rPr>
          <w:rFonts w:ascii="宋体" w:hAnsi="宋体" w:cs="宋体" w:eastAsia="宋体" w:hint="default"/>
          <w:sz w:val="21"/>
          <w:szCs w:val="21"/>
        </w:rPr>
        <w:t>元/股。通过证券交易所挂牌交易出售的股份数量达到农产品公司股份总数百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分之一的，应当自该事实发生之日起两个工作日内做出公告。</w:t>
      </w:r>
    </w:p>
    <w:p>
      <w:pPr>
        <w:spacing w:line="355" w:lineRule="auto" w:before="32"/>
        <w:ind w:left="137" w:right="201" w:firstLine="420"/>
        <w:jc w:val="both"/>
        <w:rPr>
          <w:rFonts w:ascii="宋体" w:hAnsi="宋体" w:cs="宋体" w:eastAsia="宋体" w:hint="default"/>
          <w:sz w:val="21"/>
          <w:szCs w:val="21"/>
        </w:rPr>
      </w:pPr>
      <w:r>
        <w:rPr>
          <w:rFonts w:ascii="宋体" w:hAnsi="宋体" w:cs="宋体" w:eastAsia="宋体" w:hint="default"/>
          <w:spacing w:val="-3"/>
          <w:sz w:val="21"/>
          <w:szCs w:val="21"/>
        </w:rPr>
        <w:t>(3)在实施购买股份时导致上市公司的股权分布不符合《公司法》规定的上市条件的，将</w:t>
      </w:r>
      <w:r>
        <w:rPr>
          <w:rFonts w:ascii="宋体" w:hAnsi="宋体" w:cs="宋体" w:eastAsia="宋体" w:hint="default"/>
          <w:w w:val="100"/>
          <w:sz w:val="21"/>
          <w:szCs w:val="21"/>
        </w:rPr>
        <w:t> </w:t>
      </w:r>
      <w:r>
        <w:rPr>
          <w:rFonts w:ascii="宋体" w:hAnsi="宋体" w:cs="宋体" w:eastAsia="宋体" w:hint="default"/>
          <w:sz w:val="21"/>
          <w:szCs w:val="21"/>
        </w:rPr>
        <w:t>在购买股份实施完毕六个月后的一个月内实施维持农产品公司上市地位的方案。</w:t>
      </w:r>
    </w:p>
    <w:p>
      <w:pPr>
        <w:spacing w:before="32"/>
        <w:ind w:left="557" w:right="188" w:firstLine="0"/>
        <w:jc w:val="left"/>
        <w:rPr>
          <w:rFonts w:ascii="宋体" w:hAnsi="宋体" w:cs="宋体" w:eastAsia="宋体" w:hint="default"/>
          <w:sz w:val="21"/>
          <w:szCs w:val="21"/>
        </w:rPr>
      </w:pPr>
      <w:r>
        <w:rPr>
          <w:rFonts w:ascii="宋体" w:hAnsi="宋体" w:cs="宋体" w:eastAsia="宋体" w:hint="default"/>
          <w:sz w:val="21"/>
          <w:szCs w:val="21"/>
        </w:rPr>
        <w:t>相关公告已刊登在</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日、21</w:t>
      </w:r>
      <w:r>
        <w:rPr>
          <w:rFonts w:ascii="宋体" w:hAnsi="宋体" w:cs="宋体" w:eastAsia="宋体" w:hint="default"/>
          <w:spacing w:val="-51"/>
          <w:sz w:val="21"/>
          <w:szCs w:val="21"/>
        </w:rPr>
        <w:t> </w:t>
      </w:r>
      <w:r>
        <w:rPr>
          <w:rFonts w:ascii="宋体" w:hAnsi="宋体" w:cs="宋体" w:eastAsia="宋体" w:hint="default"/>
          <w:sz w:val="21"/>
          <w:szCs w:val="21"/>
        </w:rPr>
        <w:t>日、28</w:t>
      </w:r>
      <w:r>
        <w:rPr>
          <w:rFonts w:ascii="宋体" w:hAnsi="宋体" w:cs="宋体" w:eastAsia="宋体" w:hint="default"/>
          <w:spacing w:val="-51"/>
          <w:sz w:val="21"/>
          <w:szCs w:val="21"/>
        </w:rPr>
        <w:t> </w:t>
      </w:r>
      <w:r>
        <w:rPr>
          <w:rFonts w:ascii="宋体" w:hAnsi="宋体" w:cs="宋体" w:eastAsia="宋体" w:hint="default"/>
          <w:sz w:val="21"/>
          <w:szCs w:val="21"/>
        </w:rPr>
        <w:t>日和</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日、8</w:t>
      </w:r>
      <w:r>
        <w:rPr>
          <w:rFonts w:ascii="宋体" w:hAnsi="宋体" w:cs="宋体" w:eastAsia="宋体" w:hint="default"/>
          <w:spacing w:val="-51"/>
          <w:sz w:val="21"/>
          <w:szCs w:val="21"/>
        </w:rPr>
        <w:t> </w:t>
      </w:r>
      <w:r>
        <w:rPr>
          <w:rFonts w:ascii="宋体" w:hAnsi="宋体" w:cs="宋体" w:eastAsia="宋体" w:hint="default"/>
          <w:sz w:val="21"/>
          <w:szCs w:val="21"/>
        </w:rPr>
        <w:t>日、14</w:t>
      </w:r>
      <w:r>
        <w:rPr>
          <w:rFonts w:ascii="宋体" w:hAnsi="宋体" w:cs="宋体" w:eastAsia="宋体" w:hint="default"/>
          <w:spacing w:val="-51"/>
          <w:sz w:val="21"/>
          <w:szCs w:val="21"/>
        </w:rPr>
        <w:t> </w:t>
      </w:r>
      <w:r>
        <w:rPr>
          <w:rFonts w:ascii="宋体" w:hAnsi="宋体" w:cs="宋体" w:eastAsia="宋体" w:hint="default"/>
          <w:sz w:val="21"/>
          <w:szCs w:val="21"/>
        </w:rPr>
        <w:t>日的</w:t>
      </w:r>
    </w:p>
    <w:p>
      <w:pPr>
        <w:spacing w:before="133"/>
        <w:ind w:left="137" w:right="188" w:firstLine="0"/>
        <w:jc w:val="left"/>
        <w:rPr>
          <w:rFonts w:ascii="宋体" w:hAnsi="宋体" w:cs="宋体" w:eastAsia="宋体" w:hint="default"/>
          <w:sz w:val="21"/>
          <w:szCs w:val="21"/>
        </w:rPr>
      </w:pPr>
      <w:r>
        <w:rPr>
          <w:rFonts w:ascii="宋体" w:hAnsi="宋体" w:cs="宋体" w:eastAsia="宋体" w:hint="default"/>
          <w:sz w:val="21"/>
          <w:szCs w:val="21"/>
        </w:rPr>
        <w:t>《中国证券报》、《证券时报》、《上海证券报》和巨潮网站上。</w:t>
      </w:r>
    </w:p>
    <w:p>
      <w:pPr>
        <w:spacing w:before="66"/>
        <w:ind w:left="137" w:right="1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 2、公司原 11</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z w:val="21"/>
          <w:szCs w:val="21"/>
        </w:rPr>
        <w:t>家法人股东在《深圳市农产品股份有限公司股权分置改革方案》中承诺：</w:t>
      </w:r>
      <w:r>
        <w:rPr>
          <w:rFonts w:ascii="Microsoft JhengHei" w:hAnsi="Microsoft JhengHei" w:cs="Microsoft JhengHei" w:eastAsia="Microsoft JhengHei" w:hint="default"/>
          <w:sz w:val="21"/>
          <w:szCs w:val="21"/>
        </w:rPr>
      </w:r>
    </w:p>
    <w:p>
      <w:pPr>
        <w:spacing w:before="109"/>
        <w:ind w:left="557" w:right="0" w:firstLine="0"/>
        <w:jc w:val="left"/>
        <w:rPr>
          <w:rFonts w:ascii="宋体" w:hAnsi="宋体" w:cs="宋体" w:eastAsia="宋体" w:hint="default"/>
          <w:sz w:val="21"/>
          <w:szCs w:val="21"/>
        </w:rPr>
      </w:pPr>
      <w:r>
        <w:rPr>
          <w:rFonts w:ascii="宋体" w:hAnsi="宋体" w:cs="宋体" w:eastAsia="宋体" w:hint="default"/>
          <w:sz w:val="21"/>
          <w:szCs w:val="21"/>
        </w:rPr>
        <w:t>（1）公司</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家法人股东将其拥有的农产品股份的</w:t>
      </w:r>
      <w:r>
        <w:rPr>
          <w:rFonts w:ascii="宋体" w:hAnsi="宋体" w:cs="宋体" w:eastAsia="宋体" w:hint="default"/>
          <w:spacing w:val="-53"/>
          <w:sz w:val="21"/>
          <w:szCs w:val="21"/>
        </w:rPr>
        <w:t> </w:t>
      </w:r>
      <w:r>
        <w:rPr>
          <w:rFonts w:ascii="宋体" w:hAnsi="宋体" w:cs="宋体" w:eastAsia="宋体" w:hint="default"/>
          <w:sz w:val="21"/>
          <w:szCs w:val="21"/>
        </w:rPr>
        <w:t>50%，合计</w:t>
      </w:r>
      <w:r>
        <w:rPr>
          <w:rFonts w:ascii="宋体" w:hAnsi="宋体" w:cs="宋体" w:eastAsia="宋体" w:hint="default"/>
          <w:spacing w:val="-53"/>
          <w:sz w:val="21"/>
          <w:szCs w:val="21"/>
        </w:rPr>
        <w:t> </w:t>
      </w:r>
      <w:r>
        <w:rPr>
          <w:rFonts w:ascii="宋体" w:hAnsi="宋体" w:cs="宋体" w:eastAsia="宋体" w:hint="default"/>
          <w:sz w:val="21"/>
          <w:szCs w:val="21"/>
        </w:rPr>
        <w:t>26,204,253</w:t>
      </w:r>
      <w:r>
        <w:rPr>
          <w:rFonts w:ascii="宋体" w:hAnsi="宋体" w:cs="宋体" w:eastAsia="宋体" w:hint="default"/>
          <w:spacing w:val="-58"/>
          <w:sz w:val="21"/>
          <w:szCs w:val="21"/>
        </w:rPr>
        <w:t> </w:t>
      </w:r>
      <w:r>
        <w:rPr>
          <w:rFonts w:ascii="宋体" w:hAnsi="宋体" w:cs="宋体" w:eastAsia="宋体" w:hint="default"/>
          <w:sz w:val="21"/>
          <w:szCs w:val="21"/>
        </w:rPr>
        <w:t>股，按照不低</w:t>
      </w:r>
    </w:p>
    <w:p>
      <w:pPr>
        <w:spacing w:line="355" w:lineRule="auto" w:before="133"/>
        <w:ind w:left="137" w:right="201" w:firstLine="0"/>
        <w:jc w:val="both"/>
        <w:rPr>
          <w:rFonts w:ascii="宋体" w:hAnsi="宋体" w:cs="宋体" w:eastAsia="宋体" w:hint="default"/>
          <w:sz w:val="21"/>
          <w:szCs w:val="21"/>
        </w:rPr>
      </w:pPr>
      <w:r>
        <w:rPr>
          <w:rFonts w:ascii="宋体" w:hAnsi="宋体" w:cs="宋体" w:eastAsia="宋体" w:hint="default"/>
          <w:sz w:val="21"/>
          <w:szCs w:val="21"/>
        </w:rPr>
        <w:t>于公司被批准为股权分置改革试点单位前的交易日收盘价</w:t>
      </w:r>
      <w:r>
        <w:rPr>
          <w:rFonts w:ascii="宋体" w:hAnsi="宋体" w:cs="宋体" w:eastAsia="宋体" w:hint="default"/>
          <w:spacing w:val="-54"/>
          <w:sz w:val="21"/>
          <w:szCs w:val="21"/>
        </w:rPr>
        <w:t> </w:t>
      </w:r>
      <w:r>
        <w:rPr>
          <w:rFonts w:ascii="宋体" w:hAnsi="宋体" w:cs="宋体" w:eastAsia="宋体" w:hint="default"/>
          <w:sz w:val="21"/>
          <w:szCs w:val="21"/>
        </w:rPr>
        <w:t>3.4</w:t>
      </w:r>
      <w:r>
        <w:rPr>
          <w:rFonts w:ascii="宋体" w:hAnsi="宋体" w:cs="宋体" w:eastAsia="宋体" w:hint="default"/>
          <w:spacing w:val="-49"/>
          <w:sz w:val="21"/>
          <w:szCs w:val="21"/>
        </w:rPr>
        <w:t> </w:t>
      </w:r>
      <w:r>
        <w:rPr>
          <w:rFonts w:ascii="宋体" w:hAnsi="宋体" w:cs="宋体" w:eastAsia="宋体" w:hint="default"/>
          <w:spacing w:val="-7"/>
          <w:sz w:val="21"/>
          <w:szCs w:val="21"/>
        </w:rPr>
        <w:t>元/股，且不高于</w:t>
      </w:r>
      <w:r>
        <w:rPr>
          <w:rFonts w:ascii="宋体" w:hAnsi="宋体" w:cs="宋体" w:eastAsia="宋体" w:hint="default"/>
          <w:spacing w:val="-54"/>
          <w:sz w:val="21"/>
          <w:szCs w:val="21"/>
        </w:rPr>
        <w:t> </w:t>
      </w:r>
      <w:r>
        <w:rPr>
          <w:rFonts w:ascii="宋体" w:hAnsi="宋体" w:cs="宋体" w:eastAsia="宋体" w:hint="default"/>
          <w:sz w:val="21"/>
          <w:szCs w:val="21"/>
        </w:rPr>
        <w:t>3.66</w:t>
      </w:r>
      <w:r>
        <w:rPr>
          <w:rFonts w:ascii="宋体" w:hAnsi="宋体" w:cs="宋体" w:eastAsia="宋体" w:hint="default"/>
          <w:spacing w:val="-51"/>
          <w:sz w:val="21"/>
          <w:szCs w:val="21"/>
        </w:rPr>
        <w:t> </w:t>
      </w:r>
      <w:r>
        <w:rPr>
          <w:rFonts w:ascii="宋体" w:hAnsi="宋体" w:cs="宋体" w:eastAsia="宋体" w:hint="default"/>
          <w:sz w:val="21"/>
          <w:szCs w:val="21"/>
        </w:rPr>
        <w:t>元/股的</w:t>
      </w:r>
      <w:r>
        <w:rPr>
          <w:rFonts w:ascii="宋体" w:hAnsi="宋体" w:cs="宋体" w:eastAsia="宋体" w:hint="default"/>
          <w:w w:val="100"/>
          <w:sz w:val="21"/>
          <w:szCs w:val="21"/>
        </w:rPr>
        <w:t> </w:t>
      </w:r>
      <w:r>
        <w:rPr>
          <w:rFonts w:ascii="宋体" w:hAnsi="宋体" w:cs="宋体" w:eastAsia="宋体" w:hint="default"/>
          <w:sz w:val="21"/>
          <w:szCs w:val="21"/>
        </w:rPr>
        <w:t>价格出售给公司管理层，建立公司管理层约束和激励机制；其持有的非流通股份自获得上市</w:t>
      </w:r>
      <w:r>
        <w:rPr>
          <w:rFonts w:ascii="宋体" w:hAnsi="宋体" w:cs="宋体" w:eastAsia="宋体" w:hint="default"/>
          <w:spacing w:val="-57"/>
          <w:sz w:val="21"/>
          <w:szCs w:val="21"/>
        </w:rPr>
        <w:t> </w:t>
      </w:r>
      <w:r>
        <w:rPr>
          <w:rFonts w:ascii="宋体" w:hAnsi="宋体" w:cs="宋体" w:eastAsia="宋体" w:hint="default"/>
          <w:sz w:val="21"/>
          <w:szCs w:val="21"/>
        </w:rPr>
        <w:t>流通权之日起，十二个月内不上市交易或者转让。</w:t>
      </w:r>
    </w:p>
    <w:p>
      <w:pPr>
        <w:spacing w:line="355" w:lineRule="auto" w:before="32"/>
        <w:ind w:left="137" w:right="201" w:firstLine="405"/>
        <w:jc w:val="both"/>
        <w:rPr>
          <w:rFonts w:ascii="宋体" w:hAnsi="宋体" w:cs="宋体" w:eastAsia="宋体" w:hint="default"/>
          <w:sz w:val="21"/>
          <w:szCs w:val="21"/>
        </w:rPr>
      </w:pPr>
      <w:r>
        <w:rPr>
          <w:rFonts w:ascii="宋体" w:hAnsi="宋体" w:cs="宋体" w:eastAsia="宋体" w:hint="default"/>
          <w:spacing w:val="-3"/>
          <w:sz w:val="21"/>
          <w:szCs w:val="21"/>
        </w:rPr>
        <w:t>（2）通过证券交易所挂牌交易出售的股份数量达到农产品公司股份总数百分之一的，应</w:t>
      </w:r>
      <w:r>
        <w:rPr>
          <w:rFonts w:ascii="宋体" w:hAnsi="宋体" w:cs="宋体" w:eastAsia="宋体" w:hint="default"/>
          <w:w w:val="100"/>
          <w:sz w:val="21"/>
          <w:szCs w:val="21"/>
        </w:rPr>
        <w:t> </w:t>
      </w:r>
      <w:r>
        <w:rPr>
          <w:rFonts w:ascii="宋体" w:hAnsi="宋体" w:cs="宋体" w:eastAsia="宋体" w:hint="default"/>
          <w:sz w:val="21"/>
          <w:szCs w:val="21"/>
        </w:rPr>
        <w:t>当自该事实发生之日起两个工作日内做出公告。</w:t>
      </w:r>
    </w:p>
    <w:p>
      <w:pPr>
        <w:spacing w:line="355" w:lineRule="auto" w:before="32"/>
        <w:ind w:left="137" w:right="229" w:firstLine="420"/>
        <w:jc w:val="both"/>
        <w:rPr>
          <w:rFonts w:ascii="宋体" w:hAnsi="宋体" w:cs="宋体" w:eastAsia="宋体" w:hint="default"/>
          <w:sz w:val="21"/>
          <w:szCs w:val="21"/>
        </w:rPr>
      </w:pPr>
      <w:r>
        <w:rPr>
          <w:rFonts w:ascii="宋体" w:hAnsi="宋体" w:cs="宋体" w:eastAsia="宋体" w:hint="default"/>
          <w:sz w:val="21"/>
          <w:szCs w:val="21"/>
        </w:rPr>
        <w:t>相关公告已刊登在</w:t>
      </w:r>
      <w:r>
        <w:rPr>
          <w:rFonts w:ascii="宋体" w:hAnsi="宋体" w:cs="宋体" w:eastAsia="宋体" w:hint="default"/>
          <w:spacing w:val="-52"/>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日和</w:t>
      </w:r>
      <w:r>
        <w:rPr>
          <w:rFonts w:ascii="宋体" w:hAnsi="宋体" w:cs="宋体" w:eastAsia="宋体" w:hint="default"/>
          <w:spacing w:val="-50"/>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日的《中国证券报》、《证券时</w:t>
      </w:r>
      <w:r>
        <w:rPr>
          <w:rFonts w:ascii="宋体" w:hAnsi="宋体" w:cs="宋体" w:eastAsia="宋体" w:hint="default"/>
          <w:w w:val="100"/>
          <w:sz w:val="21"/>
          <w:szCs w:val="21"/>
        </w:rPr>
        <w:t> </w:t>
      </w:r>
      <w:r>
        <w:rPr>
          <w:rFonts w:ascii="宋体" w:hAnsi="宋体" w:cs="宋体" w:eastAsia="宋体" w:hint="default"/>
          <w:sz w:val="21"/>
          <w:szCs w:val="21"/>
        </w:rPr>
        <w:t>报》、《上海证券报》和巨潮网站上。</w:t>
      </w:r>
    </w:p>
    <w:p>
      <w:pPr>
        <w:spacing w:after="0" w:line="355" w:lineRule="auto"/>
        <w:jc w:val="both"/>
        <w:rPr>
          <w:rFonts w:ascii="宋体" w:hAnsi="宋体" w:cs="宋体" w:eastAsia="宋体" w:hint="default"/>
          <w:sz w:val="21"/>
          <w:szCs w:val="21"/>
        </w:rPr>
        <w:sectPr>
          <w:pgSz w:w="11910" w:h="16840"/>
          <w:pgMar w:header="859" w:footer="835" w:top="1420" w:bottom="1020" w:left="1660" w:right="1440"/>
        </w:sectPr>
      </w:pPr>
    </w:p>
    <w:p>
      <w:pPr>
        <w:spacing w:line="312" w:lineRule="auto" w:before="19"/>
        <w:ind w:left="697" w:right="92" w:firstLine="0"/>
        <w:jc w:val="left"/>
        <w:rPr>
          <w:rFonts w:ascii="宋体" w:hAnsi="宋体" w:cs="宋体" w:eastAsia="宋体" w:hint="default"/>
          <w:sz w:val="24"/>
          <w:szCs w:val="24"/>
        </w:rPr>
      </w:pPr>
      <w:r>
        <w:rPr/>
        <w:pict>
          <v:group style="position:absolute;margin-left:88.799995pt;margin-top:6.30363pt;width:425.2pt;height:.1pt;mso-position-horizontal-relative:page;mso-position-vertical-relative:paragraph;z-index:-1140760" coordorigin="1776,126" coordsize="8504,2">
            <v:shape style="position:absolute;left:1776;top:126;width:8504;height:2" coordorigin="1776,126" coordsize="8504,0" path="m1776,126l10279,126e" filled="false" stroked="true" strokeweight=".72pt" strokecolor="#000008">
              <v:path arrowok="t"/>
            </v:shape>
            <w10:wrap type="none"/>
          </v:group>
        </w:pict>
      </w:r>
      <w:r>
        <w:rPr>
          <w:rFonts w:ascii="Microsoft JhengHei" w:hAnsi="Microsoft JhengHei" w:cs="Microsoft JhengHei" w:eastAsia="Microsoft JhengHei" w:hint="default"/>
          <w:b/>
          <w:bCs/>
          <w:sz w:val="24"/>
          <w:szCs w:val="24"/>
        </w:rPr>
        <w:t>第九节 报告期内，聘任、解聘会计师事务所情况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报告期内，本公司继续聘任深圳南方民和会计师事务所有限责任公司担任公</w:t>
      </w:r>
    </w:p>
    <w:p>
      <w:pPr>
        <w:pStyle w:val="BodyText"/>
        <w:spacing w:line="240" w:lineRule="auto" w:before="82"/>
        <w:ind w:left="217" w:right="0"/>
        <w:jc w:val="both"/>
      </w:pPr>
      <w:r>
        <w:rPr/>
        <w:t>司</w:t>
      </w:r>
      <w:r>
        <w:rPr>
          <w:spacing w:val="-90"/>
        </w:rPr>
        <w:t> </w:t>
      </w:r>
      <w:r>
        <w:rPr/>
        <w:t>2009</w:t>
      </w:r>
      <w:r>
        <w:rPr>
          <w:spacing w:val="-90"/>
        </w:rPr>
        <w:t> </w:t>
      </w:r>
      <w:r>
        <w:rPr/>
        <w:t>年度审计工作。该会计师事务所已连续十年为公司提供审计服务。根据中</w:t>
      </w:r>
    </w:p>
    <w:p>
      <w:pPr>
        <w:pStyle w:val="BodyText"/>
        <w:spacing w:line="240" w:lineRule="auto" w:before="154"/>
        <w:ind w:left="217" w:right="0"/>
        <w:jc w:val="both"/>
      </w:pPr>
      <w:r>
        <w:rPr/>
        <w:t>国证监会《公开发行证券的公司信息披露规范问答第</w:t>
      </w:r>
      <w:r>
        <w:rPr>
          <w:spacing w:val="-52"/>
        </w:rPr>
        <w:t> </w:t>
      </w:r>
      <w:r>
        <w:rPr/>
        <w:t>6</w:t>
      </w:r>
      <w:r>
        <w:rPr>
          <w:spacing w:val="-46"/>
        </w:rPr>
        <w:t> </w:t>
      </w:r>
      <w:r>
        <w:rPr/>
        <w:t>号——支付会计师事务所</w:t>
      </w:r>
    </w:p>
    <w:p>
      <w:pPr>
        <w:pStyle w:val="BodyText"/>
        <w:spacing w:line="240" w:lineRule="auto" w:before="154"/>
        <w:ind w:left="217" w:right="0"/>
        <w:jc w:val="both"/>
      </w:pPr>
      <w:r>
        <w:rPr/>
        <w:t>报酬及其披露》的有关规定和本公司</w:t>
      </w:r>
      <w:r>
        <w:rPr>
          <w:spacing w:val="-90"/>
        </w:rPr>
        <w:t> </w:t>
      </w:r>
      <w:r>
        <w:rPr/>
        <w:t>2009</w:t>
      </w:r>
      <w:r>
        <w:rPr>
          <w:spacing w:val="-90"/>
        </w:rPr>
        <w:t> </w:t>
      </w:r>
      <w:r>
        <w:rPr/>
        <w:t>年资产总额及审计业务量的情况，确定</w:t>
      </w:r>
    </w:p>
    <w:p>
      <w:pPr>
        <w:pStyle w:val="BodyText"/>
        <w:spacing w:line="240" w:lineRule="auto" w:before="154"/>
        <w:ind w:left="217" w:right="0"/>
        <w:jc w:val="both"/>
      </w:pPr>
      <w:r>
        <w:rPr/>
        <w:t>支付给深圳南方民和会计师事务所有限责任公司</w:t>
      </w:r>
      <w:r>
        <w:rPr>
          <w:spacing w:val="-89"/>
        </w:rPr>
        <w:t> </w:t>
      </w:r>
      <w:r>
        <w:rPr/>
        <w:t>2009</w:t>
      </w:r>
      <w:r>
        <w:rPr>
          <w:spacing w:val="-89"/>
        </w:rPr>
        <w:t> </w:t>
      </w:r>
      <w:r>
        <w:rPr/>
        <w:t>年度财务报告审计费用约为</w:t>
      </w:r>
    </w:p>
    <w:p>
      <w:pPr>
        <w:pStyle w:val="BodyText"/>
        <w:spacing w:line="240" w:lineRule="auto" w:before="154"/>
        <w:ind w:left="217" w:right="0"/>
        <w:jc w:val="both"/>
      </w:pPr>
      <w:r>
        <w:rPr/>
        <w:t>85</w:t>
      </w:r>
      <w:r>
        <w:rPr>
          <w:spacing w:val="-60"/>
        </w:rPr>
        <w:t> </w:t>
      </w:r>
      <w:r>
        <w:rPr/>
        <w:t>万元。</w:t>
      </w:r>
    </w:p>
    <w:p>
      <w:pPr>
        <w:spacing w:line="240" w:lineRule="auto" w:before="9"/>
        <w:rPr>
          <w:rFonts w:ascii="宋体" w:hAnsi="宋体" w:cs="宋体" w:eastAsia="宋体" w:hint="default"/>
          <w:sz w:val="32"/>
          <w:szCs w:val="32"/>
        </w:rPr>
      </w:pPr>
    </w:p>
    <w:p>
      <w:pPr>
        <w:spacing w:line="312" w:lineRule="auto" w:before="0"/>
        <w:ind w:left="697" w:right="9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第十节 其他重要事项</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一、公司及董事、监事、高级管理人员、公司股东、实际控制人、收购人无在</w:t>
      </w:r>
    </w:p>
    <w:p>
      <w:pPr>
        <w:pStyle w:val="BodyText"/>
        <w:spacing w:line="357" w:lineRule="auto" w:before="82"/>
        <w:ind w:left="217" w:right="109"/>
        <w:jc w:val="both"/>
      </w:pPr>
      <w:r>
        <w:rPr>
          <w:spacing w:val="-2"/>
        </w:rPr>
        <w:t>报告期内受有权机关调查、司法纪检部门采取强制措施、被移送司法机关或追究刑</w:t>
      </w:r>
      <w:r>
        <w:rPr>
          <w:spacing w:val="-94"/>
        </w:rPr>
        <w:t> </w:t>
      </w:r>
      <w:r>
        <w:rPr>
          <w:spacing w:val="-94"/>
        </w:rPr>
      </w:r>
      <w:r>
        <w:rPr>
          <w:spacing w:val="-2"/>
        </w:rPr>
        <w:t>事责任、中国证监会稽查、中国证监会行政处罚、证券市场禁入、认定为不适当人</w:t>
      </w:r>
      <w:r>
        <w:rPr>
          <w:spacing w:val="-93"/>
        </w:rPr>
        <w:t> </w:t>
      </w:r>
      <w:r>
        <w:rPr>
          <w:spacing w:val="-93"/>
        </w:rPr>
      </w:r>
      <w:r>
        <w:rPr/>
        <w:t>选被其他行政管理部门处罚及证券交易所公开谴责的情形。</w:t>
      </w:r>
    </w:p>
    <w:p>
      <w:pPr>
        <w:pStyle w:val="BodyText"/>
        <w:spacing w:line="357" w:lineRule="auto"/>
        <w:ind w:left="697" w:right="231"/>
        <w:jc w:val="left"/>
      </w:pPr>
      <w:r>
        <w:rPr/>
        <w:t>二、报告期内，公司接待调研、沟通的基本情况 1、报告期内，公司接待特定对象的调研、沟通、采访等活动的总体情况 报告期内，公司接待特定对象实地调研</w:t>
      </w:r>
      <w:r>
        <w:rPr>
          <w:spacing w:val="-82"/>
        </w:rPr>
        <w:t> </w:t>
      </w:r>
      <w:r>
        <w:rPr/>
        <w:t>32</w:t>
      </w:r>
      <w:r>
        <w:rPr>
          <w:spacing w:val="-80"/>
        </w:rPr>
        <w:t> </w:t>
      </w:r>
      <w:r>
        <w:rPr/>
        <w:t>次，65</w:t>
      </w:r>
      <w:r>
        <w:rPr>
          <w:spacing w:val="-80"/>
        </w:rPr>
        <w:t> </w:t>
      </w:r>
      <w:r>
        <w:rPr>
          <w:spacing w:val="-5"/>
        </w:rPr>
        <w:t>个次，均为机构投资者。沟</w:t>
      </w:r>
    </w:p>
    <w:p>
      <w:pPr>
        <w:pStyle w:val="BodyText"/>
        <w:spacing w:line="357" w:lineRule="auto"/>
        <w:ind w:left="217" w:right="270"/>
        <w:jc w:val="both"/>
      </w:pPr>
      <w:r>
        <w:rPr/>
        <w:t>通的问题集中在公司基本情况，公司所处行业情况，公司战略，公司各下属批发</w:t>
      </w:r>
      <w:r>
        <w:rPr>
          <w:spacing w:val="-91"/>
        </w:rPr>
        <w:t> </w:t>
      </w:r>
      <w:r>
        <w:rPr>
          <w:spacing w:val="-91"/>
        </w:rPr>
      </w:r>
      <w:r>
        <w:rPr/>
        <w:t>市场经营情况，公司主要投资项目的进展情况，重大项目的进展情况和公司业绩</w:t>
      </w:r>
      <w:r>
        <w:rPr>
          <w:spacing w:val="-91"/>
        </w:rPr>
        <w:t> </w:t>
      </w:r>
      <w:r>
        <w:rPr>
          <w:spacing w:val="-91"/>
        </w:rPr>
      </w:r>
      <w:r>
        <w:rPr/>
        <w:t>增减情况等。除公开资料外，公司未向特定对象提供任何书面资料。</w:t>
      </w:r>
    </w:p>
    <w:p>
      <w:pPr>
        <w:pStyle w:val="BodyText"/>
        <w:spacing w:line="357" w:lineRule="auto"/>
        <w:ind w:left="217" w:right="92" w:firstLine="480"/>
        <w:jc w:val="left"/>
      </w:pPr>
      <w:r>
        <w:rPr/>
        <w:t>公司接待特定对象工作严格遵守《上市公司公平信息披露指引》及公司《接 待和推广工作制度》的规定，公司及相关信息披露义务人严格遵循公平信息披露</w:t>
      </w:r>
      <w:r>
        <w:rPr>
          <w:spacing w:val="-91"/>
        </w:rPr>
        <w:t> </w:t>
      </w:r>
      <w:r>
        <w:rPr>
          <w:spacing w:val="-91"/>
        </w:rPr>
      </w:r>
      <w:r>
        <w:rPr>
          <w:spacing w:val="3"/>
        </w:rPr>
        <w:t>的原则，未有实行差别对待政策，未有有选择地、私下地提前向特定对象披露、</w:t>
      </w:r>
      <w:r>
        <w:rPr>
          <w:spacing w:val="-96"/>
        </w:rPr>
        <w:t> </w:t>
      </w:r>
      <w:r>
        <w:rPr>
          <w:spacing w:val="-96"/>
        </w:rPr>
      </w:r>
      <w:r>
        <w:rPr/>
        <w:t>透露或泄露未公开信息的情形。</w:t>
      </w:r>
    </w:p>
    <w:p>
      <w:pPr>
        <w:pStyle w:val="BodyText"/>
        <w:spacing w:line="240" w:lineRule="auto"/>
        <w:ind w:left="697" w:right="92"/>
        <w:jc w:val="left"/>
      </w:pPr>
      <w:r>
        <w:rPr/>
        <w:t>2、报告期内，公司接待调研、沟通、采访等活动登记表：</w:t>
      </w:r>
    </w:p>
    <w:p>
      <w:pPr>
        <w:spacing w:line="240" w:lineRule="auto" w:before="9"/>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241"/>
        <w:gridCol w:w="758"/>
        <w:gridCol w:w="1051"/>
        <w:gridCol w:w="2926"/>
        <w:gridCol w:w="2705"/>
      </w:tblGrid>
      <w:tr>
        <w:trPr>
          <w:trHeight w:val="790" w:hRule="exact"/>
        </w:trPr>
        <w:tc>
          <w:tcPr>
            <w:tcW w:w="1241"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758"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32" w:lineRule="exact" w:before="153"/>
              <w:ind w:left="194" w:right="192"/>
              <w:jc w:val="left"/>
              <w:rPr>
                <w:rFonts w:ascii="宋体" w:hAnsi="宋体" w:cs="宋体" w:eastAsia="宋体" w:hint="default"/>
                <w:sz w:val="18"/>
                <w:szCs w:val="18"/>
              </w:rPr>
            </w:pPr>
            <w:r>
              <w:rPr>
                <w:rFonts w:ascii="宋体" w:hAnsi="宋体" w:cs="宋体" w:eastAsia="宋体" w:hint="default"/>
                <w:sz w:val="18"/>
                <w:szCs w:val="18"/>
              </w:rPr>
              <w:t>接待 地点</w:t>
            </w:r>
          </w:p>
        </w:tc>
        <w:tc>
          <w:tcPr>
            <w:tcW w:w="1051"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32" w:lineRule="exact" w:before="153"/>
              <w:ind w:left="340" w:right="338"/>
              <w:jc w:val="left"/>
              <w:rPr>
                <w:rFonts w:ascii="宋体" w:hAnsi="宋体" w:cs="宋体" w:eastAsia="宋体" w:hint="default"/>
                <w:sz w:val="18"/>
                <w:szCs w:val="18"/>
              </w:rPr>
            </w:pPr>
            <w:r>
              <w:rPr>
                <w:rFonts w:ascii="宋体" w:hAnsi="宋体" w:cs="宋体" w:eastAsia="宋体" w:hint="default"/>
                <w:sz w:val="18"/>
                <w:szCs w:val="18"/>
              </w:rPr>
              <w:t>接待 方式</w:t>
            </w:r>
          </w:p>
        </w:tc>
        <w:tc>
          <w:tcPr>
            <w:tcW w:w="2926"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705"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239"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富国基金管理有限公司、广发证券</w:t>
            </w:r>
          </w:p>
        </w:tc>
        <w:tc>
          <w:tcPr>
            <w:tcW w:w="2705" w:type="dxa"/>
            <w:tcBorders>
              <w:top w:val="single" w:sz="4" w:space="0" w:color="000008"/>
              <w:left w:val="single" w:sz="4" w:space="0" w:color="000008"/>
              <w:bottom w:val="nil" w:sz="6" w:space="0" w:color="auto"/>
              <w:right w:val="single" w:sz="4" w:space="0" w:color="000008"/>
            </w:tcBorders>
          </w:tcPr>
          <w:p>
            <w:pPr/>
          </w:p>
        </w:tc>
      </w:tr>
      <w:tr>
        <w:trPr>
          <w:trHeight w:val="234" w:hRule="exact"/>
        </w:trPr>
        <w:tc>
          <w:tcPr>
            <w:tcW w:w="1241" w:type="dxa"/>
            <w:tcBorders>
              <w:top w:val="nil" w:sz="6" w:space="0" w:color="auto"/>
              <w:left w:val="single" w:sz="4" w:space="0" w:color="000008"/>
              <w:bottom w:val="nil" w:sz="6" w:space="0" w:color="auto"/>
              <w:right w:val="single" w:sz="4" w:space="0" w:color="000008"/>
            </w:tcBorders>
          </w:tcPr>
          <w:p>
            <w:pPr/>
          </w:p>
        </w:tc>
        <w:tc>
          <w:tcPr>
            <w:tcW w:w="758" w:type="dxa"/>
            <w:tcBorders>
              <w:top w:val="nil" w:sz="6" w:space="0" w:color="auto"/>
              <w:left w:val="single" w:sz="4" w:space="0" w:color="000008"/>
              <w:bottom w:val="nil" w:sz="6" w:space="0" w:color="auto"/>
              <w:right w:val="single" w:sz="4" w:space="0" w:color="000008"/>
            </w:tcBorders>
          </w:tcPr>
          <w:p>
            <w:pPr/>
          </w:p>
        </w:tc>
        <w:tc>
          <w:tcPr>
            <w:tcW w:w="1051" w:type="dxa"/>
            <w:tcBorders>
              <w:top w:val="nil" w:sz="6" w:space="0" w:color="auto"/>
              <w:left w:val="single" w:sz="4" w:space="0" w:color="000008"/>
              <w:bottom w:val="nil" w:sz="6" w:space="0" w:color="auto"/>
              <w:right w:val="single" w:sz="4" w:space="0" w:color="000008"/>
            </w:tcBorders>
          </w:tcPr>
          <w:p>
            <w:pP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股份有限公司、交银施罗德基金管</w:t>
            </w:r>
          </w:p>
        </w:tc>
        <w:tc>
          <w:tcPr>
            <w:tcW w:w="2705" w:type="dxa"/>
            <w:tcBorders>
              <w:top w:val="nil" w:sz="6" w:space="0" w:color="auto"/>
              <w:left w:val="single" w:sz="4" w:space="0" w:color="000008"/>
              <w:bottom w:val="nil" w:sz="6" w:space="0" w:color="auto"/>
              <w:right w:val="single" w:sz="4" w:space="0" w:color="000008"/>
            </w:tcBorders>
          </w:tcPr>
          <w:p>
            <w:pPr/>
          </w:p>
        </w:tc>
      </w:tr>
      <w:tr>
        <w:trPr>
          <w:trHeight w:val="234" w:hRule="exact"/>
        </w:trPr>
        <w:tc>
          <w:tcPr>
            <w:tcW w:w="1241" w:type="dxa"/>
            <w:tcBorders>
              <w:top w:val="nil" w:sz="6" w:space="0" w:color="auto"/>
              <w:left w:val="single" w:sz="4" w:space="0" w:color="000008"/>
              <w:bottom w:val="nil" w:sz="6" w:space="0" w:color="auto"/>
              <w:right w:val="single" w:sz="4" w:space="0" w:color="000008"/>
            </w:tcBorders>
          </w:tcPr>
          <w:p>
            <w:pPr/>
          </w:p>
        </w:tc>
        <w:tc>
          <w:tcPr>
            <w:tcW w:w="758" w:type="dxa"/>
            <w:tcBorders>
              <w:top w:val="nil" w:sz="6" w:space="0" w:color="auto"/>
              <w:left w:val="single" w:sz="4" w:space="0" w:color="000008"/>
              <w:bottom w:val="nil" w:sz="6" w:space="0" w:color="auto"/>
              <w:right w:val="single" w:sz="4" w:space="0" w:color="000008"/>
            </w:tcBorders>
          </w:tcPr>
          <w:p>
            <w:pPr/>
          </w:p>
        </w:tc>
        <w:tc>
          <w:tcPr>
            <w:tcW w:w="1051" w:type="dxa"/>
            <w:tcBorders>
              <w:top w:val="nil" w:sz="6" w:space="0" w:color="auto"/>
              <w:left w:val="single" w:sz="4" w:space="0" w:color="000008"/>
              <w:bottom w:val="nil" w:sz="6" w:space="0" w:color="auto"/>
              <w:right w:val="single" w:sz="4" w:space="0" w:color="000008"/>
            </w:tcBorders>
          </w:tcPr>
          <w:p>
            <w:pP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理有限公司、招商基金管理有限公</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8" w:lineRule="exact"/>
              <w:ind w:left="355" w:right="0"/>
              <w:jc w:val="left"/>
              <w:rPr>
                <w:rFonts w:ascii="宋体" w:hAnsi="宋体" w:cs="宋体" w:eastAsia="宋体" w:hint="default"/>
                <w:sz w:val="18"/>
                <w:szCs w:val="18"/>
              </w:rPr>
            </w:pPr>
            <w:r>
              <w:rPr>
                <w:rFonts w:ascii="宋体" w:hAnsi="宋体" w:cs="宋体" w:eastAsia="宋体" w:hint="default"/>
                <w:spacing w:val="4"/>
                <w:sz w:val="18"/>
                <w:szCs w:val="18"/>
              </w:rPr>
              <w:t>公司属下各个市场业务发展</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9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6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司、中银国际证券有限责任公司、</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长城基金管理有限公司、国信证券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355" w:right="0"/>
              <w:jc w:val="left"/>
              <w:rPr>
                <w:rFonts w:ascii="宋体" w:hAnsi="宋体" w:cs="宋体" w:eastAsia="宋体" w:hint="default"/>
                <w:sz w:val="18"/>
                <w:szCs w:val="18"/>
              </w:rPr>
            </w:pPr>
            <w:r>
              <w:rPr>
                <w:rFonts w:ascii="宋体" w:hAnsi="宋体" w:cs="宋体" w:eastAsia="宋体" w:hint="default"/>
                <w:spacing w:val="12"/>
                <w:sz w:val="18"/>
                <w:szCs w:val="18"/>
              </w:rPr>
              <w:t>情况、电子结算推进情况，</w:t>
            </w: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pacing w:val="4"/>
                <w:sz w:val="18"/>
                <w:szCs w:val="18"/>
              </w:rPr>
              <w:t>平湖项目进展情况，行业发</w:t>
            </w:r>
          </w:p>
        </w:tc>
      </w:tr>
      <w:tr>
        <w:trPr>
          <w:trHeight w:val="234" w:hRule="exact"/>
        </w:trPr>
        <w:tc>
          <w:tcPr>
            <w:tcW w:w="1241" w:type="dxa"/>
            <w:tcBorders>
              <w:top w:val="nil" w:sz="6" w:space="0" w:color="auto"/>
              <w:left w:val="single" w:sz="4" w:space="0" w:color="000008"/>
              <w:bottom w:val="nil" w:sz="6" w:space="0" w:color="auto"/>
              <w:right w:val="single" w:sz="4" w:space="0" w:color="000008"/>
            </w:tcBorders>
          </w:tcPr>
          <w:p>
            <w:pPr/>
          </w:p>
        </w:tc>
        <w:tc>
          <w:tcPr>
            <w:tcW w:w="758" w:type="dxa"/>
            <w:tcBorders>
              <w:top w:val="nil" w:sz="6" w:space="0" w:color="auto"/>
              <w:left w:val="single" w:sz="4" w:space="0" w:color="000008"/>
              <w:bottom w:val="nil" w:sz="6" w:space="0" w:color="auto"/>
              <w:right w:val="single" w:sz="4" w:space="0" w:color="000008"/>
            </w:tcBorders>
          </w:tcPr>
          <w:p>
            <w:pPr/>
          </w:p>
        </w:tc>
        <w:tc>
          <w:tcPr>
            <w:tcW w:w="1051" w:type="dxa"/>
            <w:tcBorders>
              <w:top w:val="nil" w:sz="6" w:space="0" w:color="auto"/>
              <w:left w:val="single" w:sz="4" w:space="0" w:color="000008"/>
              <w:bottom w:val="nil" w:sz="6" w:space="0" w:color="auto"/>
              <w:right w:val="single" w:sz="4" w:space="0" w:color="000008"/>
            </w:tcBorders>
          </w:tcPr>
          <w:p>
            <w:pP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股份有限公司、融通基金管理有限</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355" w:right="0"/>
              <w:jc w:val="left"/>
              <w:rPr>
                <w:rFonts w:ascii="宋体" w:hAnsi="宋体" w:cs="宋体" w:eastAsia="宋体" w:hint="default"/>
                <w:sz w:val="18"/>
                <w:szCs w:val="18"/>
              </w:rPr>
            </w:pPr>
            <w:r>
              <w:rPr>
                <w:rFonts w:ascii="宋体" w:hAnsi="宋体" w:cs="宋体" w:eastAsia="宋体" w:hint="default"/>
                <w:sz w:val="18"/>
                <w:szCs w:val="18"/>
              </w:rPr>
              <w:t>展趋势。</w:t>
            </w:r>
          </w:p>
        </w:tc>
      </w:tr>
      <w:tr>
        <w:trPr>
          <w:trHeight w:val="234" w:hRule="exact"/>
        </w:trPr>
        <w:tc>
          <w:tcPr>
            <w:tcW w:w="1241" w:type="dxa"/>
            <w:tcBorders>
              <w:top w:val="nil" w:sz="6" w:space="0" w:color="auto"/>
              <w:left w:val="single" w:sz="4" w:space="0" w:color="000008"/>
              <w:bottom w:val="nil" w:sz="6" w:space="0" w:color="auto"/>
              <w:right w:val="single" w:sz="4" w:space="0" w:color="000008"/>
            </w:tcBorders>
          </w:tcPr>
          <w:p>
            <w:pPr/>
          </w:p>
        </w:tc>
        <w:tc>
          <w:tcPr>
            <w:tcW w:w="758" w:type="dxa"/>
            <w:tcBorders>
              <w:top w:val="nil" w:sz="6" w:space="0" w:color="auto"/>
              <w:left w:val="single" w:sz="4" w:space="0" w:color="000008"/>
              <w:bottom w:val="nil" w:sz="6" w:space="0" w:color="auto"/>
              <w:right w:val="single" w:sz="4" w:space="0" w:color="000008"/>
            </w:tcBorders>
          </w:tcPr>
          <w:p>
            <w:pPr/>
          </w:p>
        </w:tc>
        <w:tc>
          <w:tcPr>
            <w:tcW w:w="1051" w:type="dxa"/>
            <w:tcBorders>
              <w:top w:val="nil" w:sz="6" w:space="0" w:color="auto"/>
              <w:left w:val="single" w:sz="4" w:space="0" w:color="000008"/>
              <w:bottom w:val="nil" w:sz="6" w:space="0" w:color="auto"/>
              <w:right w:val="single" w:sz="4" w:space="0" w:color="000008"/>
            </w:tcBorders>
          </w:tcPr>
          <w:p>
            <w:pP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公司、宝盈基金管理有限公司、深</w:t>
            </w:r>
          </w:p>
        </w:tc>
        <w:tc>
          <w:tcPr>
            <w:tcW w:w="2705" w:type="dxa"/>
            <w:tcBorders>
              <w:top w:val="nil" w:sz="6" w:space="0" w:color="auto"/>
              <w:left w:val="single" w:sz="4" w:space="0" w:color="000008"/>
              <w:bottom w:val="nil" w:sz="6" w:space="0" w:color="auto"/>
              <w:right w:val="single" w:sz="4" w:space="0" w:color="000008"/>
            </w:tcBorders>
          </w:tcPr>
          <w:p>
            <w:pPr/>
          </w:p>
        </w:tc>
      </w:tr>
      <w:tr>
        <w:trPr>
          <w:trHeight w:val="239"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圳民森投资有限公司、鹏华基金管</w:t>
            </w:r>
          </w:p>
        </w:tc>
        <w:tc>
          <w:tcPr>
            <w:tcW w:w="2705" w:type="dxa"/>
            <w:tcBorders>
              <w:top w:val="nil" w:sz="6" w:space="0" w:color="auto"/>
              <w:left w:val="single" w:sz="4" w:space="0" w:color="000008"/>
              <w:bottom w:val="single" w:sz="4" w:space="0" w:color="000008"/>
              <w:right w:val="single" w:sz="4" w:space="0" w:color="000008"/>
            </w:tcBorders>
          </w:tcPr>
          <w:p>
            <w:pPr/>
          </w:p>
        </w:tc>
      </w:tr>
    </w:tbl>
    <w:p>
      <w:pPr>
        <w:spacing w:after="0"/>
        <w:sectPr>
          <w:pgSz w:w="11910" w:h="16840"/>
          <w:pgMar w:header="859" w:footer="835" w:top="1420" w:bottom="1020" w:left="1580" w:right="1400"/>
        </w:sectPr>
      </w:pPr>
    </w:p>
    <w:p>
      <w:pPr>
        <w:spacing w:line="240" w:lineRule="auto" w:before="5"/>
        <w:rPr>
          <w:rFonts w:ascii="Times New Roman" w:hAnsi="Times New Roman" w:cs="Times New Roman" w:eastAsia="Times New Roman"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241"/>
        <w:gridCol w:w="758"/>
        <w:gridCol w:w="1051"/>
        <w:gridCol w:w="2926"/>
        <w:gridCol w:w="2705"/>
      </w:tblGrid>
      <w:tr>
        <w:trPr>
          <w:trHeight w:val="492" w:hRule="exact"/>
        </w:trPr>
        <w:tc>
          <w:tcPr>
            <w:tcW w:w="1241" w:type="dxa"/>
            <w:tcBorders>
              <w:top w:val="single" w:sz="10" w:space="0" w:color="000008"/>
              <w:left w:val="single" w:sz="4" w:space="0" w:color="000008"/>
              <w:bottom w:val="single" w:sz="4" w:space="0" w:color="000008"/>
              <w:right w:val="single" w:sz="4" w:space="0" w:color="000008"/>
            </w:tcBorders>
          </w:tcPr>
          <w:p>
            <w:pPr/>
          </w:p>
        </w:tc>
        <w:tc>
          <w:tcPr>
            <w:tcW w:w="758" w:type="dxa"/>
            <w:tcBorders>
              <w:top w:val="single" w:sz="10" w:space="0" w:color="000008"/>
              <w:left w:val="single" w:sz="4" w:space="0" w:color="000008"/>
              <w:bottom w:val="single" w:sz="4" w:space="0" w:color="000008"/>
              <w:right w:val="single" w:sz="4" w:space="0" w:color="000008"/>
            </w:tcBorders>
          </w:tcPr>
          <w:p>
            <w:pPr/>
          </w:p>
        </w:tc>
        <w:tc>
          <w:tcPr>
            <w:tcW w:w="1051" w:type="dxa"/>
            <w:tcBorders>
              <w:top w:val="single" w:sz="10" w:space="0" w:color="000008"/>
              <w:left w:val="single" w:sz="4" w:space="0" w:color="000008"/>
              <w:bottom w:val="single" w:sz="4" w:space="0" w:color="000008"/>
              <w:right w:val="single" w:sz="4" w:space="0" w:color="000008"/>
            </w:tcBorders>
          </w:tcPr>
          <w:p>
            <w:pPr/>
          </w:p>
        </w:tc>
        <w:tc>
          <w:tcPr>
            <w:tcW w:w="2926" w:type="dxa"/>
            <w:tcBorders>
              <w:top w:val="single" w:sz="10" w:space="0" w:color="000008"/>
              <w:left w:val="single" w:sz="4" w:space="0" w:color="000008"/>
              <w:bottom w:val="single" w:sz="4" w:space="0" w:color="000008"/>
              <w:right w:val="single" w:sz="4" w:space="0" w:color="000008"/>
            </w:tcBorders>
          </w:tcPr>
          <w:p>
            <w:pPr>
              <w:pStyle w:val="TableParagraph"/>
              <w:spacing w:line="232" w:lineRule="exact" w:before="1"/>
              <w:ind w:left="103" w:right="110"/>
              <w:jc w:val="left"/>
              <w:rPr>
                <w:rFonts w:ascii="宋体" w:hAnsi="宋体" w:cs="宋体" w:eastAsia="宋体" w:hint="default"/>
                <w:sz w:val="18"/>
                <w:szCs w:val="18"/>
              </w:rPr>
            </w:pPr>
            <w:r>
              <w:rPr>
                <w:rFonts w:ascii="宋体" w:hAnsi="宋体" w:cs="宋体" w:eastAsia="宋体" w:hint="default"/>
                <w:sz w:val="18"/>
                <w:szCs w:val="18"/>
              </w:rPr>
              <w:t>理有限公司、工银瑞信基金管理有 限公司</w:t>
            </w:r>
          </w:p>
        </w:tc>
        <w:tc>
          <w:tcPr>
            <w:tcW w:w="2705" w:type="dxa"/>
            <w:tcBorders>
              <w:top w:val="single" w:sz="10" w:space="0" w:color="000008"/>
              <w:left w:val="single" w:sz="4" w:space="0" w:color="000008"/>
              <w:bottom w:val="single" w:sz="4" w:space="0" w:color="000008"/>
              <w:right w:val="single" w:sz="4" w:space="0" w:color="000008"/>
            </w:tcBorders>
          </w:tcPr>
          <w:p>
            <w:pP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2</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5</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长城基金管理有限公司、融通基金</w:t>
            </w:r>
          </w:p>
          <w:p>
            <w:pPr>
              <w:pStyle w:val="TableParagraph"/>
              <w:spacing w:line="240" w:lineRule="auto"/>
              <w:ind w:left="103" w:right="110"/>
              <w:jc w:val="left"/>
              <w:rPr>
                <w:rFonts w:ascii="宋体" w:hAnsi="宋体" w:cs="宋体" w:eastAsia="宋体" w:hint="default"/>
                <w:sz w:val="18"/>
                <w:szCs w:val="18"/>
              </w:rPr>
            </w:pPr>
            <w:r>
              <w:rPr>
                <w:rFonts w:ascii="宋体" w:hAnsi="宋体" w:cs="宋体" w:eastAsia="宋体" w:hint="default"/>
                <w:sz w:val="18"/>
                <w:szCs w:val="18"/>
              </w:rPr>
              <w:t>管理有限公司、中信证券股份有限 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14"/>
              <w:ind w:left="105" w:right="101"/>
              <w:jc w:val="left"/>
              <w:rPr>
                <w:rFonts w:ascii="宋体" w:hAnsi="宋体" w:cs="宋体" w:eastAsia="宋体" w:hint="default"/>
                <w:sz w:val="18"/>
                <w:szCs w:val="18"/>
              </w:rPr>
            </w:pPr>
            <w:r>
              <w:rPr>
                <w:rFonts w:ascii="宋体" w:hAnsi="宋体" w:cs="宋体" w:eastAsia="宋体" w:hint="default"/>
                <w:spacing w:val="-3"/>
                <w:sz w:val="18"/>
                <w:szCs w:val="18"/>
              </w:rPr>
              <w:t>重点关注业绩预减情况，赢利模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式，属下市场业务发展情况。</w:t>
            </w:r>
          </w:p>
        </w:tc>
      </w:tr>
      <w:tr>
        <w:trPr>
          <w:trHeight w:val="71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浦银安盛基金管理有限公司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948"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both"/>
              <w:rPr>
                <w:rFonts w:ascii="宋体" w:hAnsi="宋体" w:cs="宋体" w:eastAsia="宋体" w:hint="default"/>
                <w:sz w:val="18"/>
                <w:szCs w:val="18"/>
              </w:rPr>
            </w:pPr>
            <w:r>
              <w:rPr>
                <w:rFonts w:ascii="宋体" w:hAnsi="宋体" w:cs="宋体" w:eastAsia="宋体" w:hint="default"/>
                <w:sz w:val="18"/>
                <w:szCs w:val="18"/>
              </w:rPr>
              <w:t>富国基金管理有限公司、华安基金</w:t>
            </w:r>
          </w:p>
          <w:p>
            <w:pPr>
              <w:pStyle w:val="TableParagraph"/>
              <w:spacing w:line="237" w:lineRule="auto"/>
              <w:ind w:left="103" w:right="110"/>
              <w:jc w:val="both"/>
              <w:rPr>
                <w:rFonts w:ascii="宋体" w:hAnsi="宋体" w:cs="宋体" w:eastAsia="宋体" w:hint="default"/>
                <w:sz w:val="18"/>
                <w:szCs w:val="18"/>
              </w:rPr>
            </w:pPr>
            <w:r>
              <w:rPr>
                <w:rFonts w:ascii="宋体" w:hAnsi="宋体" w:cs="宋体" w:eastAsia="宋体" w:hint="default"/>
                <w:sz w:val="18"/>
                <w:szCs w:val="18"/>
              </w:rPr>
              <w:t>管理有限公司、太平洋资产管理有 限责任公司、易方达基金管理有限 公司、国海证券有限责任公司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37" w:lineRule="auto" w:before="94"/>
              <w:ind w:left="105" w:right="101"/>
              <w:jc w:val="both"/>
              <w:rPr>
                <w:rFonts w:ascii="宋体" w:hAnsi="宋体" w:cs="宋体" w:eastAsia="宋体" w:hint="default"/>
                <w:sz w:val="18"/>
                <w:szCs w:val="18"/>
              </w:rPr>
            </w:pPr>
            <w:r>
              <w:rPr>
                <w:rFonts w:ascii="宋体" w:hAnsi="宋体" w:cs="宋体" w:eastAsia="宋体" w:hint="default"/>
                <w:spacing w:val="10"/>
                <w:sz w:val="18"/>
                <w:szCs w:val="18"/>
              </w:rPr>
              <w:t>公司属下各个市场业务发展情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况、电子结算推进情况，平湖项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目进展情况，行业发展趋势。</w:t>
            </w:r>
          </w:p>
        </w:tc>
      </w:tr>
      <w:tr>
        <w:trPr>
          <w:trHeight w:val="71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国投瑞银基金管理有限公司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92"/>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银华基金管理有限公司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71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4</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上海六禾创业投资有限公司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92"/>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4</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上海理成资产管理有限公司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946"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4</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中国建银投资证券有限责任公司、</w:t>
            </w:r>
          </w:p>
          <w:p>
            <w:pPr>
              <w:pStyle w:val="TableParagraph"/>
              <w:spacing w:line="237" w:lineRule="auto"/>
              <w:ind w:left="103" w:right="110"/>
              <w:jc w:val="both"/>
              <w:rPr>
                <w:rFonts w:ascii="宋体" w:hAnsi="宋体" w:cs="宋体" w:eastAsia="宋体" w:hint="default"/>
                <w:sz w:val="18"/>
                <w:szCs w:val="18"/>
              </w:rPr>
            </w:pPr>
            <w:r>
              <w:rPr>
                <w:rFonts w:ascii="宋体" w:hAnsi="宋体" w:cs="宋体" w:eastAsia="宋体" w:hint="default"/>
                <w:sz w:val="18"/>
                <w:szCs w:val="18"/>
              </w:rPr>
              <w:t>天治基金管理有限公司、金鹰基金 管理有限公司、上海慕士塔格投资 顾问有限公司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37" w:lineRule="auto" w:before="92"/>
              <w:ind w:left="105" w:right="101"/>
              <w:jc w:val="both"/>
              <w:rPr>
                <w:rFonts w:ascii="宋体" w:hAnsi="宋体" w:cs="宋体" w:eastAsia="宋体" w:hint="default"/>
                <w:sz w:val="18"/>
                <w:szCs w:val="18"/>
              </w:rPr>
            </w:pPr>
            <w:r>
              <w:rPr>
                <w:rFonts w:ascii="宋体" w:hAnsi="宋体" w:cs="宋体" w:eastAsia="宋体" w:hint="default"/>
                <w:spacing w:val="-3"/>
                <w:sz w:val="18"/>
                <w:szCs w:val="18"/>
              </w:rPr>
              <w:t>年报、一季报公布后，重点关注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公司发展势头，赢利模式，属下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市场业务发展情况。</w:t>
            </w: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5</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71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5</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西部证券股份有限公司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92"/>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6</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5</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万联证券有限责任公司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241"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公司属下各个市场业务发展情</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6</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太平洋资产管理有限责任公司、国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元证券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况、电子结算推进情况，平湖和</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南宁项目进展情况，行业发展趋</w:t>
            </w:r>
          </w:p>
        </w:tc>
      </w:tr>
      <w:tr>
        <w:trPr>
          <w:trHeight w:val="236"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势。</w:t>
            </w: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92"/>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6</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tabs>
                <w:tab w:pos="856" w:val="left" w:leader="none"/>
                <w:tab w:pos="1339" w:val="left" w:leader="none"/>
                <w:tab w:pos="2361" w:val="left" w:leader="none"/>
              </w:tabs>
              <w:spacing w:line="232" w:lineRule="exact" w:before="117"/>
              <w:ind w:left="103" w:right="102"/>
              <w:jc w:val="left"/>
              <w:rPr>
                <w:rFonts w:ascii="宋体" w:hAnsi="宋体" w:cs="宋体" w:eastAsia="宋体" w:hint="default"/>
                <w:sz w:val="18"/>
                <w:szCs w:val="18"/>
              </w:rPr>
            </w:pPr>
            <w:r>
              <w:rPr>
                <w:rFonts w:ascii="宋体"/>
                <w:sz w:val="18"/>
              </w:rPr>
              <w:t>BILL</w:t>
              <w:tab/>
              <w:t>&amp;</w:t>
              <w:tab/>
            </w:r>
            <w:r>
              <w:rPr>
                <w:rFonts w:ascii="宋体"/>
                <w:spacing w:val="-1"/>
                <w:sz w:val="18"/>
              </w:rPr>
              <w:t>MELINDA</w:t>
              <w:tab/>
              <w:t>GATES</w:t>
            </w:r>
            <w:r>
              <w:rPr>
                <w:rFonts w:ascii="宋体"/>
                <w:spacing w:val="-87"/>
                <w:sz w:val="18"/>
              </w:rPr>
              <w:t> </w:t>
            </w:r>
            <w:r>
              <w:rPr>
                <w:rFonts w:ascii="宋体"/>
                <w:spacing w:val="-87"/>
                <w:sz w:val="18"/>
              </w:rPr>
            </w:r>
            <w:r>
              <w:rPr>
                <w:rFonts w:ascii="宋体"/>
                <w:sz w:val="18"/>
              </w:rPr>
              <w:t>FOUNDATION</w:t>
            </w:r>
            <w:r>
              <w:rPr>
                <w:rFonts w:ascii="宋体"/>
                <w:spacing w:val="-8"/>
                <w:sz w:val="18"/>
              </w:rPr>
              <w:t> </w:t>
            </w:r>
            <w:r>
              <w:rPr>
                <w:rFonts w:ascii="宋体"/>
                <w:sz w:val="18"/>
              </w:rPr>
              <w:t>TRUST</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6</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14"/>
              <w:ind w:left="103" w:right="110"/>
              <w:jc w:val="left"/>
              <w:rPr>
                <w:rFonts w:ascii="宋体" w:hAnsi="宋体" w:cs="宋体" w:eastAsia="宋体" w:hint="default"/>
                <w:sz w:val="18"/>
                <w:szCs w:val="18"/>
              </w:rPr>
            </w:pPr>
            <w:r>
              <w:rPr>
                <w:rFonts w:ascii="宋体" w:hAnsi="宋体" w:cs="宋体" w:eastAsia="宋体" w:hint="default"/>
                <w:sz w:val="18"/>
                <w:szCs w:val="18"/>
              </w:rPr>
              <w:t>诺安基金管理有限公司、金鹰基金 管理有限公司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公司基本情况、平湖和南宁项目</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的进展，行业现状、属下市场业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务发展情况。</w:t>
            </w:r>
          </w:p>
        </w:tc>
      </w:tr>
      <w:tr>
        <w:trPr>
          <w:trHeight w:val="239"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平安证券股份有限公司、工银瑞信</w:t>
            </w: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属下各个市场业务发展情况、电</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基金管理有限公司、华安基金管理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有限公司、国投瑞银基金管理有限</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子结算推进情况，非主业相关事</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项事宜进展情况，平湖项目进展</w:t>
            </w:r>
          </w:p>
        </w:tc>
      </w:tr>
      <w:tr>
        <w:trPr>
          <w:trHeight w:val="239"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情况，行业发展趋势</w:t>
            </w:r>
          </w:p>
        </w:tc>
      </w:tr>
      <w:tr>
        <w:trPr>
          <w:trHeight w:val="239"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属下各个市场业务发展情况、电</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91"/>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诺安基金管理有限公司、与人新创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投资管理有限公司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子结算推进情况，非主业相关事</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项事宜进展情况，平湖项目进展</w:t>
            </w:r>
          </w:p>
        </w:tc>
      </w:tr>
      <w:tr>
        <w:trPr>
          <w:trHeight w:val="239"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情况，行业发展趋势</w:t>
            </w:r>
          </w:p>
        </w:tc>
      </w:tr>
    </w:tbl>
    <w:p>
      <w:pPr>
        <w:spacing w:after="0" w:line="206" w:lineRule="exact"/>
        <w:jc w:val="left"/>
        <w:rPr>
          <w:rFonts w:ascii="宋体" w:hAnsi="宋体" w:cs="宋体" w:eastAsia="宋体" w:hint="default"/>
          <w:sz w:val="18"/>
          <w:szCs w:val="18"/>
        </w:rPr>
        <w:sectPr>
          <w:pgSz w:w="11910" w:h="16840"/>
          <w:pgMar w:header="859" w:footer="835" w:top="1420" w:bottom="1020" w:left="1580" w:right="1420"/>
        </w:sectPr>
      </w:pPr>
    </w:p>
    <w:p>
      <w:pPr>
        <w:spacing w:line="240" w:lineRule="auto" w:before="5"/>
        <w:rPr>
          <w:rFonts w:ascii="Times New Roman" w:hAnsi="Times New Roman" w:cs="Times New Roman" w:eastAsia="Times New Roman"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241"/>
        <w:gridCol w:w="758"/>
        <w:gridCol w:w="1051"/>
        <w:gridCol w:w="2926"/>
        <w:gridCol w:w="2705"/>
      </w:tblGrid>
      <w:tr>
        <w:trPr>
          <w:trHeight w:val="249" w:hRule="exact"/>
        </w:trPr>
        <w:tc>
          <w:tcPr>
            <w:tcW w:w="1241" w:type="dxa"/>
            <w:tcBorders>
              <w:top w:val="single" w:sz="10" w:space="0" w:color="000008"/>
              <w:left w:val="single" w:sz="4" w:space="0" w:color="000008"/>
              <w:bottom w:val="nil" w:sz="6" w:space="0" w:color="auto"/>
              <w:right w:val="single" w:sz="4" w:space="0" w:color="000008"/>
            </w:tcBorders>
          </w:tcPr>
          <w:p>
            <w:pPr/>
          </w:p>
        </w:tc>
        <w:tc>
          <w:tcPr>
            <w:tcW w:w="758" w:type="dxa"/>
            <w:tcBorders>
              <w:top w:val="single" w:sz="10" w:space="0" w:color="000008"/>
              <w:left w:val="single" w:sz="4" w:space="0" w:color="000008"/>
              <w:bottom w:val="nil" w:sz="6" w:space="0" w:color="auto"/>
              <w:right w:val="single" w:sz="4" w:space="0" w:color="000008"/>
            </w:tcBorders>
          </w:tcPr>
          <w:p>
            <w:pPr/>
          </w:p>
        </w:tc>
        <w:tc>
          <w:tcPr>
            <w:tcW w:w="1051" w:type="dxa"/>
            <w:tcBorders>
              <w:top w:val="single" w:sz="10" w:space="0" w:color="000008"/>
              <w:left w:val="single" w:sz="4" w:space="0" w:color="000008"/>
              <w:bottom w:val="nil" w:sz="6" w:space="0" w:color="auto"/>
              <w:right w:val="single" w:sz="4" w:space="0" w:color="000008"/>
            </w:tcBorders>
          </w:tcPr>
          <w:p>
            <w:pPr/>
          </w:p>
        </w:tc>
        <w:tc>
          <w:tcPr>
            <w:tcW w:w="2926" w:type="dxa"/>
            <w:tcBorders>
              <w:top w:val="single" w:sz="10" w:space="0" w:color="000008"/>
              <w:left w:val="single" w:sz="4" w:space="0" w:color="000008"/>
              <w:bottom w:val="nil" w:sz="6" w:space="0" w:color="auto"/>
              <w:right w:val="single" w:sz="4" w:space="0" w:color="000008"/>
            </w:tcBorders>
          </w:tcPr>
          <w:p>
            <w:pPr/>
          </w:p>
        </w:tc>
        <w:tc>
          <w:tcPr>
            <w:tcW w:w="2705" w:type="dxa"/>
            <w:tcBorders>
              <w:top w:val="single" w:sz="10" w:space="0" w:color="000008"/>
              <w:left w:val="single" w:sz="4" w:space="0" w:color="000008"/>
              <w:bottom w:val="nil" w:sz="6" w:space="0" w:color="auto"/>
              <w:right w:val="single" w:sz="4"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公司基本情况，属下各个市场业</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兴业证券股份有限公司、齐鲁证券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有限公司、财富证券有限责任公司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务发展情况、电子结算推进情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况，平湖项目进展情况，行业发</w:t>
            </w:r>
          </w:p>
        </w:tc>
      </w:tr>
      <w:tr>
        <w:trPr>
          <w:trHeight w:val="236"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展趋势</w:t>
            </w:r>
          </w:p>
        </w:tc>
      </w:tr>
      <w:tr>
        <w:trPr>
          <w:trHeight w:val="241"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属下各个市场业务发展情况、电</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财通证券经纪有限责任公司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子结算推进情况，非主业相关事</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项事宜进展情况，平湖项目进展</w:t>
            </w:r>
          </w:p>
        </w:tc>
      </w:tr>
      <w:tr>
        <w:trPr>
          <w:trHeight w:val="236"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情况，行业发展趋势</w:t>
            </w:r>
          </w:p>
        </w:tc>
      </w:tr>
      <w:tr>
        <w:trPr>
          <w:trHeight w:val="241"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公司经营模式是否具有较强的</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博时基金管理有限公司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可复制性，公司投资、经营各环</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
                <w:sz w:val="18"/>
                <w:szCs w:val="18"/>
              </w:rPr>
              <w:t>节讨论，公司面临的竞争环境，</w:t>
            </w:r>
          </w:p>
        </w:tc>
      </w:tr>
      <w:tr>
        <w:trPr>
          <w:trHeight w:val="239"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平湖等新市场的建设情况。</w:t>
            </w:r>
          </w:p>
        </w:tc>
      </w:tr>
      <w:tr>
        <w:trPr>
          <w:trHeight w:val="239"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深圳市三个市场基本情况，平湖</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等新市场的建设情况，公司属下</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市场电子结算推行情况，非核心</w:t>
            </w:r>
          </w:p>
        </w:tc>
      </w:tr>
      <w:tr>
        <w:trPr>
          <w:trHeight w:val="239"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业务处置及发展情况。</w:t>
            </w:r>
          </w:p>
        </w:tc>
      </w:tr>
      <w:tr>
        <w:trPr>
          <w:trHeight w:val="239"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年主要农批市场的发展情况，</w:t>
            </w:r>
          </w:p>
        </w:tc>
      </w:tr>
      <w:tr>
        <w:trPr>
          <w:trHeight w:val="234" w:hRule="exact"/>
        </w:trPr>
        <w:tc>
          <w:tcPr>
            <w:tcW w:w="1241" w:type="dxa"/>
            <w:tcBorders>
              <w:top w:val="nil" w:sz="6" w:space="0" w:color="auto"/>
              <w:left w:val="single" w:sz="4" w:space="0" w:color="000008"/>
              <w:bottom w:val="nil" w:sz="6" w:space="0" w:color="auto"/>
              <w:right w:val="single" w:sz="4" w:space="0" w:color="000008"/>
            </w:tcBorders>
          </w:tcPr>
          <w:p>
            <w:pPr/>
          </w:p>
        </w:tc>
        <w:tc>
          <w:tcPr>
            <w:tcW w:w="758" w:type="dxa"/>
            <w:tcBorders>
              <w:top w:val="nil" w:sz="6" w:space="0" w:color="auto"/>
              <w:left w:val="single" w:sz="4" w:space="0" w:color="000008"/>
              <w:bottom w:val="nil" w:sz="6" w:space="0" w:color="auto"/>
              <w:right w:val="single" w:sz="4" w:space="0" w:color="000008"/>
            </w:tcBorders>
          </w:tcPr>
          <w:p>
            <w:pPr/>
          </w:p>
        </w:tc>
        <w:tc>
          <w:tcPr>
            <w:tcW w:w="1051" w:type="dxa"/>
            <w:tcBorders>
              <w:top w:val="nil" w:sz="6" w:space="0" w:color="auto"/>
              <w:left w:val="single" w:sz="4" w:space="0" w:color="000008"/>
              <w:bottom w:val="nil" w:sz="6" w:space="0" w:color="auto"/>
              <w:right w:val="single" w:sz="4" w:space="0" w:color="000008"/>
            </w:tcBorders>
          </w:tcPr>
          <w:p>
            <w:pPr/>
          </w:p>
        </w:tc>
        <w:tc>
          <w:tcPr>
            <w:tcW w:w="2926" w:type="dxa"/>
            <w:tcBorders>
              <w:top w:val="nil" w:sz="6" w:space="0" w:color="auto"/>
              <w:left w:val="single" w:sz="4" w:space="0" w:color="000008"/>
              <w:bottom w:val="nil" w:sz="6" w:space="0" w:color="auto"/>
              <w:right w:val="single" w:sz="4" w:space="0" w:color="000008"/>
            </w:tcBorders>
          </w:tcPr>
          <w:p>
            <w:pP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平湖、南宁新市场建设情况，公</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中信证券股份有限公司、徐星投资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2"/>
                <w:sz w:val="18"/>
                <w:szCs w:val="18"/>
              </w:rPr>
              <w:t>司属下市场电子结算推行情况，</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网络化协同效应讨论，寿光市场</w:t>
            </w:r>
          </w:p>
        </w:tc>
      </w:tr>
      <w:tr>
        <w:trPr>
          <w:trHeight w:val="234" w:hRule="exact"/>
        </w:trPr>
        <w:tc>
          <w:tcPr>
            <w:tcW w:w="1241" w:type="dxa"/>
            <w:tcBorders>
              <w:top w:val="nil" w:sz="6" w:space="0" w:color="auto"/>
              <w:left w:val="single" w:sz="4" w:space="0" w:color="000008"/>
              <w:bottom w:val="nil" w:sz="6" w:space="0" w:color="auto"/>
              <w:right w:val="single" w:sz="4" w:space="0" w:color="000008"/>
            </w:tcBorders>
          </w:tcPr>
          <w:p>
            <w:pPr/>
          </w:p>
        </w:tc>
        <w:tc>
          <w:tcPr>
            <w:tcW w:w="758" w:type="dxa"/>
            <w:tcBorders>
              <w:top w:val="nil" w:sz="6" w:space="0" w:color="auto"/>
              <w:left w:val="single" w:sz="4" w:space="0" w:color="000008"/>
              <w:bottom w:val="nil" w:sz="6" w:space="0" w:color="auto"/>
              <w:right w:val="single" w:sz="4" w:space="0" w:color="000008"/>
            </w:tcBorders>
          </w:tcPr>
          <w:p>
            <w:pPr/>
          </w:p>
        </w:tc>
        <w:tc>
          <w:tcPr>
            <w:tcW w:w="1051" w:type="dxa"/>
            <w:tcBorders>
              <w:top w:val="nil" w:sz="6" w:space="0" w:color="auto"/>
              <w:left w:val="single" w:sz="4" w:space="0" w:color="000008"/>
              <w:bottom w:val="nil" w:sz="6" w:space="0" w:color="auto"/>
              <w:right w:val="single" w:sz="4" w:space="0" w:color="000008"/>
            </w:tcBorders>
          </w:tcPr>
          <w:p>
            <w:pPr/>
          </w:p>
        </w:tc>
        <w:tc>
          <w:tcPr>
            <w:tcW w:w="2926" w:type="dxa"/>
            <w:tcBorders>
              <w:top w:val="nil" w:sz="6" w:space="0" w:color="auto"/>
              <w:left w:val="single" w:sz="4" w:space="0" w:color="000008"/>
              <w:bottom w:val="nil" w:sz="6" w:space="0" w:color="auto"/>
              <w:right w:val="single" w:sz="4" w:space="0" w:color="000008"/>
            </w:tcBorders>
          </w:tcPr>
          <w:p>
            <w:pP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情况，非核心业务处置及发展情</w:t>
            </w:r>
          </w:p>
        </w:tc>
      </w:tr>
      <w:tr>
        <w:trPr>
          <w:trHeight w:val="239"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239"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公司的竞争优势，公司网络化扩</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91"/>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中邮创业基金管理有限公司、上海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重阳投资管理有限公司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张规划，公司的成本主要体现在</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哪些方面，平湖等新市场的建设</w:t>
            </w:r>
          </w:p>
        </w:tc>
      </w:tr>
      <w:tr>
        <w:trPr>
          <w:trHeight w:val="239"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09</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14"/>
              <w:ind w:left="103" w:right="110"/>
              <w:jc w:val="left"/>
              <w:rPr>
                <w:rFonts w:ascii="宋体" w:hAnsi="宋体" w:cs="宋体" w:eastAsia="宋体" w:hint="default"/>
                <w:sz w:val="18"/>
                <w:szCs w:val="18"/>
              </w:rPr>
            </w:pPr>
            <w:r>
              <w:rPr>
                <w:rFonts w:ascii="宋体" w:hAnsi="宋体" w:cs="宋体" w:eastAsia="宋体" w:hint="default"/>
                <w:sz w:val="18"/>
                <w:szCs w:val="18"/>
              </w:rPr>
              <w:t>长江证券股份有限公司、广东源之 力科贸发展有限公司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公司主要的业务模式，公司战略</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pacing w:val="-3"/>
                <w:sz w:val="18"/>
                <w:szCs w:val="18"/>
              </w:rPr>
              <w:t>规划，电子结算推行情况，非核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心业务处置及发展情况。</w:t>
            </w:r>
          </w:p>
        </w:tc>
      </w:tr>
      <w:tr>
        <w:trPr>
          <w:trHeight w:val="71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09</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14"/>
              <w:ind w:left="103" w:right="110"/>
              <w:jc w:val="left"/>
              <w:rPr>
                <w:rFonts w:ascii="宋体" w:hAnsi="宋体" w:cs="宋体" w:eastAsia="宋体" w:hint="default"/>
                <w:sz w:val="18"/>
                <w:szCs w:val="18"/>
              </w:rPr>
            </w:pPr>
            <w:r>
              <w:rPr>
                <w:rFonts w:ascii="宋体" w:hAnsi="宋体" w:cs="宋体" w:eastAsia="宋体" w:hint="default"/>
                <w:sz w:val="18"/>
                <w:szCs w:val="18"/>
              </w:rPr>
              <w:t>新加坡东京海上国际资产管理有限 公司、招商证券股份有限公司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公司基本情况及竞争格局，电子</w:t>
            </w:r>
          </w:p>
          <w:p>
            <w:pPr>
              <w:pStyle w:val="TableParagraph"/>
              <w:spacing w:line="240" w:lineRule="auto"/>
              <w:ind w:left="105" w:right="67"/>
              <w:jc w:val="left"/>
              <w:rPr>
                <w:rFonts w:ascii="宋体" w:hAnsi="宋体" w:cs="宋体" w:eastAsia="宋体" w:hint="default"/>
                <w:sz w:val="18"/>
                <w:szCs w:val="18"/>
              </w:rPr>
            </w:pPr>
            <w:r>
              <w:rPr>
                <w:rFonts w:ascii="宋体" w:hAnsi="宋体" w:cs="宋体" w:eastAsia="宋体" w:hint="default"/>
                <w:spacing w:val="-3"/>
                <w:sz w:val="18"/>
                <w:szCs w:val="18"/>
              </w:rPr>
              <w:t>结算的推行情况，公司基本财务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状况，电子交易市场发展情况。</w:t>
            </w:r>
          </w:p>
        </w:tc>
      </w:tr>
      <w:tr>
        <w:trPr>
          <w:trHeight w:val="241"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公司中期报告相关情况，下属批</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09</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纽伯格伯曼亚洲有限公司、上海重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阳投资管理有限公司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发市场经营状况，新市场进展状</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
                <w:sz w:val="18"/>
                <w:szCs w:val="18"/>
              </w:rPr>
              <w:t>况，电子结算规划及推行情况，</w:t>
            </w:r>
          </w:p>
        </w:tc>
      </w:tr>
      <w:tr>
        <w:trPr>
          <w:trHeight w:val="239"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电子交易市场发展情况。</w:t>
            </w:r>
          </w:p>
        </w:tc>
      </w:tr>
      <w:tr>
        <w:trPr>
          <w:trHeight w:val="239"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平湖、银川市场的建设情况，电</w:t>
            </w:r>
          </w:p>
        </w:tc>
      </w:tr>
      <w:tr>
        <w:trPr>
          <w:trHeight w:val="702"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34" w:lineRule="exact" w:before="88"/>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富国基金管理有限公司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子交易市场业绩增长情况，寿光</w:t>
            </w:r>
          </w:p>
          <w:p>
            <w:pPr>
              <w:pStyle w:val="TableParagraph"/>
              <w:spacing w:line="232" w:lineRule="exact" w:before="24"/>
              <w:ind w:left="105" w:right="101"/>
              <w:jc w:val="left"/>
              <w:rPr>
                <w:rFonts w:ascii="宋体" w:hAnsi="宋体" w:cs="宋体" w:eastAsia="宋体" w:hint="default"/>
                <w:sz w:val="18"/>
                <w:szCs w:val="18"/>
              </w:rPr>
            </w:pPr>
            <w:r>
              <w:rPr>
                <w:rFonts w:ascii="宋体" w:hAnsi="宋体" w:cs="宋体" w:eastAsia="宋体" w:hint="default"/>
                <w:spacing w:val="-3"/>
                <w:sz w:val="18"/>
                <w:szCs w:val="18"/>
              </w:rPr>
              <w:t>市场、蛇口海吉星股权的退出及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民润事项的进展情况，公司发展</w:t>
            </w:r>
          </w:p>
        </w:tc>
      </w:tr>
      <w:tr>
        <w:trPr>
          <w:trHeight w:val="237"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趋势。</w:t>
            </w:r>
          </w:p>
        </w:tc>
      </w:tr>
      <w:tr>
        <w:trPr>
          <w:trHeight w:val="713"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89"/>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上海从容投资管理有限公司</w:t>
            </w:r>
          </w:p>
        </w:tc>
        <w:tc>
          <w:tcPr>
            <w:tcW w:w="2705"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新市场建设的进展情况，网络化</w:t>
            </w:r>
          </w:p>
          <w:p>
            <w:pPr>
              <w:pStyle w:val="TableParagraph"/>
              <w:spacing w:line="240" w:lineRule="auto"/>
              <w:ind w:left="105" w:right="108"/>
              <w:jc w:val="left"/>
              <w:rPr>
                <w:rFonts w:ascii="宋体" w:hAnsi="宋体" w:cs="宋体" w:eastAsia="宋体" w:hint="default"/>
                <w:sz w:val="18"/>
                <w:szCs w:val="18"/>
              </w:rPr>
            </w:pPr>
            <w:r>
              <w:rPr>
                <w:rFonts w:ascii="宋体" w:hAnsi="宋体" w:cs="宋体" w:eastAsia="宋体" w:hint="default"/>
                <w:spacing w:val="10"/>
                <w:sz w:val="18"/>
                <w:szCs w:val="18"/>
              </w:rPr>
              <w:t>战略内容，对深深宝未来的计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划，对年度分红的考虑。</w:t>
            </w:r>
          </w:p>
        </w:tc>
      </w:tr>
      <w:tr>
        <w:trPr>
          <w:trHeight w:val="239"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平湖项目、寿光市场退出的进</w:t>
            </w:r>
          </w:p>
        </w:tc>
      </w:tr>
      <w:tr>
        <w:trPr>
          <w:trHeight w:val="468"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91"/>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华安基金管理有限公司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展，布吉市场未来的规划，电子</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商务大平台的情况，深深宝相关</w:t>
            </w:r>
          </w:p>
        </w:tc>
      </w:tr>
      <w:tr>
        <w:trPr>
          <w:trHeight w:val="239"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情况，民润事项进展情况。</w:t>
            </w:r>
          </w:p>
        </w:tc>
      </w:tr>
      <w:tr>
        <w:trPr>
          <w:trHeight w:val="240"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公司所处的行业介绍，进入新市</w:t>
            </w:r>
          </w:p>
        </w:tc>
      </w:tr>
      <w:tr>
        <w:trPr>
          <w:trHeight w:val="469"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宋体"/>
                <w:sz w:val="18"/>
              </w:rPr>
              <w:t>Capital</w:t>
            </w:r>
            <w:r>
              <w:rPr>
                <w:rFonts w:ascii="宋体"/>
                <w:spacing w:val="-9"/>
                <w:sz w:val="18"/>
              </w:rPr>
              <w:t> </w:t>
            </w:r>
            <w:r>
              <w:rPr>
                <w:rFonts w:ascii="宋体"/>
                <w:sz w:val="18"/>
              </w:rPr>
              <w:t>International</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场的模式，传统市场与电子交易</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
                <w:sz w:val="18"/>
                <w:szCs w:val="18"/>
              </w:rPr>
              <w:t>市场的区别，公司的发展战略，</w:t>
            </w:r>
          </w:p>
        </w:tc>
      </w:tr>
      <w:tr>
        <w:trPr>
          <w:trHeight w:val="236"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主营业务增长的情况。</w:t>
            </w:r>
          </w:p>
        </w:tc>
      </w:tr>
      <w:tr>
        <w:trPr>
          <w:trHeight w:val="241" w:hRule="exact"/>
        </w:trPr>
        <w:tc>
          <w:tcPr>
            <w:tcW w:w="1241" w:type="dxa"/>
            <w:tcBorders>
              <w:top w:val="single" w:sz="4" w:space="0" w:color="000008"/>
              <w:left w:val="single" w:sz="4" w:space="0" w:color="000008"/>
              <w:bottom w:val="nil" w:sz="6" w:space="0" w:color="auto"/>
              <w:right w:val="single" w:sz="4" w:space="0" w:color="000008"/>
            </w:tcBorders>
          </w:tcPr>
          <w:p>
            <w:pPr/>
          </w:p>
        </w:tc>
        <w:tc>
          <w:tcPr>
            <w:tcW w:w="758" w:type="dxa"/>
            <w:tcBorders>
              <w:top w:val="single" w:sz="4" w:space="0" w:color="000008"/>
              <w:left w:val="single" w:sz="4" w:space="0" w:color="000008"/>
              <w:bottom w:val="nil" w:sz="6" w:space="0" w:color="auto"/>
              <w:right w:val="single" w:sz="4" w:space="0" w:color="000008"/>
            </w:tcBorders>
          </w:tcPr>
          <w:p>
            <w:pPr/>
          </w:p>
        </w:tc>
        <w:tc>
          <w:tcPr>
            <w:tcW w:w="1051" w:type="dxa"/>
            <w:tcBorders>
              <w:top w:val="single" w:sz="4" w:space="0" w:color="000008"/>
              <w:left w:val="single" w:sz="4" w:space="0" w:color="000008"/>
              <w:bottom w:val="nil" w:sz="6" w:space="0" w:color="auto"/>
              <w:right w:val="single" w:sz="4" w:space="0" w:color="000008"/>
            </w:tcBorders>
          </w:tcPr>
          <w:p>
            <w:pPr/>
          </w:p>
        </w:tc>
        <w:tc>
          <w:tcPr>
            <w:tcW w:w="2926" w:type="dxa"/>
            <w:tcBorders>
              <w:top w:val="single" w:sz="4" w:space="0" w:color="000008"/>
              <w:left w:val="single" w:sz="4" w:space="0" w:color="000008"/>
              <w:bottom w:val="nil" w:sz="6" w:space="0" w:color="auto"/>
              <w:right w:val="single" w:sz="4" w:space="0" w:color="000008"/>
            </w:tcBorders>
          </w:tcPr>
          <w:p>
            <w:pPr/>
          </w:p>
        </w:tc>
        <w:tc>
          <w:tcPr>
            <w:tcW w:w="2705" w:type="dxa"/>
            <w:tcBorders>
              <w:top w:val="single" w:sz="4" w:space="0" w:color="000008"/>
              <w:left w:val="single" w:sz="4" w:space="0" w:color="000008"/>
              <w:bottom w:val="nil" w:sz="6" w:space="0" w:color="auto"/>
              <w:right w:val="single" w:sz="4"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2"/>
                <w:sz w:val="18"/>
                <w:szCs w:val="18"/>
              </w:rPr>
              <w:t>寿光市场退出、平湖市场进展、</w:t>
            </w:r>
          </w:p>
        </w:tc>
      </w:tr>
      <w:tr>
        <w:trPr>
          <w:trHeight w:val="702" w:hRule="exact"/>
        </w:trPr>
        <w:tc>
          <w:tcPr>
            <w:tcW w:w="1241" w:type="dxa"/>
            <w:tcBorders>
              <w:top w:val="nil" w:sz="6" w:space="0" w:color="auto"/>
              <w:left w:val="single" w:sz="4" w:space="0" w:color="000008"/>
              <w:bottom w:val="nil" w:sz="6" w:space="0" w:color="auto"/>
              <w:right w:val="single" w:sz="4" w:space="0" w:color="000008"/>
            </w:tcBorders>
          </w:tcPr>
          <w:p>
            <w:pPr>
              <w:pStyle w:val="TableParagraph"/>
              <w:spacing w:line="234" w:lineRule="exact" w:before="88"/>
              <w:ind w:left="10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58" w:type="dxa"/>
            <w:tcBorders>
              <w:top w:val="nil" w:sz="6" w:space="0" w:color="auto"/>
              <w:left w:val="single" w:sz="4" w:space="0" w:color="000008"/>
              <w:bottom w:val="nil" w:sz="6" w:space="0" w:color="auto"/>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51" w:type="dxa"/>
            <w:tcBorders>
              <w:top w:val="nil" w:sz="6" w:space="0" w:color="auto"/>
              <w:left w:val="single" w:sz="4" w:space="0" w:color="000008"/>
              <w:bottom w:val="nil" w:sz="6" w:space="0" w:color="auto"/>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926" w:type="dxa"/>
            <w:tcBorders>
              <w:top w:val="nil" w:sz="6" w:space="0" w:color="auto"/>
              <w:left w:val="single" w:sz="4" w:space="0" w:color="000008"/>
              <w:bottom w:val="nil" w:sz="6" w:space="0" w:color="auto"/>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705"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电子商务市场配送业务开展等</w:t>
            </w:r>
          </w:p>
          <w:p>
            <w:pPr>
              <w:pStyle w:val="TableParagraph"/>
              <w:spacing w:line="232" w:lineRule="exact" w:before="24"/>
              <w:ind w:left="105" w:right="101"/>
              <w:jc w:val="left"/>
              <w:rPr>
                <w:rFonts w:ascii="宋体" w:hAnsi="宋体" w:cs="宋体" w:eastAsia="宋体" w:hint="default"/>
                <w:sz w:val="18"/>
                <w:szCs w:val="18"/>
              </w:rPr>
            </w:pPr>
            <w:r>
              <w:rPr>
                <w:rFonts w:ascii="宋体" w:hAnsi="宋体" w:cs="宋体" w:eastAsia="宋体" w:hint="default"/>
                <w:spacing w:val="-3"/>
                <w:sz w:val="18"/>
                <w:szCs w:val="18"/>
              </w:rPr>
              <w:t>情况，佣金方式的推行进展，土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地存量的情况，三季度的利润构</w:t>
            </w:r>
          </w:p>
        </w:tc>
      </w:tr>
      <w:tr>
        <w:trPr>
          <w:trHeight w:val="237" w:hRule="exact"/>
        </w:trPr>
        <w:tc>
          <w:tcPr>
            <w:tcW w:w="1241" w:type="dxa"/>
            <w:tcBorders>
              <w:top w:val="nil" w:sz="6" w:space="0" w:color="auto"/>
              <w:left w:val="single" w:sz="4" w:space="0" w:color="000008"/>
              <w:bottom w:val="single" w:sz="4" w:space="0" w:color="000008"/>
              <w:right w:val="single" w:sz="4" w:space="0" w:color="000008"/>
            </w:tcBorders>
          </w:tcPr>
          <w:p>
            <w:pPr/>
          </w:p>
        </w:tc>
        <w:tc>
          <w:tcPr>
            <w:tcW w:w="758" w:type="dxa"/>
            <w:tcBorders>
              <w:top w:val="nil" w:sz="6" w:space="0" w:color="auto"/>
              <w:left w:val="single" w:sz="4" w:space="0" w:color="000008"/>
              <w:bottom w:val="single" w:sz="4" w:space="0" w:color="000008"/>
              <w:right w:val="single" w:sz="4" w:space="0" w:color="000008"/>
            </w:tcBorders>
          </w:tcPr>
          <w:p>
            <w:pPr/>
          </w:p>
        </w:tc>
        <w:tc>
          <w:tcPr>
            <w:tcW w:w="1051" w:type="dxa"/>
            <w:tcBorders>
              <w:top w:val="nil" w:sz="6" w:space="0" w:color="auto"/>
              <w:left w:val="single" w:sz="4" w:space="0" w:color="000008"/>
              <w:bottom w:val="single" w:sz="4" w:space="0" w:color="000008"/>
              <w:right w:val="single" w:sz="4" w:space="0" w:color="000008"/>
            </w:tcBorders>
          </w:tcPr>
          <w:p>
            <w:pPr/>
          </w:p>
        </w:tc>
        <w:tc>
          <w:tcPr>
            <w:tcW w:w="2926" w:type="dxa"/>
            <w:tcBorders>
              <w:top w:val="nil" w:sz="6" w:space="0" w:color="auto"/>
              <w:left w:val="single" w:sz="4" w:space="0" w:color="000008"/>
              <w:bottom w:val="single" w:sz="4" w:space="0" w:color="000008"/>
              <w:right w:val="single" w:sz="4" w:space="0" w:color="000008"/>
            </w:tcBorders>
          </w:tcPr>
          <w:p>
            <w:pPr/>
          </w:p>
        </w:tc>
        <w:tc>
          <w:tcPr>
            <w:tcW w:w="2705" w:type="dxa"/>
            <w:tcBorders>
              <w:top w:val="nil" w:sz="6" w:space="0" w:color="auto"/>
              <w:left w:val="single" w:sz="4" w:space="0" w:color="000008"/>
              <w:bottom w:val="single" w:sz="4" w:space="0" w:color="000008"/>
              <w:right w:val="single" w:sz="4"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成。</w:t>
            </w:r>
          </w:p>
        </w:tc>
      </w:tr>
    </w:tbl>
    <w:p>
      <w:pPr>
        <w:spacing w:after="0" w:line="208" w:lineRule="exact"/>
        <w:jc w:val="left"/>
        <w:rPr>
          <w:rFonts w:ascii="宋体" w:hAnsi="宋体" w:cs="宋体" w:eastAsia="宋体" w:hint="default"/>
          <w:sz w:val="18"/>
          <w:szCs w:val="18"/>
        </w:rPr>
        <w:sectPr>
          <w:pgSz w:w="11910" w:h="16840"/>
          <w:pgMar w:header="859" w:footer="835" w:top="1420" w:bottom="1020" w:left="1580" w:right="1420"/>
        </w:sectPr>
      </w:pPr>
    </w:p>
    <w:p>
      <w:pPr>
        <w:pStyle w:val="Heading4"/>
        <w:spacing w:line="240" w:lineRule="auto" w:before="90"/>
        <w:ind w:right="3154"/>
        <w:jc w:val="center"/>
      </w:pPr>
      <w:r>
        <w:rPr/>
        <w:pict>
          <v:group style="position:absolute;margin-left:88.799995pt;margin-top:6.331566pt;width:425.2pt;height:.1pt;mso-position-horizontal-relative:page;mso-position-vertical-relative:paragraph;z-index:-1140736" coordorigin="1776,127" coordsize="8504,2">
            <v:shape style="position:absolute;left:1776;top:127;width:8504;height:2" coordorigin="1776,127" coordsize="8504,0" path="m1776,127l10279,127e" filled="false" stroked="true" strokeweight=".72pt" strokecolor="#000008">
              <v:path arrowok="t"/>
            </v:shape>
            <w10:wrap type="none"/>
          </v:group>
        </w:pict>
      </w:r>
      <w:r>
        <w:rPr/>
        <w:t>第十章</w:t>
      </w:r>
      <w:r>
        <w:rPr>
          <w:spacing w:val="6"/>
        </w:rPr>
        <w:t> </w:t>
      </w:r>
      <w:r>
        <w:rPr/>
        <w:t>财务报告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5"/>
        <w:spacing w:line="367" w:lineRule="exact"/>
        <w:ind w:left="617" w:right="25"/>
        <w:jc w:val="left"/>
        <w:rPr>
          <w:b w:val="0"/>
          <w:bCs w:val="0"/>
        </w:rPr>
      </w:pPr>
      <w:r>
        <w:rPr/>
        <w:t>第一节  审  计  报 </w:t>
      </w:r>
      <w:r>
        <w:rPr>
          <w:spacing w:val="4"/>
        </w:rPr>
        <w:t> </w:t>
      </w:r>
      <w:r>
        <w:rPr/>
        <w:t>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4"/>
          <w:szCs w:val="24"/>
        </w:rPr>
      </w:pPr>
    </w:p>
    <w:p>
      <w:pPr>
        <w:spacing w:before="0"/>
        <w:ind w:left="3148" w:right="3156" w:firstLine="0"/>
        <w:jc w:val="center"/>
        <w:rPr>
          <w:rFonts w:ascii="宋体" w:hAnsi="宋体" w:cs="宋体" w:eastAsia="宋体" w:hint="default"/>
          <w:sz w:val="32"/>
          <w:szCs w:val="32"/>
        </w:rPr>
      </w:pPr>
      <w:r>
        <w:rPr>
          <w:rFonts w:ascii="宋体" w:hAnsi="宋体" w:cs="宋体" w:eastAsia="宋体" w:hint="default"/>
          <w:sz w:val="32"/>
          <w:szCs w:val="32"/>
        </w:rPr>
        <w:t>审 计 报</w:t>
      </w:r>
      <w:r>
        <w:rPr>
          <w:rFonts w:ascii="宋体" w:hAnsi="宋体" w:cs="宋体" w:eastAsia="宋体" w:hint="default"/>
          <w:spacing w:val="-4"/>
          <w:sz w:val="32"/>
          <w:szCs w:val="32"/>
        </w:rPr>
        <w:t> </w:t>
      </w:r>
      <w:r>
        <w:rPr>
          <w:rFonts w:ascii="宋体" w:hAnsi="宋体" w:cs="宋体" w:eastAsia="宋体" w:hint="default"/>
          <w:sz w:val="32"/>
          <w:szCs w:val="32"/>
        </w:rPr>
        <w:t>告</w:t>
      </w:r>
    </w:p>
    <w:p>
      <w:pPr>
        <w:spacing w:line="240" w:lineRule="auto" w:before="5"/>
        <w:rPr>
          <w:rFonts w:ascii="宋体" w:hAnsi="宋体" w:cs="宋体" w:eastAsia="宋体" w:hint="default"/>
          <w:sz w:val="22"/>
          <w:szCs w:val="22"/>
        </w:rPr>
      </w:pPr>
    </w:p>
    <w:p>
      <w:pPr>
        <w:spacing w:before="36"/>
        <w:ind w:left="5367" w:right="25" w:firstLine="0"/>
        <w:jc w:val="left"/>
        <w:rPr>
          <w:rFonts w:ascii="宋体" w:hAnsi="宋体" w:cs="宋体" w:eastAsia="宋体" w:hint="default"/>
          <w:sz w:val="21"/>
          <w:szCs w:val="21"/>
        </w:rPr>
      </w:pPr>
      <w:r>
        <w:rPr>
          <w:rFonts w:ascii="宋体" w:hAnsi="宋体" w:cs="宋体" w:eastAsia="宋体" w:hint="default"/>
          <w:sz w:val="21"/>
          <w:szCs w:val="21"/>
        </w:rPr>
        <w:t>深南财审报字（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CA098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p>
      <w:pPr>
        <w:spacing w:line="240" w:lineRule="auto" w:before="4"/>
        <w:rPr>
          <w:rFonts w:ascii="宋体" w:hAnsi="宋体" w:cs="宋体" w:eastAsia="宋体" w:hint="default"/>
          <w:sz w:val="22"/>
          <w:szCs w:val="22"/>
        </w:rPr>
      </w:pPr>
    </w:p>
    <w:p>
      <w:pPr>
        <w:spacing w:before="36"/>
        <w:ind w:left="137" w:right="25"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深圳市农产品股份有限公司全体股东：</w:t>
      </w:r>
    </w:p>
    <w:p>
      <w:pPr>
        <w:spacing w:line="240" w:lineRule="auto" w:before="4"/>
        <w:rPr>
          <w:rFonts w:ascii="宋体" w:hAnsi="宋体" w:cs="宋体" w:eastAsia="宋体" w:hint="default"/>
          <w:sz w:val="26"/>
          <w:szCs w:val="26"/>
        </w:rPr>
      </w:pPr>
    </w:p>
    <w:p>
      <w:pPr>
        <w:spacing w:line="374" w:lineRule="auto" w:before="0"/>
        <w:ind w:left="137" w:right="141" w:firstLine="420"/>
        <w:jc w:val="both"/>
        <w:rPr>
          <w:rFonts w:ascii="宋体" w:hAnsi="宋体" w:cs="宋体" w:eastAsia="宋体" w:hint="default"/>
          <w:sz w:val="21"/>
          <w:szCs w:val="21"/>
        </w:rPr>
      </w:pPr>
      <w:r>
        <w:rPr>
          <w:rFonts w:ascii="宋体" w:hAnsi="宋体" w:cs="宋体" w:eastAsia="宋体" w:hint="default"/>
          <w:spacing w:val="-3"/>
          <w:w w:val="95"/>
          <w:sz w:val="21"/>
          <w:szCs w:val="21"/>
        </w:rPr>
        <w:t>我们审计了后附的深圳市农产品股份有限公司（以下简称“农产品公司”）财务报表，包</w:t>
      </w:r>
      <w:r>
        <w:rPr>
          <w:rFonts w:ascii="宋体" w:hAnsi="宋体" w:cs="宋体" w:eastAsia="宋体" w:hint="default"/>
          <w:w w:val="100"/>
          <w:sz w:val="21"/>
          <w:szCs w:val="21"/>
        </w:rPr>
        <w:t> </w:t>
      </w:r>
      <w:r>
        <w:rPr>
          <w:rFonts w:ascii="宋体" w:hAnsi="宋体" w:cs="宋体" w:eastAsia="宋体" w:hint="default"/>
          <w:sz w:val="21"/>
          <w:szCs w:val="21"/>
        </w:rPr>
        <w:t>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日公司及合并的资产负债表，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年度公司及合并的利润表、现金流量</w:t>
      </w:r>
      <w:r>
        <w:rPr>
          <w:rFonts w:ascii="宋体" w:hAnsi="宋体" w:cs="宋体" w:eastAsia="宋体" w:hint="default"/>
          <w:w w:val="100"/>
          <w:sz w:val="21"/>
          <w:szCs w:val="21"/>
        </w:rPr>
        <w:t> </w:t>
      </w:r>
      <w:r>
        <w:rPr>
          <w:rFonts w:ascii="宋体" w:hAnsi="宋体" w:cs="宋体" w:eastAsia="宋体" w:hint="default"/>
          <w:sz w:val="21"/>
          <w:szCs w:val="21"/>
        </w:rPr>
        <w:t>表和所有者权益变动表以及财务报表附注。</w:t>
      </w:r>
    </w:p>
    <w:p>
      <w:pPr>
        <w:spacing w:line="240" w:lineRule="auto" w:before="4"/>
        <w:rPr>
          <w:rFonts w:ascii="宋体" w:hAnsi="宋体" w:cs="宋体" w:eastAsia="宋体" w:hint="default"/>
          <w:sz w:val="17"/>
          <w:szCs w:val="17"/>
        </w:rPr>
      </w:pPr>
    </w:p>
    <w:p>
      <w:pPr>
        <w:spacing w:before="0"/>
        <w:ind w:left="137" w:right="25" w:firstLine="0"/>
        <w:jc w:val="left"/>
        <w:rPr>
          <w:rFonts w:ascii="宋体" w:hAnsi="宋体" w:cs="宋体" w:eastAsia="宋体" w:hint="default"/>
          <w:sz w:val="21"/>
          <w:szCs w:val="21"/>
        </w:rPr>
      </w:pPr>
      <w:r>
        <w:rPr>
          <w:rFonts w:ascii="宋体" w:hAnsi="宋体" w:cs="宋体" w:eastAsia="宋体" w:hint="default"/>
          <w:sz w:val="21"/>
          <w:szCs w:val="21"/>
        </w:rPr>
        <w:t>一、管理层对财务报表的责任</w:t>
      </w:r>
    </w:p>
    <w:p>
      <w:pPr>
        <w:spacing w:line="240" w:lineRule="auto" w:before="2"/>
        <w:rPr>
          <w:rFonts w:ascii="宋体" w:hAnsi="宋体" w:cs="宋体" w:eastAsia="宋体" w:hint="default"/>
          <w:sz w:val="26"/>
          <w:szCs w:val="26"/>
        </w:rPr>
      </w:pPr>
    </w:p>
    <w:p>
      <w:pPr>
        <w:spacing w:line="374" w:lineRule="auto" w:before="0"/>
        <w:ind w:left="137" w:right="141" w:firstLine="420"/>
        <w:jc w:val="both"/>
        <w:rPr>
          <w:rFonts w:ascii="宋体" w:hAnsi="宋体" w:cs="宋体" w:eastAsia="宋体" w:hint="default"/>
          <w:sz w:val="21"/>
          <w:szCs w:val="21"/>
        </w:rPr>
      </w:pPr>
      <w:r>
        <w:rPr>
          <w:rFonts w:ascii="宋体" w:hAnsi="宋体" w:cs="宋体" w:eastAsia="宋体" w:hint="default"/>
          <w:spacing w:val="-6"/>
          <w:w w:val="99"/>
          <w:sz w:val="21"/>
          <w:szCs w:val="21"/>
        </w:rPr>
        <w:t>按照企业会计准则的规定编制财务报表是农产品公司管理层的责任。这种责任包括：（</w:t>
      </w:r>
      <w:r>
        <w:rPr>
          <w:rFonts w:ascii="Times New Roman" w:hAnsi="Times New Roman" w:cs="Times New Roman" w:eastAsia="Times New Roman" w:hint="default"/>
          <w:spacing w:val="-6"/>
          <w:w w:val="99"/>
          <w:sz w:val="21"/>
          <w:szCs w:val="21"/>
        </w:rPr>
        <w:t>1</w:t>
      </w:r>
      <w:r>
        <w:rPr>
          <w:rFonts w:ascii="宋体" w:hAnsi="宋体" w:cs="宋体" w:eastAsia="宋体" w:hint="default"/>
          <w:spacing w:val="-6"/>
          <w:w w:val="99"/>
          <w:sz w:val="21"/>
          <w:szCs w:val="21"/>
        </w:rPr>
        <w:t>）</w:t>
      </w:r>
      <w:r>
        <w:rPr>
          <w:rFonts w:ascii="宋体" w:hAnsi="宋体" w:cs="宋体" w:eastAsia="宋体" w:hint="default"/>
          <w:w w:val="51"/>
          <w:sz w:val="21"/>
          <w:szCs w:val="21"/>
        </w:rPr>
        <w:t> </w:t>
      </w:r>
      <w:r>
        <w:rPr>
          <w:rFonts w:ascii="宋体" w:hAnsi="宋体" w:cs="宋体" w:eastAsia="宋体" w:hint="default"/>
          <w:sz w:val="21"/>
          <w:szCs w:val="21"/>
        </w:rPr>
        <w:t>设计、实施和维护与财务报表编制相关的内部控制，以使财务报表不存在由于舞弊或错误而</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4"/>
          <w:w w:val="98"/>
          <w:sz w:val="21"/>
          <w:szCs w:val="21"/>
        </w:rPr>
        <w:t>导致的重大错报；（</w:t>
      </w:r>
      <w:r>
        <w:rPr>
          <w:rFonts w:ascii="Times New Roman" w:hAnsi="Times New Roman" w:cs="Times New Roman" w:eastAsia="Times New Roman" w:hint="default"/>
          <w:spacing w:val="-4"/>
          <w:w w:val="98"/>
          <w:sz w:val="21"/>
          <w:szCs w:val="21"/>
        </w:rPr>
        <w:t>2</w:t>
      </w:r>
      <w:r>
        <w:rPr>
          <w:rFonts w:ascii="宋体" w:hAnsi="宋体" w:cs="宋体" w:eastAsia="宋体" w:hint="default"/>
          <w:spacing w:val="-4"/>
          <w:w w:val="98"/>
          <w:sz w:val="21"/>
          <w:szCs w:val="21"/>
        </w:rPr>
        <w:t>）选择和运用恰当的会计政策；（</w:t>
      </w:r>
      <w:r>
        <w:rPr>
          <w:rFonts w:ascii="Times New Roman" w:hAnsi="Times New Roman" w:cs="Times New Roman" w:eastAsia="Times New Roman" w:hint="default"/>
          <w:spacing w:val="-4"/>
          <w:w w:val="98"/>
          <w:sz w:val="21"/>
          <w:szCs w:val="21"/>
        </w:rPr>
        <w:t>3</w:t>
      </w:r>
      <w:r>
        <w:rPr>
          <w:rFonts w:ascii="宋体" w:hAnsi="宋体" w:cs="宋体" w:eastAsia="宋体" w:hint="default"/>
          <w:spacing w:val="-4"/>
          <w:w w:val="98"/>
          <w:sz w:val="21"/>
          <w:szCs w:val="21"/>
        </w:rPr>
        <w:t>）作出合理的会计估计。</w:t>
      </w:r>
    </w:p>
    <w:p>
      <w:pPr>
        <w:spacing w:line="240" w:lineRule="auto" w:before="2"/>
        <w:rPr>
          <w:rFonts w:ascii="宋体" w:hAnsi="宋体" w:cs="宋体" w:eastAsia="宋体" w:hint="default"/>
          <w:sz w:val="15"/>
          <w:szCs w:val="15"/>
        </w:rPr>
      </w:pPr>
    </w:p>
    <w:p>
      <w:pPr>
        <w:spacing w:before="0"/>
        <w:ind w:left="137" w:right="25" w:firstLine="0"/>
        <w:jc w:val="left"/>
        <w:rPr>
          <w:rFonts w:ascii="宋体" w:hAnsi="宋体" w:cs="宋体" w:eastAsia="宋体" w:hint="default"/>
          <w:sz w:val="21"/>
          <w:szCs w:val="21"/>
        </w:rPr>
      </w:pPr>
      <w:r>
        <w:rPr>
          <w:rFonts w:ascii="宋体" w:hAnsi="宋体" w:cs="宋体" w:eastAsia="宋体" w:hint="default"/>
          <w:sz w:val="21"/>
          <w:szCs w:val="21"/>
        </w:rPr>
        <w:t>二、注册会计师的责任</w:t>
      </w:r>
    </w:p>
    <w:p>
      <w:pPr>
        <w:spacing w:line="240" w:lineRule="auto" w:before="4"/>
        <w:rPr>
          <w:rFonts w:ascii="宋体" w:hAnsi="宋体" w:cs="宋体" w:eastAsia="宋体" w:hint="default"/>
          <w:sz w:val="26"/>
          <w:szCs w:val="26"/>
        </w:rPr>
      </w:pPr>
    </w:p>
    <w:p>
      <w:pPr>
        <w:spacing w:line="384" w:lineRule="auto" w:before="0"/>
        <w:ind w:left="137" w:right="141" w:firstLine="420"/>
        <w:jc w:val="both"/>
        <w:rPr>
          <w:rFonts w:ascii="宋体" w:hAnsi="宋体" w:cs="宋体" w:eastAsia="宋体" w:hint="default"/>
          <w:sz w:val="21"/>
          <w:szCs w:val="21"/>
        </w:rPr>
      </w:pPr>
      <w:r>
        <w:rPr>
          <w:rFonts w:ascii="宋体" w:hAnsi="宋体" w:cs="宋体" w:eastAsia="宋体" w:hint="default"/>
          <w:sz w:val="21"/>
          <w:szCs w:val="21"/>
        </w:rPr>
        <w:t>我们的责任是在实施审计工作的基础上对财务报表发表审计意见。我们按照中国注册会</w:t>
      </w:r>
      <w:r>
        <w:rPr>
          <w:rFonts w:ascii="宋体" w:hAnsi="宋体" w:cs="宋体" w:eastAsia="宋体" w:hint="default"/>
          <w:w w:val="100"/>
          <w:sz w:val="21"/>
          <w:szCs w:val="21"/>
        </w:rPr>
        <w:t> </w:t>
      </w:r>
      <w:r>
        <w:rPr>
          <w:rFonts w:ascii="宋体" w:hAnsi="宋体" w:cs="宋体" w:eastAsia="宋体" w:hint="default"/>
          <w:spacing w:val="-3"/>
          <w:w w:val="95"/>
          <w:sz w:val="21"/>
          <w:szCs w:val="21"/>
        </w:rPr>
        <w:t>计师审计准则的规定执行了审计工作。中国注册会计师审计准则要求我们遵守职业道德规范，</w:t>
      </w:r>
      <w:r>
        <w:rPr>
          <w:rFonts w:ascii="宋体" w:hAnsi="宋体" w:cs="宋体" w:eastAsia="宋体" w:hint="default"/>
          <w:spacing w:val="5"/>
          <w:w w:val="95"/>
          <w:sz w:val="21"/>
          <w:szCs w:val="21"/>
        </w:rPr>
        <w:t> </w:t>
      </w:r>
      <w:r>
        <w:rPr>
          <w:rFonts w:ascii="宋体" w:hAnsi="宋体" w:cs="宋体" w:eastAsia="宋体" w:hint="default"/>
          <w:spacing w:val="5"/>
          <w:w w:val="95"/>
          <w:sz w:val="21"/>
          <w:szCs w:val="21"/>
        </w:rPr>
      </w:r>
      <w:r>
        <w:rPr>
          <w:rFonts w:ascii="宋体" w:hAnsi="宋体" w:cs="宋体" w:eastAsia="宋体" w:hint="default"/>
          <w:sz w:val="21"/>
          <w:szCs w:val="21"/>
        </w:rPr>
        <w:t>计划和实施审计工作以对财务报表是否不存在重大错报获取合理保证。</w:t>
      </w:r>
    </w:p>
    <w:p>
      <w:pPr>
        <w:spacing w:line="240" w:lineRule="auto" w:before="9"/>
        <w:rPr>
          <w:rFonts w:ascii="宋体" w:hAnsi="宋体" w:cs="宋体" w:eastAsia="宋体" w:hint="default"/>
          <w:sz w:val="16"/>
          <w:szCs w:val="16"/>
        </w:rPr>
      </w:pPr>
    </w:p>
    <w:p>
      <w:pPr>
        <w:spacing w:line="384" w:lineRule="auto" w:before="0"/>
        <w:ind w:left="137" w:right="141" w:firstLine="420"/>
        <w:jc w:val="both"/>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w:t>
      </w:r>
      <w:r>
        <w:rPr>
          <w:rFonts w:ascii="宋体" w:hAnsi="宋体" w:cs="宋体" w:eastAsia="宋体" w:hint="default"/>
          <w:w w:val="100"/>
          <w:sz w:val="21"/>
          <w:szCs w:val="21"/>
        </w:rPr>
        <w:t> </w:t>
      </w:r>
      <w:r>
        <w:rPr>
          <w:rFonts w:ascii="宋体" w:hAnsi="宋体" w:cs="宋体" w:eastAsia="宋体" w:hint="default"/>
          <w:spacing w:val="-3"/>
          <w:w w:val="95"/>
          <w:sz w:val="21"/>
          <w:szCs w:val="21"/>
        </w:rPr>
        <w:t>程序取决于注册会计师的判断，包括对由于舞弊或错误导致的财务报表重大错报风险的评估。</w:t>
      </w:r>
      <w:r>
        <w:rPr>
          <w:rFonts w:ascii="宋体" w:hAnsi="宋体" w:cs="宋体" w:eastAsia="宋体" w:hint="default"/>
          <w:spacing w:val="6"/>
          <w:w w:val="95"/>
          <w:sz w:val="21"/>
          <w:szCs w:val="21"/>
        </w:rPr>
        <w:t> </w:t>
      </w:r>
      <w:r>
        <w:rPr>
          <w:rFonts w:ascii="宋体" w:hAnsi="宋体" w:cs="宋体" w:eastAsia="宋体" w:hint="default"/>
          <w:spacing w:val="6"/>
          <w:w w:val="95"/>
          <w:sz w:val="21"/>
          <w:szCs w:val="21"/>
        </w:rPr>
      </w:r>
      <w:r>
        <w:rPr>
          <w:rFonts w:ascii="宋体" w:hAnsi="宋体" w:cs="宋体" w:eastAsia="宋体" w:hint="default"/>
          <w:sz w:val="21"/>
          <w:szCs w:val="21"/>
        </w:rPr>
        <w:t>在进行风险评估时，</w:t>
      </w:r>
      <w:r>
        <w:rPr>
          <w:rFonts w:ascii="宋体" w:hAnsi="宋体" w:cs="宋体" w:eastAsia="宋体" w:hint="default"/>
          <w:spacing w:val="29"/>
          <w:sz w:val="21"/>
          <w:szCs w:val="21"/>
        </w:rPr>
        <w:t> </w:t>
      </w:r>
      <w:r>
        <w:rPr>
          <w:rFonts w:ascii="宋体" w:hAnsi="宋体" w:cs="宋体" w:eastAsia="宋体" w:hint="default"/>
          <w:spacing w:val="-3"/>
          <w:sz w:val="21"/>
          <w:szCs w:val="21"/>
        </w:rPr>
        <w:t>我们考虑与财务报表编制相关的内部控制，以设计恰当的审计程序，但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目的并非对内部控制的有效性发表意见。审计工作还包括评价管理层选用会计政策的恰当性</w:t>
      </w:r>
      <w:r>
        <w:rPr>
          <w:rFonts w:ascii="宋体" w:hAnsi="宋体" w:cs="宋体" w:eastAsia="宋体" w:hint="default"/>
          <w:spacing w:val="-57"/>
          <w:sz w:val="21"/>
          <w:szCs w:val="21"/>
        </w:rPr>
        <w:t> </w:t>
      </w:r>
      <w:r>
        <w:rPr>
          <w:rFonts w:ascii="宋体" w:hAnsi="宋体" w:cs="宋体" w:eastAsia="宋体" w:hint="default"/>
          <w:sz w:val="21"/>
          <w:szCs w:val="21"/>
        </w:rPr>
        <w:t>和作出会计估计的合理性，以及评价财务报表的总体列报。</w:t>
      </w:r>
    </w:p>
    <w:p>
      <w:pPr>
        <w:spacing w:line="240" w:lineRule="auto" w:before="9"/>
        <w:rPr>
          <w:rFonts w:ascii="宋体" w:hAnsi="宋体" w:cs="宋体" w:eastAsia="宋体" w:hint="default"/>
          <w:sz w:val="16"/>
          <w:szCs w:val="16"/>
        </w:rPr>
      </w:pPr>
    </w:p>
    <w:p>
      <w:pPr>
        <w:spacing w:before="0"/>
        <w:ind w:left="557" w:right="25"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4"/>
        <w:rPr>
          <w:rFonts w:ascii="宋体" w:hAnsi="宋体" w:cs="宋体" w:eastAsia="宋体" w:hint="default"/>
          <w:sz w:val="26"/>
          <w:szCs w:val="26"/>
        </w:rPr>
      </w:pPr>
    </w:p>
    <w:p>
      <w:pPr>
        <w:spacing w:before="0"/>
        <w:ind w:left="137" w:right="25" w:firstLine="0"/>
        <w:jc w:val="left"/>
        <w:rPr>
          <w:rFonts w:ascii="宋体" w:hAnsi="宋体" w:cs="宋体" w:eastAsia="宋体" w:hint="default"/>
          <w:sz w:val="21"/>
          <w:szCs w:val="21"/>
        </w:rPr>
      </w:pPr>
      <w:r>
        <w:rPr>
          <w:rFonts w:ascii="宋体" w:hAnsi="宋体" w:cs="宋体" w:eastAsia="宋体" w:hint="default"/>
          <w:sz w:val="21"/>
          <w:szCs w:val="21"/>
        </w:rPr>
        <w:t>三、审计意见</w:t>
      </w:r>
    </w:p>
    <w:p>
      <w:pPr>
        <w:spacing w:after="0"/>
        <w:jc w:val="left"/>
        <w:rPr>
          <w:rFonts w:ascii="宋体" w:hAnsi="宋体" w:cs="宋体" w:eastAsia="宋体" w:hint="default"/>
          <w:sz w:val="21"/>
          <w:szCs w:val="21"/>
        </w:rPr>
        <w:sectPr>
          <w:pgSz w:w="11910" w:h="16840"/>
          <w:pgMar w:header="859" w:footer="835" w:top="1420" w:bottom="1020" w:left="1660" w:right="1500"/>
        </w:sectPr>
      </w:pPr>
    </w:p>
    <w:p>
      <w:pPr>
        <w:spacing w:line="240" w:lineRule="auto" w:before="2"/>
        <w:rPr>
          <w:rFonts w:ascii="宋体" w:hAnsi="宋体" w:cs="宋体" w:eastAsia="宋体" w:hint="default"/>
          <w:sz w:val="9"/>
          <w:szCs w:val="9"/>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5.9pt;height:.75pt;mso-position-horizontal-relative:char;mso-position-vertical-relative:line" coordorigin="0,0" coordsize="8518,15">
            <v:group style="position:absolute;left:7;top:7;width:8504;height:2" coordorigin="7,7" coordsize="8504,2">
              <v:shape style="position:absolute;left:7;top:7;width:8504;height:2" coordorigin="7,7" coordsize="8504,0" path="m7,7l8510,7e" filled="false" stroked="true" strokeweight=".72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spacing w:line="372" w:lineRule="auto" w:before="36"/>
        <w:ind w:left="137" w:right="160" w:firstLine="420"/>
        <w:jc w:val="both"/>
        <w:rPr>
          <w:rFonts w:ascii="宋体" w:hAnsi="宋体" w:cs="宋体" w:eastAsia="宋体" w:hint="default"/>
          <w:sz w:val="21"/>
          <w:szCs w:val="21"/>
        </w:rPr>
      </w:pPr>
      <w:r>
        <w:rPr>
          <w:rFonts w:ascii="宋体" w:hAnsi="宋体" w:cs="宋体" w:eastAsia="宋体" w:hint="default"/>
          <w:sz w:val="21"/>
          <w:szCs w:val="21"/>
        </w:rPr>
        <w:t>我们认为，农产品公司财务报表已经按照企业会计准则的规定编制，在所有重大方面公</w:t>
      </w:r>
      <w:r>
        <w:rPr>
          <w:rFonts w:ascii="宋体" w:hAnsi="宋体" w:cs="宋体" w:eastAsia="宋体" w:hint="default"/>
          <w:w w:val="100"/>
          <w:sz w:val="21"/>
          <w:szCs w:val="21"/>
        </w:rPr>
        <w:t> </w:t>
      </w:r>
      <w:r>
        <w:rPr>
          <w:rFonts w:ascii="宋体" w:hAnsi="宋体" w:cs="宋体" w:eastAsia="宋体" w:hint="default"/>
          <w:sz w:val="21"/>
          <w:szCs w:val="21"/>
        </w:rPr>
        <w:t>允反映了农产品公司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日公司及合并的财务状况以及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年度公司及合并的</w:t>
      </w:r>
      <w:r>
        <w:rPr>
          <w:rFonts w:ascii="宋体" w:hAnsi="宋体" w:cs="宋体" w:eastAsia="宋体" w:hint="default"/>
          <w:w w:val="100"/>
          <w:sz w:val="21"/>
          <w:szCs w:val="21"/>
        </w:rPr>
        <w:t> </w:t>
      </w:r>
      <w:r>
        <w:rPr>
          <w:rFonts w:ascii="宋体" w:hAnsi="宋体" w:cs="宋体" w:eastAsia="宋体" w:hint="default"/>
          <w:sz w:val="21"/>
          <w:szCs w:val="21"/>
        </w:rPr>
        <w:t>经营成果和现金流量。</w:t>
      </w:r>
    </w:p>
    <w:p>
      <w:pPr>
        <w:spacing w:line="240" w:lineRule="auto" w:before="6"/>
        <w:rPr>
          <w:rFonts w:ascii="宋体" w:hAnsi="宋体" w:cs="宋体" w:eastAsia="宋体" w:hint="default"/>
          <w:sz w:val="17"/>
          <w:szCs w:val="17"/>
        </w:rPr>
      </w:pPr>
    </w:p>
    <w:p>
      <w:pPr>
        <w:spacing w:before="0"/>
        <w:ind w:left="137" w:right="25" w:firstLine="0"/>
        <w:jc w:val="left"/>
        <w:rPr>
          <w:rFonts w:ascii="宋体" w:hAnsi="宋体" w:cs="宋体" w:eastAsia="宋体" w:hint="default"/>
          <w:sz w:val="21"/>
          <w:szCs w:val="21"/>
        </w:rPr>
      </w:pPr>
      <w:r>
        <w:rPr>
          <w:rFonts w:ascii="宋体" w:hAnsi="宋体" w:cs="宋体" w:eastAsia="宋体" w:hint="default"/>
          <w:sz w:val="21"/>
          <w:szCs w:val="21"/>
        </w:rPr>
        <w:t>四、强调事项</w:t>
      </w:r>
    </w:p>
    <w:p>
      <w:pPr>
        <w:spacing w:line="240" w:lineRule="auto" w:before="4"/>
        <w:rPr>
          <w:rFonts w:ascii="宋体" w:hAnsi="宋体" w:cs="宋体" w:eastAsia="宋体" w:hint="default"/>
          <w:sz w:val="26"/>
          <w:szCs w:val="26"/>
        </w:rPr>
      </w:pPr>
    </w:p>
    <w:p>
      <w:pPr>
        <w:spacing w:line="369" w:lineRule="auto" w:before="0"/>
        <w:ind w:left="137" w:right="141" w:firstLine="420"/>
        <w:jc w:val="both"/>
        <w:rPr>
          <w:rFonts w:ascii="宋体" w:hAnsi="宋体" w:cs="宋体" w:eastAsia="宋体" w:hint="default"/>
          <w:sz w:val="21"/>
          <w:szCs w:val="21"/>
        </w:rPr>
      </w:pPr>
      <w:r>
        <w:rPr>
          <w:rFonts w:ascii="宋体" w:hAnsi="宋体" w:cs="宋体" w:eastAsia="宋体" w:hint="default"/>
          <w:spacing w:val="-5"/>
          <w:sz w:val="21"/>
          <w:szCs w:val="21"/>
        </w:rPr>
        <w:t>我们提醒报表使用者关注，如财务报表附注七、</w:t>
      </w:r>
      <w:r>
        <w:rPr>
          <w:rFonts w:ascii="Times New Roman" w:hAnsi="Times New Roman" w:cs="Times New Roman" w:eastAsia="Times New Roman" w:hint="default"/>
          <w:spacing w:val="-5"/>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及附注十一所述，由于深圳市民润农产</w:t>
      </w:r>
      <w:r>
        <w:rPr>
          <w:rFonts w:ascii="宋体" w:hAnsi="宋体" w:cs="宋体" w:eastAsia="宋体" w:hint="default"/>
          <w:w w:val="100"/>
          <w:sz w:val="21"/>
          <w:szCs w:val="21"/>
        </w:rPr>
        <w:t> </w:t>
      </w:r>
      <w:r>
        <w:rPr>
          <w:rFonts w:ascii="宋体" w:hAnsi="宋体" w:cs="宋体" w:eastAsia="宋体" w:hint="default"/>
          <w:spacing w:val="-5"/>
          <w:sz w:val="21"/>
          <w:szCs w:val="21"/>
        </w:rPr>
        <w:t>品配送连锁商业有限公司（以下简称民润公司）的重组工作正在进行，但截至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宋体" w:hAnsi="宋体" w:cs="宋体" w:eastAsia="宋体" w:hint="default"/>
          <w:sz w:val="21"/>
          <w:szCs w:val="21"/>
        </w:rPr>
        <w:t>日重组协议尚未达成。农产品公司已依据民润公司的财务状况及重组现状对相关债权和担保</w:t>
      </w:r>
      <w:r>
        <w:rPr>
          <w:rFonts w:ascii="宋体" w:hAnsi="宋体" w:cs="宋体" w:eastAsia="宋体" w:hint="default"/>
          <w:spacing w:val="-57"/>
          <w:sz w:val="21"/>
          <w:szCs w:val="21"/>
        </w:rPr>
        <w:t> </w:t>
      </w:r>
      <w:r>
        <w:rPr>
          <w:rFonts w:ascii="宋体" w:hAnsi="宋体" w:cs="宋体" w:eastAsia="宋体" w:hint="default"/>
          <w:sz w:val="21"/>
          <w:szCs w:val="21"/>
        </w:rPr>
        <w:t>的损失进行了合理估计。本段内容不影响已发表的审计意见。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tabs>
          <w:tab w:pos="5064" w:val="left" w:leader="none"/>
        </w:tabs>
        <w:spacing w:line="542" w:lineRule="auto" w:before="36"/>
        <w:ind w:left="1375" w:right="2208" w:hanging="629"/>
        <w:jc w:val="left"/>
        <w:rPr>
          <w:rFonts w:ascii="宋体" w:hAnsi="宋体" w:cs="宋体" w:eastAsia="宋体" w:hint="default"/>
          <w:sz w:val="21"/>
          <w:szCs w:val="21"/>
        </w:rPr>
      </w:pPr>
      <w:r>
        <w:rPr>
          <w:rFonts w:ascii="宋体" w:hAnsi="宋体" w:cs="宋体" w:eastAsia="宋体" w:hint="default"/>
          <w:spacing w:val="-2"/>
          <w:sz w:val="21"/>
          <w:szCs w:val="21"/>
        </w:rPr>
        <w:t>深圳南方民和会计师事务所</w:t>
        <w:tab/>
        <w:t>中国注册会计师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有限责任公司</w:t>
        <w:tab/>
        <w:t>唐乐民</w:t>
      </w:r>
    </w:p>
    <w:p>
      <w:pPr>
        <w:spacing w:line="540" w:lineRule="auto" w:before="79"/>
        <w:ind w:left="5064" w:right="2206" w:firstLine="0"/>
        <w:jc w:val="left"/>
        <w:rPr>
          <w:rFonts w:ascii="宋体" w:hAnsi="宋体" w:cs="宋体" w:eastAsia="宋体" w:hint="default"/>
          <w:sz w:val="21"/>
          <w:szCs w:val="21"/>
        </w:rPr>
      </w:pPr>
      <w:r>
        <w:rPr>
          <w:rFonts w:ascii="宋体" w:hAnsi="宋体" w:cs="宋体" w:eastAsia="宋体" w:hint="default"/>
          <w:spacing w:val="-2"/>
          <w:sz w:val="21"/>
          <w:szCs w:val="21"/>
        </w:rPr>
        <w:t>中国注册会计师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周武重</w:t>
      </w:r>
    </w:p>
    <w:p>
      <w:pPr>
        <w:tabs>
          <w:tab w:pos="2110" w:val="left" w:leader="none"/>
          <w:tab w:pos="5064" w:val="left" w:leader="none"/>
        </w:tabs>
        <w:spacing w:before="84"/>
        <w:ind w:left="1481" w:right="25" w:firstLine="0"/>
        <w:jc w:val="left"/>
        <w:rPr>
          <w:rFonts w:ascii="宋体" w:hAnsi="宋体" w:cs="宋体" w:eastAsia="宋体" w:hint="default"/>
          <w:sz w:val="21"/>
          <w:szCs w:val="21"/>
        </w:rPr>
      </w:pPr>
      <w:r>
        <w:rPr>
          <w:rFonts w:ascii="宋体" w:hAnsi="宋体" w:cs="宋体" w:eastAsia="宋体" w:hint="default"/>
          <w:sz w:val="21"/>
          <w:szCs w:val="21"/>
        </w:rPr>
        <w:t>中国</w:t>
        <w:tab/>
        <w:t>深圳</w:t>
        <w:tab/>
        <w:t>二〇一〇年四月二十日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5"/>
        <w:spacing w:line="367" w:lineRule="exact"/>
        <w:ind w:left="617" w:right="25"/>
        <w:jc w:val="left"/>
        <w:rPr>
          <w:b w:val="0"/>
          <w:bCs w:val="0"/>
        </w:rPr>
      </w:pPr>
      <w:r>
        <w:rPr/>
        <w:t>第二节、会计报表（附后）</w:t>
      </w:r>
      <w:r>
        <w:rPr>
          <w:b w:val="0"/>
          <w:bCs w:val="0"/>
        </w:rPr>
      </w:r>
    </w:p>
    <w:p>
      <w:pPr>
        <w:spacing w:line="268" w:lineRule="auto" w:before="50"/>
        <w:ind w:left="617" w:right="54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一、资产负债表；</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Microsoft JhengHei" w:hAnsi="Microsoft JhengHei" w:cs="Microsoft JhengHei" w:eastAsia="Microsoft JhengHei" w:hint="default"/>
          <w:b/>
          <w:bCs/>
          <w:sz w:val="24"/>
          <w:szCs w:val="24"/>
        </w:rPr>
        <w:t>二、利润及利润分配表；</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Microsoft JhengHei" w:hAnsi="Microsoft JhengHei" w:cs="Microsoft JhengHei" w:eastAsia="Microsoft JhengHei" w:hint="default"/>
          <w:b/>
          <w:bCs/>
          <w:sz w:val="24"/>
          <w:szCs w:val="24"/>
        </w:rPr>
        <w:t>三、现金流量表</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Microsoft JhengHei" w:hAnsi="Microsoft JhengHei" w:cs="Microsoft JhengHei" w:eastAsia="Microsoft JhengHei" w:hint="default"/>
          <w:b/>
          <w:bCs/>
          <w:sz w:val="24"/>
          <w:szCs w:val="24"/>
        </w:rPr>
        <w:t>四、备查文件目录</w:t>
      </w:r>
      <w:r>
        <w:rPr>
          <w:rFonts w:ascii="Microsoft JhengHei" w:hAnsi="Microsoft JhengHei" w:cs="Microsoft JhengHei" w:eastAsia="Microsoft JhengHei" w:hint="default"/>
          <w:sz w:val="24"/>
          <w:szCs w:val="24"/>
        </w:rPr>
      </w:r>
    </w:p>
    <w:p>
      <w:pPr>
        <w:pStyle w:val="BodyText"/>
        <w:spacing w:line="240" w:lineRule="auto" w:before="88"/>
        <w:ind w:left="617" w:right="25"/>
        <w:jc w:val="left"/>
      </w:pPr>
      <w:r>
        <w:rPr/>
        <w:t>本公司董事会办公室备有以下备查文件：</w:t>
      </w:r>
    </w:p>
    <w:p>
      <w:pPr>
        <w:spacing w:after="0" w:line="240" w:lineRule="auto"/>
        <w:jc w:val="left"/>
        <w:sectPr>
          <w:pgSz w:w="11910" w:h="16840"/>
          <w:pgMar w:header="859" w:footer="835" w:top="1420" w:bottom="1020" w:left="1660" w:right="1500"/>
        </w:sectPr>
      </w:pPr>
    </w:p>
    <w:p>
      <w:pPr>
        <w:pStyle w:val="BodyText"/>
        <w:spacing w:line="357" w:lineRule="auto" w:before="96"/>
        <w:ind w:left="137" w:right="137" w:firstLine="480"/>
        <w:jc w:val="left"/>
      </w:pPr>
      <w:r>
        <w:rPr/>
        <w:pict>
          <v:group style="position:absolute;margin-left:88.799995pt;margin-top:6.335606pt;width:425.2pt;height:.1pt;mso-position-horizontal-relative:page;mso-position-vertical-relative:paragraph;z-index:-1140688" coordorigin="1776,127" coordsize="8504,2">
            <v:shape style="position:absolute;left:1776;top:127;width:8504;height:2" coordorigin="1776,127" coordsize="8504,0" path="m1776,127l10279,127e" filled="false" stroked="true" strokeweight=".72pt" strokecolor="#000008">
              <v:path arrowok="t"/>
            </v:shape>
            <w10:wrap type="none"/>
          </v:group>
        </w:pict>
      </w:r>
      <w:r>
        <w:rPr>
          <w:spacing w:val="-2"/>
        </w:rPr>
        <w:t>1、载有法定代表人、主管会计工作负责人、会计主管人员亲笔签字并盖章的</w:t>
      </w:r>
      <w:r>
        <w:rPr/>
        <w:t> 财务报表；</w:t>
      </w:r>
    </w:p>
    <w:p>
      <w:pPr>
        <w:pStyle w:val="BodyText"/>
        <w:spacing w:line="240" w:lineRule="auto"/>
        <w:ind w:left="617" w:right="25"/>
        <w:jc w:val="left"/>
      </w:pPr>
      <w:r>
        <w:rPr/>
        <w:t>2、载有会计师事务所盖章、注册会计师亲笔签名并盖章的审计报告原件；</w:t>
      </w:r>
    </w:p>
    <w:p>
      <w:pPr>
        <w:pStyle w:val="BodyText"/>
        <w:spacing w:line="357" w:lineRule="auto" w:before="154"/>
        <w:ind w:left="137" w:right="137" w:firstLine="480"/>
        <w:jc w:val="left"/>
      </w:pPr>
      <w:r>
        <w:rPr>
          <w:spacing w:val="-2"/>
        </w:rPr>
        <w:t>3、报告期内在中国证监会指定报纸上公开披露过的所有公司文件的正本及公</w:t>
      </w:r>
      <w:r>
        <w:rPr/>
        <w:t> 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BodyText"/>
        <w:spacing w:line="357" w:lineRule="auto" w:before="0"/>
        <w:ind w:left="5720" w:right="145" w:firstLine="192"/>
        <w:jc w:val="right"/>
      </w:pPr>
      <w:r>
        <w:rPr/>
        <w:t>董事长（签章）：陈少群 深圳市农产品股份有限公司 二○一○年四月二十日</w:t>
      </w:r>
    </w:p>
    <w:p>
      <w:pPr>
        <w:spacing w:after="0" w:line="357" w:lineRule="auto"/>
        <w:jc w:val="right"/>
        <w:sectPr>
          <w:pgSz w:w="11910" w:h="16840"/>
          <w:pgMar w:header="859" w:footer="835" w:top="1420" w:bottom="1020" w:left="1660" w:right="1500"/>
        </w:sectPr>
      </w:pPr>
    </w:p>
    <w:p>
      <w:pPr>
        <w:spacing w:line="240" w:lineRule="auto" w:before="5"/>
        <w:rPr>
          <w:rFonts w:ascii="宋体" w:hAnsi="宋体" w:cs="宋体" w:eastAsia="宋体" w:hint="default"/>
          <w:sz w:val="15"/>
          <w:szCs w:val="15"/>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28.05pt;height:.75pt;mso-position-horizontal-relative:char;mso-position-vertical-relative:line" coordorigin="0,0" coordsize="8561,15">
            <v:group style="position:absolute;left:7;top:7;width:8547;height:2" coordorigin="7,7" coordsize="8547,2">
              <v:shape style="position:absolute;left:7;top:7;width:8547;height:2" coordorigin="7,7" coordsize="8547,0" path="m7,7l8554,7e" filled="false" stroked="true" strokeweight=".72pt" strokecolor="#000008">
                <v:path arrowok="t"/>
              </v:shape>
            </v:group>
          </v:group>
        </w:pict>
      </w:r>
      <w:r>
        <w:rPr>
          <w:rFonts w:ascii="宋体" w:hAnsi="宋体" w:cs="宋体" w:eastAsia="宋体" w:hint="default"/>
          <w:sz w:val="2"/>
          <w:szCs w:val="2"/>
        </w:rPr>
      </w:r>
    </w:p>
    <w:p>
      <w:pPr>
        <w:spacing w:line="316" w:lineRule="exact" w:before="0"/>
        <w:ind w:left="0" w:right="46"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合并资产负债表</w:t>
      </w:r>
      <w:r>
        <w:rPr>
          <w:rFonts w:ascii="Microsoft JhengHei" w:hAnsi="Microsoft JhengHei" w:cs="Microsoft JhengHei" w:eastAsia="Microsoft JhengHei" w:hint="default"/>
          <w:sz w:val="28"/>
          <w:szCs w:val="28"/>
        </w:rPr>
      </w:r>
    </w:p>
    <w:p>
      <w:pPr>
        <w:spacing w:line="264" w:lineRule="exact" w:before="0"/>
        <w:ind w:left="0" w:right="38"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2009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tabs>
          <w:tab w:pos="6616" w:val="left" w:leader="none"/>
        </w:tabs>
        <w:spacing w:line="299" w:lineRule="exact" w:before="0"/>
        <w:ind w:left="0" w:right="44"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编制单位：深圳市农产品股份有限公司</w:t>
        <w:tab/>
        <w:t>金额单位：人民币元</w:t>
      </w:r>
      <w:r>
        <w:rPr>
          <w:rFonts w:ascii="Microsoft JhengHei" w:hAnsi="Microsoft JhengHei" w:cs="Microsoft JhengHei" w:eastAsia="Microsoft JhengHei" w:hint="default"/>
          <w:sz w:val="18"/>
          <w:szCs w:val="18"/>
        </w:rPr>
      </w:r>
    </w:p>
    <w:p>
      <w:pPr>
        <w:spacing w:line="240" w:lineRule="auto" w:before="14"/>
        <w:rPr>
          <w:rFonts w:ascii="Microsoft JhengHei" w:hAnsi="Microsoft JhengHei" w:cs="Microsoft JhengHei" w:eastAsia="Microsoft JhengHei" w:hint="default"/>
          <w:b/>
          <w:bCs/>
          <w:sz w:val="4"/>
          <w:szCs w:val="4"/>
        </w:rPr>
      </w:pPr>
    </w:p>
    <w:p>
      <w:pPr>
        <w:spacing w:line="20" w:lineRule="exact"/>
        <w:ind w:left="13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3.5pt;height:.5pt;mso-position-horizontal-relative:char;mso-position-vertical-relative:line" coordorigin="0,0" coordsize="8470,10">
            <v:group style="position:absolute;left:5;top:5;width:8460;height:2" coordorigin="5,5" coordsize="8460,2">
              <v:shape style="position:absolute;left:5;top:5;width:8460;height:2" coordorigin="5,5" coordsize="8460,0" path="m5,5l8465,5e" filled="false" stroked="true" strokeweight=".48pt" strokecolor="#000008">
                <v:path arrowok="t"/>
              </v:shape>
            </v:group>
          </v:group>
        </w:pict>
      </w:r>
      <w:r>
        <w:rPr>
          <w:rFonts w:ascii="Microsoft JhengHei" w:hAnsi="Microsoft JhengHei" w:cs="Microsoft JhengHei" w:eastAsia="Microsoft JhengHei" w:hint="default"/>
          <w:sz w:val="2"/>
          <w:szCs w:val="2"/>
        </w:rPr>
      </w:r>
    </w:p>
    <w:tbl>
      <w:tblPr>
        <w:tblW w:w="0" w:type="auto"/>
        <w:jc w:val="left"/>
        <w:tblInd w:w="139" w:type="dxa"/>
        <w:tblLayout w:type="fixed"/>
        <w:tblCellMar>
          <w:top w:w="0" w:type="dxa"/>
          <w:left w:w="0" w:type="dxa"/>
          <w:bottom w:w="0" w:type="dxa"/>
          <w:right w:w="0" w:type="dxa"/>
        </w:tblCellMar>
        <w:tblLook w:val="01E0"/>
      </w:tblPr>
      <w:tblGrid>
        <w:gridCol w:w="2485"/>
        <w:gridCol w:w="935"/>
        <w:gridCol w:w="2461"/>
        <w:gridCol w:w="2579"/>
      </w:tblGrid>
      <w:tr>
        <w:trPr>
          <w:trHeight w:val="387" w:hRule="exact"/>
        </w:trPr>
        <w:tc>
          <w:tcPr>
            <w:tcW w:w="2485" w:type="dxa"/>
            <w:tcBorders>
              <w:top w:val="nil" w:sz="6" w:space="0" w:color="auto"/>
              <w:left w:val="nil" w:sz="6" w:space="0" w:color="auto"/>
              <w:bottom w:val="single" w:sz="4" w:space="0" w:color="000008"/>
              <w:right w:val="nil" w:sz="6" w:space="0" w:color="auto"/>
            </w:tcBorders>
          </w:tcPr>
          <w:p>
            <w:pPr>
              <w:pStyle w:val="TableParagraph"/>
              <w:spacing w:line="300" w:lineRule="exact"/>
              <w:ind w:left="3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    产</w:t>
            </w:r>
            <w:r>
              <w:rPr>
                <w:rFonts w:ascii="Microsoft JhengHei" w:hAnsi="Microsoft JhengHei" w:cs="Microsoft JhengHei" w:eastAsia="Microsoft JhengHei" w:hint="default"/>
                <w:sz w:val="18"/>
                <w:szCs w:val="18"/>
              </w:rPr>
            </w:r>
          </w:p>
        </w:tc>
        <w:tc>
          <w:tcPr>
            <w:tcW w:w="935" w:type="dxa"/>
            <w:tcBorders>
              <w:top w:val="nil" w:sz="6" w:space="0" w:color="auto"/>
              <w:left w:val="nil" w:sz="6" w:space="0" w:color="auto"/>
              <w:bottom w:val="single" w:sz="4" w:space="0" w:color="000008"/>
              <w:right w:val="nil" w:sz="6" w:space="0" w:color="auto"/>
            </w:tcBorders>
          </w:tcPr>
          <w:p>
            <w:pPr>
              <w:pStyle w:val="TableParagraph"/>
              <w:spacing w:line="300" w:lineRule="exact"/>
              <w:ind w:left="3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附注五</w:t>
            </w:r>
            <w:r>
              <w:rPr>
                <w:rFonts w:ascii="Microsoft JhengHei" w:hAnsi="Microsoft JhengHei" w:cs="Microsoft JhengHei" w:eastAsia="Microsoft JhengHei" w:hint="default"/>
                <w:sz w:val="18"/>
                <w:szCs w:val="18"/>
              </w:rPr>
            </w:r>
          </w:p>
        </w:tc>
        <w:tc>
          <w:tcPr>
            <w:tcW w:w="2461" w:type="dxa"/>
            <w:tcBorders>
              <w:top w:val="nil" w:sz="6" w:space="0" w:color="auto"/>
              <w:left w:val="nil" w:sz="6" w:space="0" w:color="auto"/>
              <w:bottom w:val="single" w:sz="4" w:space="0" w:color="000008"/>
              <w:right w:val="nil" w:sz="6" w:space="0" w:color="auto"/>
            </w:tcBorders>
          </w:tcPr>
          <w:p>
            <w:pPr>
              <w:pStyle w:val="TableParagraph"/>
              <w:spacing w:line="300" w:lineRule="exact"/>
              <w:ind w:left="34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2009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8"/>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2579" w:type="dxa"/>
            <w:tcBorders>
              <w:top w:val="nil" w:sz="6" w:space="0" w:color="auto"/>
              <w:left w:val="nil" w:sz="6" w:space="0" w:color="auto"/>
              <w:bottom w:val="single" w:sz="4" w:space="0" w:color="000008"/>
              <w:right w:val="nil" w:sz="6" w:space="0" w:color="auto"/>
            </w:tcBorders>
          </w:tcPr>
          <w:p>
            <w:pPr>
              <w:pStyle w:val="TableParagraph"/>
              <w:spacing w:line="300" w:lineRule="exact"/>
              <w:ind w:left="40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2008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8"/>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69" w:hRule="exact"/>
        </w:trPr>
        <w:tc>
          <w:tcPr>
            <w:tcW w:w="2485" w:type="dxa"/>
            <w:tcBorders>
              <w:top w:val="single" w:sz="4" w:space="0" w:color="000008"/>
              <w:left w:val="nil" w:sz="6" w:space="0" w:color="auto"/>
              <w:bottom w:val="nil" w:sz="6" w:space="0" w:color="auto"/>
              <w:right w:val="nil" w:sz="6" w:space="0" w:color="auto"/>
            </w:tcBorders>
          </w:tcPr>
          <w:p>
            <w:pPr>
              <w:pStyle w:val="TableParagraph"/>
              <w:spacing w:line="293" w:lineRule="exact"/>
              <w:ind w:left="1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w:t>
            </w:r>
            <w:r>
              <w:rPr>
                <w:rFonts w:ascii="Microsoft JhengHei" w:hAnsi="Microsoft JhengHei" w:cs="Microsoft JhengHei" w:eastAsia="Microsoft JhengHei" w:hint="default"/>
                <w:sz w:val="18"/>
                <w:szCs w:val="18"/>
              </w:rPr>
            </w:r>
          </w:p>
        </w:tc>
        <w:tc>
          <w:tcPr>
            <w:tcW w:w="935" w:type="dxa"/>
            <w:tcBorders>
              <w:top w:val="single" w:sz="4" w:space="0" w:color="000008"/>
              <w:left w:val="nil" w:sz="6" w:space="0" w:color="auto"/>
              <w:bottom w:val="nil" w:sz="6" w:space="0" w:color="auto"/>
              <w:right w:val="nil" w:sz="6" w:space="0" w:color="auto"/>
            </w:tcBorders>
          </w:tcPr>
          <w:p>
            <w:pPr/>
          </w:p>
        </w:tc>
        <w:tc>
          <w:tcPr>
            <w:tcW w:w="2461" w:type="dxa"/>
            <w:tcBorders>
              <w:top w:val="single" w:sz="4" w:space="0" w:color="000008"/>
              <w:left w:val="nil" w:sz="6" w:space="0" w:color="auto"/>
              <w:bottom w:val="nil" w:sz="6" w:space="0" w:color="auto"/>
              <w:right w:val="nil" w:sz="6" w:space="0" w:color="auto"/>
            </w:tcBorders>
          </w:tcPr>
          <w:p>
            <w:pPr/>
          </w:p>
        </w:tc>
        <w:tc>
          <w:tcPr>
            <w:tcW w:w="2579" w:type="dxa"/>
            <w:tcBorders>
              <w:top w:val="single" w:sz="4" w:space="0" w:color="000008"/>
              <w:left w:val="nil" w:sz="6" w:space="0" w:color="auto"/>
              <w:bottom w:val="nil" w:sz="6" w:space="0" w:color="auto"/>
              <w:right w:val="nil" w:sz="6" w:space="0" w:color="auto"/>
            </w:tcBorders>
          </w:tcPr>
          <w:p>
            <w:pPr/>
          </w:p>
        </w:tc>
      </w:tr>
      <w:tr>
        <w:trPr>
          <w:trHeight w:val="37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1</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6"/>
              <w:jc w:val="right"/>
              <w:rPr>
                <w:rFonts w:ascii="Times New Roman" w:hAnsi="Times New Roman" w:cs="Times New Roman" w:eastAsia="Times New Roman" w:hint="default"/>
                <w:sz w:val="18"/>
                <w:szCs w:val="18"/>
              </w:rPr>
            </w:pPr>
            <w:r>
              <w:rPr>
                <w:rFonts w:ascii="Times New Roman"/>
                <w:spacing w:val="-1"/>
                <w:sz w:val="18"/>
              </w:rPr>
              <w:t>2,212,299,095.15</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spacing w:val="-1"/>
                <w:sz w:val="18"/>
              </w:rPr>
              <w:t>1,561,216,665.69</w:t>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1"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0" w:right="0"/>
              <w:jc w:val="center"/>
              <w:rPr>
                <w:rFonts w:ascii="Times New Roman" w:hAnsi="Times New Roman" w:cs="Times New Roman" w:eastAsia="Times New Roman" w:hint="default"/>
                <w:sz w:val="18"/>
                <w:szCs w:val="18"/>
              </w:rPr>
            </w:pPr>
            <w:r>
              <w:rPr>
                <w:rFonts w:ascii="Times New Roman"/>
                <w:sz w:val="18"/>
              </w:rPr>
              <w:t>2</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06"/>
              <w:jc w:val="right"/>
              <w:rPr>
                <w:rFonts w:ascii="Times New Roman" w:hAnsi="Times New Roman" w:cs="Times New Roman" w:eastAsia="Times New Roman" w:hint="default"/>
                <w:sz w:val="18"/>
                <w:szCs w:val="18"/>
              </w:rPr>
            </w:pPr>
            <w:r>
              <w:rPr>
                <w:rFonts w:ascii="Times New Roman"/>
                <w:spacing w:val="-1"/>
                <w:sz w:val="18"/>
              </w:rPr>
              <w:t>41,320,985.95</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18"/>
                <w:szCs w:val="18"/>
              </w:rPr>
            </w:pPr>
            <w:r>
              <w:rPr>
                <w:rFonts w:ascii="Times New Roman"/>
                <w:spacing w:val="-1"/>
                <w:sz w:val="18"/>
              </w:rPr>
              <w:t>62,208,667.64</w:t>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9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0" w:right="0"/>
              <w:jc w:val="center"/>
              <w:rPr>
                <w:rFonts w:ascii="Times New Roman" w:hAnsi="Times New Roman" w:cs="Times New Roman" w:eastAsia="Times New Roman" w:hint="default"/>
                <w:sz w:val="18"/>
                <w:szCs w:val="18"/>
              </w:rPr>
            </w:pPr>
            <w:r>
              <w:rPr>
                <w:rFonts w:ascii="Times New Roman"/>
                <w:sz w:val="18"/>
              </w:rPr>
              <w:t>3</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06"/>
              <w:jc w:val="right"/>
              <w:rPr>
                <w:rFonts w:ascii="Times New Roman" w:hAnsi="Times New Roman" w:cs="Times New Roman" w:eastAsia="Times New Roman" w:hint="default"/>
                <w:sz w:val="18"/>
                <w:szCs w:val="18"/>
              </w:rPr>
            </w:pPr>
            <w:r>
              <w:rPr>
                <w:rFonts w:ascii="Times New Roman"/>
                <w:color w:val="003366"/>
                <w:spacing w:val="-1"/>
                <w:sz w:val="18"/>
              </w:rPr>
              <w:t>476,613,006.71</w:t>
            </w:r>
            <w:r>
              <w:rPr>
                <w:rFonts w:ascii="Times New Roman"/>
                <w:spacing w:val="-1"/>
                <w:sz w:val="18"/>
              </w:rPr>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8"/>
                <w:szCs w:val="18"/>
              </w:rPr>
            </w:pPr>
            <w:r>
              <w:rPr>
                <w:rFonts w:ascii="Times New Roman"/>
                <w:color w:val="003366"/>
                <w:spacing w:val="-1"/>
                <w:sz w:val="18"/>
              </w:rPr>
              <w:t>244,554,040.72</w:t>
            </w:r>
            <w:r>
              <w:rPr>
                <w:rFonts w:ascii="Times New Roman"/>
                <w:spacing w:val="-1"/>
                <w:sz w:val="18"/>
              </w:rPr>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4"/>
              <w:jc w:val="right"/>
              <w:rPr>
                <w:rFonts w:ascii="Times New Roman" w:hAnsi="Times New Roman" w:cs="Times New Roman" w:eastAsia="Times New Roman" w:hint="default"/>
                <w:sz w:val="18"/>
                <w:szCs w:val="18"/>
              </w:rPr>
            </w:pPr>
            <w:r>
              <w:rPr>
                <w:rFonts w:ascii="Times New Roman"/>
                <w:color w:val="003366"/>
                <w:w w:val="99"/>
                <w:sz w:val="18"/>
              </w:rPr>
              <w:t>-</w:t>
            </w:r>
            <w:r>
              <w:rPr>
                <w:rFonts w:ascii="Times New Roman"/>
                <w:sz w:val="18"/>
              </w:rPr>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color w:val="003366"/>
                <w:w w:val="99"/>
                <w:sz w:val="18"/>
              </w:rPr>
              <w:t>-</w:t>
            </w:r>
            <w:r>
              <w:rPr>
                <w:rFonts w:ascii="Times New Roman"/>
                <w:sz w:val="18"/>
              </w:rPr>
            </w:r>
          </w:p>
        </w:tc>
      </w:tr>
      <w:tr>
        <w:trPr>
          <w:trHeight w:val="371"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0" w:right="0"/>
              <w:jc w:val="center"/>
              <w:rPr>
                <w:rFonts w:ascii="Times New Roman" w:hAnsi="Times New Roman" w:cs="Times New Roman" w:eastAsia="Times New Roman" w:hint="default"/>
                <w:sz w:val="18"/>
                <w:szCs w:val="18"/>
              </w:rPr>
            </w:pPr>
            <w:r>
              <w:rPr>
                <w:rFonts w:ascii="Times New Roman"/>
                <w:sz w:val="18"/>
              </w:rPr>
              <w:t>4</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06"/>
              <w:jc w:val="right"/>
              <w:rPr>
                <w:rFonts w:ascii="Times New Roman" w:hAnsi="Times New Roman" w:cs="Times New Roman" w:eastAsia="Times New Roman" w:hint="default"/>
                <w:sz w:val="18"/>
                <w:szCs w:val="18"/>
              </w:rPr>
            </w:pPr>
            <w:r>
              <w:rPr>
                <w:rFonts w:ascii="Times New Roman"/>
                <w:spacing w:val="-1"/>
                <w:sz w:val="18"/>
              </w:rPr>
              <w:t>101,502,867.65</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18"/>
                <w:szCs w:val="18"/>
              </w:rPr>
            </w:pPr>
            <w:r>
              <w:rPr>
                <w:rFonts w:ascii="Times New Roman"/>
                <w:spacing w:val="-1"/>
                <w:sz w:val="18"/>
              </w:rPr>
              <w:t>253,666,455.42</w:t>
            </w:r>
          </w:p>
        </w:tc>
      </w:tr>
      <w:tr>
        <w:trPr>
          <w:trHeight w:val="737" w:hRule="exact"/>
        </w:trPr>
        <w:tc>
          <w:tcPr>
            <w:tcW w:w="2485" w:type="dxa"/>
            <w:tcBorders>
              <w:top w:val="nil" w:sz="6" w:space="0" w:color="auto"/>
              <w:left w:val="nil" w:sz="6" w:space="0" w:color="auto"/>
              <w:bottom w:val="nil" w:sz="6" w:space="0" w:color="auto"/>
              <w:right w:val="nil" w:sz="6" w:space="0" w:color="auto"/>
            </w:tcBorders>
          </w:tcPr>
          <w:p>
            <w:pPr>
              <w:pStyle w:val="TableParagraph"/>
              <w:tabs>
                <w:tab w:pos="830" w:val="left" w:leader="none"/>
              </w:tabs>
              <w:spacing w:line="374" w:lineRule="auto" w:before="27"/>
              <w:ind w:left="290" w:right="212"/>
              <w:jc w:val="left"/>
              <w:rPr>
                <w:rFonts w:ascii="宋体" w:hAnsi="宋体" w:cs="宋体" w:eastAsia="宋体" w:hint="default"/>
                <w:sz w:val="18"/>
                <w:szCs w:val="18"/>
              </w:rPr>
            </w:pPr>
            <w:r>
              <w:rPr>
                <w:rFonts w:ascii="宋体" w:hAnsi="宋体" w:cs="宋体" w:eastAsia="宋体" w:hint="default"/>
                <w:sz w:val="18"/>
                <w:szCs w:val="18"/>
              </w:rPr>
              <w:t>存</w:t>
              <w:tab/>
              <w:t>货 一年内到期的非流动资产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0" w:right="0"/>
              <w:jc w:val="center"/>
              <w:rPr>
                <w:rFonts w:ascii="Times New Roman" w:hAnsi="Times New Roman" w:cs="Times New Roman" w:eastAsia="Times New Roman" w:hint="default"/>
                <w:sz w:val="18"/>
                <w:szCs w:val="18"/>
              </w:rPr>
            </w:pPr>
            <w:r>
              <w:rPr>
                <w:rFonts w:ascii="Times New Roman"/>
                <w:sz w:val="18"/>
              </w:rPr>
              <w:t>5</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06"/>
              <w:jc w:val="right"/>
              <w:rPr>
                <w:rFonts w:ascii="Times New Roman" w:hAnsi="Times New Roman" w:cs="Times New Roman" w:eastAsia="Times New Roman" w:hint="default"/>
                <w:sz w:val="18"/>
                <w:szCs w:val="18"/>
              </w:rPr>
            </w:pPr>
            <w:r>
              <w:rPr>
                <w:rFonts w:ascii="Times New Roman"/>
                <w:spacing w:val="-1"/>
                <w:sz w:val="18"/>
              </w:rPr>
              <w:t>82,095,183.14</w:t>
            </w:r>
          </w:p>
          <w:p>
            <w:pPr>
              <w:pStyle w:val="TableParagraph"/>
              <w:spacing w:line="240" w:lineRule="auto" w:before="160"/>
              <w:ind w:right="4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18"/>
                <w:szCs w:val="18"/>
              </w:rPr>
            </w:pPr>
            <w:r>
              <w:rPr>
                <w:rFonts w:ascii="Times New Roman"/>
                <w:spacing w:val="-1"/>
                <w:sz w:val="18"/>
              </w:rPr>
              <w:t>70,774,254.66</w:t>
            </w: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0" w:right="0"/>
              <w:jc w:val="center"/>
              <w:rPr>
                <w:rFonts w:ascii="Times New Roman" w:hAnsi="Times New Roman" w:cs="Times New Roman" w:eastAsia="Times New Roman" w:hint="default"/>
                <w:sz w:val="18"/>
                <w:szCs w:val="18"/>
              </w:rPr>
            </w:pPr>
            <w:r>
              <w:rPr>
                <w:rFonts w:ascii="Times New Roman"/>
                <w:sz w:val="18"/>
              </w:rPr>
              <w:t>6</w:t>
            </w:r>
          </w:p>
        </w:tc>
        <w:tc>
          <w:tcPr>
            <w:tcW w:w="2461" w:type="dxa"/>
            <w:tcBorders>
              <w:top w:val="nil" w:sz="6" w:space="0" w:color="auto"/>
              <w:left w:val="nil" w:sz="6" w:space="0" w:color="auto"/>
              <w:bottom w:val="single" w:sz="4" w:space="0" w:color="000008"/>
              <w:right w:val="nil" w:sz="6" w:space="0" w:color="auto"/>
            </w:tcBorders>
          </w:tcPr>
          <w:p>
            <w:pPr>
              <w:pStyle w:val="TableParagraph"/>
              <w:spacing w:line="240" w:lineRule="auto" w:before="81"/>
              <w:ind w:right="406"/>
              <w:jc w:val="right"/>
              <w:rPr>
                <w:rFonts w:ascii="Times New Roman" w:hAnsi="Times New Roman" w:cs="Times New Roman" w:eastAsia="Times New Roman" w:hint="default"/>
                <w:sz w:val="18"/>
                <w:szCs w:val="18"/>
              </w:rPr>
            </w:pPr>
            <w:r>
              <w:rPr>
                <w:rFonts w:ascii="Times New Roman"/>
                <w:spacing w:val="-1"/>
                <w:sz w:val="18"/>
              </w:rPr>
              <w:t>6,999,794.63</w:t>
            </w:r>
          </w:p>
        </w:tc>
        <w:tc>
          <w:tcPr>
            <w:tcW w:w="2579" w:type="dxa"/>
            <w:tcBorders>
              <w:top w:val="nil" w:sz="6" w:space="0" w:color="auto"/>
              <w:left w:val="nil" w:sz="6" w:space="0" w:color="auto"/>
              <w:bottom w:val="single" w:sz="4" w:space="0" w:color="000008"/>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1,848,114.80</w:t>
            </w:r>
          </w:p>
        </w:tc>
      </w:tr>
      <w:tr>
        <w:trPr>
          <w:trHeight w:val="370"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98" w:lineRule="exact"/>
              <w:ind w:left="4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single" w:sz="4" w:space="0" w:color="000008"/>
              <w:left w:val="nil" w:sz="6" w:space="0" w:color="auto"/>
              <w:bottom w:val="single" w:sz="4" w:space="0" w:color="333333"/>
              <w:right w:val="nil" w:sz="6" w:space="0" w:color="auto"/>
            </w:tcBorders>
          </w:tcPr>
          <w:p>
            <w:pPr>
              <w:pStyle w:val="TableParagraph"/>
              <w:spacing w:line="240" w:lineRule="auto" w:before="93"/>
              <w:ind w:right="400"/>
              <w:jc w:val="right"/>
              <w:rPr>
                <w:rFonts w:ascii="Times New Roman" w:hAnsi="Times New Roman" w:cs="Times New Roman" w:eastAsia="Times New Roman" w:hint="default"/>
                <w:sz w:val="18"/>
                <w:szCs w:val="18"/>
              </w:rPr>
            </w:pPr>
            <w:r>
              <w:rPr>
                <w:rFonts w:ascii="Times New Roman"/>
                <w:b/>
                <w:spacing w:val="-1"/>
                <w:sz w:val="18"/>
              </w:rPr>
              <w:t>2,920,830,933.23</w:t>
            </w:r>
            <w:r>
              <w:rPr>
                <w:rFonts w:ascii="Times New Roman"/>
                <w:spacing w:val="-1"/>
                <w:sz w:val="18"/>
              </w:rPr>
            </w:r>
          </w:p>
        </w:tc>
        <w:tc>
          <w:tcPr>
            <w:tcW w:w="2579" w:type="dxa"/>
            <w:tcBorders>
              <w:top w:val="single" w:sz="4" w:space="0" w:color="000008"/>
              <w:left w:val="nil" w:sz="6" w:space="0" w:color="auto"/>
              <w:bottom w:val="single" w:sz="4" w:space="0" w:color="333333"/>
              <w:right w:val="nil" w:sz="6" w:space="0" w:color="auto"/>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b/>
                <w:spacing w:val="-1"/>
                <w:sz w:val="18"/>
              </w:rPr>
              <w:t>2,194,268,198.93</w:t>
            </w:r>
            <w:r>
              <w:rPr>
                <w:rFonts w:ascii="Times New Roman"/>
                <w:spacing w:val="-1"/>
                <w:sz w:val="18"/>
              </w:rPr>
            </w:r>
          </w:p>
        </w:tc>
      </w:tr>
      <w:tr>
        <w:trPr>
          <w:trHeight w:val="369"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98" w:lineRule="exact"/>
              <w:ind w:left="1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w:t>
            </w:r>
            <w:r>
              <w:rPr>
                <w:rFonts w:ascii="Microsoft JhengHei" w:hAnsi="Microsoft JhengHei" w:cs="Microsoft JhengHei" w:eastAsia="Microsoft JhengHei" w:hint="default"/>
                <w:sz w:val="18"/>
                <w:szCs w:val="18"/>
              </w:rPr>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
        </w:tc>
      </w:tr>
      <w:tr>
        <w:trPr>
          <w:trHeight w:val="37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7</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6"/>
              <w:jc w:val="right"/>
              <w:rPr>
                <w:rFonts w:ascii="Times New Roman" w:hAnsi="Times New Roman" w:cs="Times New Roman" w:eastAsia="Times New Roman" w:hint="default"/>
                <w:sz w:val="18"/>
                <w:szCs w:val="18"/>
              </w:rPr>
            </w:pPr>
            <w:r>
              <w:rPr>
                <w:rFonts w:ascii="Times New Roman"/>
                <w:spacing w:val="-1"/>
                <w:sz w:val="18"/>
              </w:rPr>
              <w:t>6,199,690.00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1"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0" w:right="0"/>
              <w:jc w:val="center"/>
              <w:rPr>
                <w:rFonts w:ascii="Times New Roman" w:hAnsi="Times New Roman" w:cs="Times New Roman" w:eastAsia="Times New Roman" w:hint="default"/>
                <w:sz w:val="18"/>
                <w:szCs w:val="18"/>
              </w:rPr>
            </w:pPr>
            <w:r>
              <w:rPr>
                <w:rFonts w:ascii="Times New Roman"/>
                <w:sz w:val="18"/>
              </w:rPr>
              <w:t>8</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06"/>
              <w:jc w:val="right"/>
              <w:rPr>
                <w:rFonts w:ascii="Times New Roman" w:hAnsi="Times New Roman" w:cs="Times New Roman" w:eastAsia="Times New Roman" w:hint="default"/>
                <w:sz w:val="18"/>
                <w:szCs w:val="18"/>
              </w:rPr>
            </w:pPr>
            <w:r>
              <w:rPr>
                <w:rFonts w:ascii="Times New Roman"/>
                <w:spacing w:val="-1"/>
                <w:sz w:val="18"/>
              </w:rPr>
              <w:t>308,943,336.59</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18"/>
                <w:szCs w:val="18"/>
              </w:rPr>
            </w:pPr>
            <w:r>
              <w:rPr>
                <w:rFonts w:ascii="Times New Roman"/>
                <w:spacing w:val="-1"/>
                <w:sz w:val="18"/>
              </w:rPr>
              <w:t>285,316,047.26</w:t>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9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0" w:right="0"/>
              <w:jc w:val="center"/>
              <w:rPr>
                <w:rFonts w:ascii="Times New Roman" w:hAnsi="Times New Roman" w:cs="Times New Roman" w:eastAsia="Times New Roman" w:hint="default"/>
                <w:sz w:val="18"/>
                <w:szCs w:val="18"/>
              </w:rPr>
            </w:pPr>
            <w:r>
              <w:rPr>
                <w:rFonts w:ascii="Times New Roman"/>
                <w:sz w:val="18"/>
              </w:rPr>
              <w:t>9</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06"/>
              <w:jc w:val="right"/>
              <w:rPr>
                <w:rFonts w:ascii="Times New Roman" w:hAnsi="Times New Roman" w:cs="Times New Roman" w:eastAsia="Times New Roman" w:hint="default"/>
                <w:sz w:val="18"/>
                <w:szCs w:val="18"/>
              </w:rPr>
            </w:pPr>
            <w:r>
              <w:rPr>
                <w:rFonts w:ascii="Times New Roman"/>
                <w:spacing w:val="-1"/>
                <w:sz w:val="18"/>
              </w:rPr>
              <w:t>547,513,252.25</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8"/>
                <w:szCs w:val="18"/>
              </w:rPr>
            </w:pPr>
            <w:r>
              <w:rPr>
                <w:rFonts w:ascii="Times New Roman"/>
                <w:spacing w:val="-1"/>
                <w:sz w:val="18"/>
              </w:rPr>
              <w:t>589,003,679.81</w:t>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0" w:right="0"/>
              <w:jc w:val="center"/>
              <w:rPr>
                <w:rFonts w:ascii="Times New Roman" w:hAnsi="Times New Roman" w:cs="Times New Roman" w:eastAsia="Times New Roman" w:hint="default"/>
                <w:sz w:val="18"/>
                <w:szCs w:val="18"/>
              </w:rPr>
            </w:pPr>
            <w:r>
              <w:rPr>
                <w:rFonts w:ascii="Times New Roman"/>
                <w:sz w:val="18"/>
              </w:rPr>
              <w:t>10</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6"/>
              <w:jc w:val="right"/>
              <w:rPr>
                <w:rFonts w:ascii="Times New Roman" w:hAnsi="Times New Roman" w:cs="Times New Roman" w:eastAsia="Times New Roman" w:hint="default"/>
                <w:sz w:val="18"/>
                <w:szCs w:val="18"/>
              </w:rPr>
            </w:pPr>
            <w:r>
              <w:rPr>
                <w:rFonts w:ascii="Times New Roman"/>
                <w:spacing w:val="-1"/>
                <w:sz w:val="18"/>
              </w:rPr>
              <w:t>1,473,384,401.41</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1,589,039,103.59</w:t>
            </w:r>
          </w:p>
        </w:tc>
      </w:tr>
      <w:tr>
        <w:trPr>
          <w:trHeight w:val="371"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0" w:right="0"/>
              <w:jc w:val="center"/>
              <w:rPr>
                <w:rFonts w:ascii="Times New Roman" w:hAnsi="Times New Roman" w:cs="Times New Roman" w:eastAsia="Times New Roman" w:hint="default"/>
                <w:sz w:val="18"/>
                <w:szCs w:val="18"/>
              </w:rPr>
            </w:pPr>
            <w:r>
              <w:rPr>
                <w:rFonts w:ascii="Times New Roman"/>
                <w:sz w:val="18"/>
              </w:rPr>
              <w:t>11</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06"/>
              <w:jc w:val="right"/>
              <w:rPr>
                <w:rFonts w:ascii="Times New Roman" w:hAnsi="Times New Roman" w:cs="Times New Roman" w:eastAsia="Times New Roman" w:hint="default"/>
                <w:sz w:val="18"/>
                <w:szCs w:val="18"/>
              </w:rPr>
            </w:pPr>
            <w:r>
              <w:rPr>
                <w:rFonts w:ascii="Times New Roman"/>
                <w:spacing w:val="-1"/>
                <w:sz w:val="18"/>
              </w:rPr>
              <w:t>704,824,775.67</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18"/>
                <w:szCs w:val="18"/>
              </w:rPr>
            </w:pPr>
            <w:r>
              <w:rPr>
                <w:rFonts w:ascii="Times New Roman"/>
                <w:spacing w:val="-1"/>
                <w:sz w:val="18"/>
              </w:rPr>
              <w:t>463,729,925.61</w:t>
            </w:r>
          </w:p>
        </w:tc>
      </w:tr>
      <w:tr>
        <w:trPr>
          <w:trHeight w:val="737"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374" w:lineRule="auto" w:before="27"/>
              <w:ind w:left="290" w:right="1112"/>
              <w:jc w:val="left"/>
              <w:rPr>
                <w:rFonts w:ascii="宋体" w:hAnsi="宋体" w:cs="宋体" w:eastAsia="宋体" w:hint="default"/>
                <w:sz w:val="18"/>
                <w:szCs w:val="18"/>
              </w:rPr>
            </w:pPr>
            <w:r>
              <w:rPr>
                <w:rFonts w:ascii="宋体" w:hAnsi="宋体" w:cs="宋体" w:eastAsia="宋体" w:hint="default"/>
                <w:sz w:val="18"/>
                <w:szCs w:val="18"/>
              </w:rPr>
              <w:t>工程物资 固定资产清理</w:t>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60"/>
              <w:ind w:right="4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0" w:right="0"/>
              <w:jc w:val="center"/>
              <w:rPr>
                <w:rFonts w:ascii="Times New Roman" w:hAnsi="Times New Roman" w:cs="Times New Roman" w:eastAsia="Times New Roman" w:hint="default"/>
                <w:sz w:val="18"/>
                <w:szCs w:val="18"/>
              </w:rPr>
            </w:pPr>
            <w:r>
              <w:rPr>
                <w:rFonts w:ascii="Times New Roman"/>
                <w:sz w:val="18"/>
              </w:rPr>
              <w:t>12</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6"/>
              <w:jc w:val="right"/>
              <w:rPr>
                <w:rFonts w:ascii="Times New Roman" w:hAnsi="Times New Roman" w:cs="Times New Roman" w:eastAsia="Times New Roman" w:hint="default"/>
                <w:sz w:val="18"/>
                <w:szCs w:val="18"/>
              </w:rPr>
            </w:pPr>
            <w:r>
              <w:rPr>
                <w:rFonts w:ascii="Times New Roman"/>
                <w:spacing w:val="-1"/>
                <w:sz w:val="18"/>
              </w:rPr>
              <w:t>27,170,712.53</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23,207,470.46</w:t>
            </w:r>
          </w:p>
        </w:tc>
      </w:tr>
      <w:tr>
        <w:trPr>
          <w:trHeight w:val="371"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0" w:right="0"/>
              <w:jc w:val="center"/>
              <w:rPr>
                <w:rFonts w:ascii="Times New Roman" w:hAnsi="Times New Roman" w:cs="Times New Roman" w:eastAsia="Times New Roman" w:hint="default"/>
                <w:sz w:val="18"/>
                <w:szCs w:val="18"/>
              </w:rPr>
            </w:pPr>
            <w:r>
              <w:rPr>
                <w:rFonts w:ascii="Times New Roman"/>
                <w:sz w:val="18"/>
              </w:rPr>
              <w:t>13</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06"/>
              <w:jc w:val="right"/>
              <w:rPr>
                <w:rFonts w:ascii="Times New Roman" w:hAnsi="Times New Roman" w:cs="Times New Roman" w:eastAsia="Times New Roman" w:hint="default"/>
                <w:sz w:val="18"/>
                <w:szCs w:val="18"/>
              </w:rPr>
            </w:pPr>
            <w:r>
              <w:rPr>
                <w:rFonts w:ascii="Times New Roman"/>
                <w:spacing w:val="-1"/>
                <w:sz w:val="18"/>
              </w:rPr>
              <w:t>929,982,002.02</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18"/>
                <w:szCs w:val="18"/>
              </w:rPr>
            </w:pPr>
            <w:r>
              <w:rPr>
                <w:rFonts w:ascii="Times New Roman"/>
                <w:spacing w:val="-1"/>
                <w:sz w:val="18"/>
              </w:rPr>
              <w:t>931,911,818.39</w:t>
            </w:r>
          </w:p>
        </w:tc>
      </w:tr>
      <w:tr>
        <w:trPr>
          <w:trHeight w:val="737"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374" w:lineRule="auto" w:before="27"/>
              <w:ind w:left="290" w:right="1472"/>
              <w:jc w:val="left"/>
              <w:rPr>
                <w:rFonts w:ascii="宋体" w:hAnsi="宋体" w:cs="宋体" w:eastAsia="宋体" w:hint="default"/>
                <w:sz w:val="18"/>
                <w:szCs w:val="18"/>
              </w:rPr>
            </w:pPr>
            <w:r>
              <w:rPr>
                <w:rFonts w:ascii="宋体" w:hAnsi="宋体" w:cs="宋体" w:eastAsia="宋体" w:hint="default"/>
                <w:sz w:val="18"/>
                <w:szCs w:val="18"/>
              </w:rPr>
              <w:t>开发支出 商誉</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25"/>
                <w:szCs w:val="2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14</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08" w:right="0" w:firstLine="885"/>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60"/>
              <w:ind w:left="1108" w:right="0"/>
              <w:jc w:val="left"/>
              <w:rPr>
                <w:rFonts w:ascii="Times New Roman" w:hAnsi="Times New Roman" w:cs="Times New Roman" w:eastAsia="Times New Roman" w:hint="default"/>
                <w:sz w:val="18"/>
                <w:szCs w:val="18"/>
              </w:rPr>
            </w:pPr>
            <w:r>
              <w:rPr>
                <w:rFonts w:ascii="Times New Roman"/>
                <w:sz w:val="18"/>
              </w:rPr>
              <w:t>8,442,822.35</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527" w:right="0" w:firstLine="885"/>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60"/>
              <w:ind w:left="1527" w:right="0"/>
              <w:jc w:val="left"/>
              <w:rPr>
                <w:rFonts w:ascii="Times New Roman" w:hAnsi="Times New Roman" w:cs="Times New Roman" w:eastAsia="Times New Roman" w:hint="default"/>
                <w:sz w:val="18"/>
                <w:szCs w:val="18"/>
              </w:rPr>
            </w:pPr>
            <w:r>
              <w:rPr>
                <w:rFonts w:ascii="Times New Roman"/>
                <w:sz w:val="18"/>
              </w:rPr>
              <w:t>8,442,822.35</w:t>
            </w:r>
          </w:p>
        </w:tc>
      </w:tr>
      <w:tr>
        <w:trPr>
          <w:trHeight w:val="36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0" w:right="0"/>
              <w:jc w:val="center"/>
              <w:rPr>
                <w:rFonts w:ascii="Times New Roman" w:hAnsi="Times New Roman" w:cs="Times New Roman" w:eastAsia="Times New Roman" w:hint="default"/>
                <w:sz w:val="18"/>
                <w:szCs w:val="18"/>
              </w:rPr>
            </w:pPr>
            <w:r>
              <w:rPr>
                <w:rFonts w:ascii="Times New Roman"/>
                <w:sz w:val="18"/>
              </w:rPr>
              <w:t>15</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6"/>
              <w:jc w:val="right"/>
              <w:rPr>
                <w:rFonts w:ascii="Times New Roman" w:hAnsi="Times New Roman" w:cs="Times New Roman" w:eastAsia="Times New Roman" w:hint="default"/>
                <w:sz w:val="18"/>
                <w:szCs w:val="18"/>
              </w:rPr>
            </w:pPr>
            <w:r>
              <w:rPr>
                <w:rFonts w:ascii="Times New Roman"/>
                <w:spacing w:val="-1"/>
                <w:sz w:val="18"/>
              </w:rPr>
              <w:t>27,598,799.31</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15,819,093.24</w:t>
            </w:r>
          </w:p>
        </w:tc>
      </w:tr>
      <w:tr>
        <w:trPr>
          <w:trHeight w:val="371"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0" w:right="0"/>
              <w:jc w:val="center"/>
              <w:rPr>
                <w:rFonts w:ascii="Times New Roman" w:hAnsi="Times New Roman" w:cs="Times New Roman" w:eastAsia="Times New Roman" w:hint="default"/>
                <w:sz w:val="18"/>
                <w:szCs w:val="18"/>
              </w:rPr>
            </w:pPr>
            <w:r>
              <w:rPr>
                <w:rFonts w:ascii="Times New Roman"/>
                <w:sz w:val="18"/>
              </w:rPr>
              <w:t>16</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06"/>
              <w:jc w:val="right"/>
              <w:rPr>
                <w:rFonts w:ascii="Times New Roman" w:hAnsi="Times New Roman" w:cs="Times New Roman" w:eastAsia="Times New Roman" w:hint="default"/>
                <w:sz w:val="18"/>
                <w:szCs w:val="18"/>
              </w:rPr>
            </w:pPr>
            <w:r>
              <w:rPr>
                <w:rFonts w:ascii="Times New Roman"/>
                <w:spacing w:val="-1"/>
                <w:sz w:val="18"/>
              </w:rPr>
              <w:t>51,663,681.22</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18"/>
                <w:szCs w:val="18"/>
              </w:rPr>
            </w:pPr>
            <w:r>
              <w:rPr>
                <w:rFonts w:ascii="Times New Roman"/>
                <w:spacing w:val="-1"/>
                <w:sz w:val="18"/>
              </w:rPr>
              <w:t>48,267,369.21</w:t>
            </w:r>
          </w:p>
        </w:tc>
      </w:tr>
      <w:tr>
        <w:trPr>
          <w:trHeight w:val="357"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0" w:right="0"/>
              <w:jc w:val="center"/>
              <w:rPr>
                <w:rFonts w:ascii="Times New Roman" w:hAnsi="Times New Roman" w:cs="Times New Roman" w:eastAsia="Times New Roman" w:hint="default"/>
                <w:sz w:val="18"/>
                <w:szCs w:val="18"/>
              </w:rPr>
            </w:pPr>
            <w:r>
              <w:rPr>
                <w:rFonts w:ascii="Times New Roman"/>
                <w:sz w:val="18"/>
              </w:rPr>
              <w:t>17</w:t>
            </w:r>
          </w:p>
        </w:tc>
        <w:tc>
          <w:tcPr>
            <w:tcW w:w="2461" w:type="dxa"/>
            <w:tcBorders>
              <w:top w:val="nil" w:sz="6" w:space="0" w:color="auto"/>
              <w:left w:val="nil" w:sz="6" w:space="0" w:color="auto"/>
              <w:bottom w:val="single" w:sz="4" w:space="0" w:color="000008"/>
              <w:right w:val="nil" w:sz="6" w:space="0" w:color="auto"/>
            </w:tcBorders>
          </w:tcPr>
          <w:p>
            <w:pPr>
              <w:pStyle w:val="TableParagraph"/>
              <w:spacing w:line="240" w:lineRule="auto" w:before="83"/>
              <w:ind w:right="406"/>
              <w:jc w:val="right"/>
              <w:rPr>
                <w:rFonts w:ascii="Times New Roman" w:hAnsi="Times New Roman" w:cs="Times New Roman" w:eastAsia="Times New Roman" w:hint="default"/>
                <w:sz w:val="18"/>
                <w:szCs w:val="18"/>
              </w:rPr>
            </w:pPr>
            <w:r>
              <w:rPr>
                <w:rFonts w:ascii="Times New Roman"/>
                <w:spacing w:val="-1"/>
                <w:sz w:val="18"/>
              </w:rPr>
              <w:t>4,449,172.82</w:t>
            </w:r>
          </w:p>
        </w:tc>
        <w:tc>
          <w:tcPr>
            <w:tcW w:w="2579" w:type="dxa"/>
            <w:tcBorders>
              <w:top w:val="nil" w:sz="6" w:space="0" w:color="auto"/>
              <w:left w:val="nil" w:sz="6" w:space="0" w:color="auto"/>
              <w:bottom w:val="single" w:sz="4" w:space="0" w:color="000008"/>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18"/>
                <w:szCs w:val="18"/>
              </w:rPr>
            </w:pPr>
            <w:r>
              <w:rPr>
                <w:rFonts w:ascii="Times New Roman"/>
                <w:spacing w:val="-1"/>
                <w:sz w:val="18"/>
              </w:rPr>
              <w:t>5,604,977.67</w:t>
            </w:r>
          </w:p>
        </w:tc>
      </w:tr>
      <w:tr>
        <w:trPr>
          <w:trHeight w:val="370"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98" w:lineRule="exact"/>
              <w:ind w:left="7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single" w:sz="4" w:space="0" w:color="000008"/>
              <w:left w:val="nil" w:sz="6" w:space="0" w:color="auto"/>
              <w:bottom w:val="single" w:sz="4" w:space="0" w:color="000008"/>
              <w:right w:val="nil" w:sz="6" w:space="0" w:color="auto"/>
            </w:tcBorders>
          </w:tcPr>
          <w:p>
            <w:pPr>
              <w:pStyle w:val="TableParagraph"/>
              <w:spacing w:line="240" w:lineRule="auto" w:before="93"/>
              <w:ind w:right="400"/>
              <w:jc w:val="right"/>
              <w:rPr>
                <w:rFonts w:ascii="Times New Roman" w:hAnsi="Times New Roman" w:cs="Times New Roman" w:eastAsia="Times New Roman" w:hint="default"/>
                <w:sz w:val="18"/>
                <w:szCs w:val="18"/>
              </w:rPr>
            </w:pPr>
            <w:r>
              <w:rPr>
                <w:rFonts w:ascii="Times New Roman"/>
                <w:b/>
                <w:spacing w:val="-1"/>
                <w:sz w:val="18"/>
              </w:rPr>
              <w:t>4,090,172,646.17</w:t>
            </w:r>
            <w:r>
              <w:rPr>
                <w:rFonts w:ascii="Times New Roman"/>
                <w:spacing w:val="-1"/>
                <w:sz w:val="18"/>
              </w:rPr>
            </w:r>
          </w:p>
        </w:tc>
        <w:tc>
          <w:tcPr>
            <w:tcW w:w="2579" w:type="dxa"/>
            <w:tcBorders>
              <w:top w:val="single" w:sz="4" w:space="0" w:color="000008"/>
              <w:left w:val="nil" w:sz="6" w:space="0" w:color="auto"/>
              <w:bottom w:val="single" w:sz="4" w:space="0" w:color="000008"/>
              <w:right w:val="nil" w:sz="6" w:space="0" w:color="auto"/>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b/>
                <w:spacing w:val="-1"/>
                <w:sz w:val="18"/>
              </w:rPr>
              <w:t>3,960,342,307.59</w:t>
            </w:r>
            <w:r>
              <w:rPr>
                <w:rFonts w:ascii="Times New Roman"/>
                <w:spacing w:val="-1"/>
                <w:sz w:val="18"/>
              </w:rPr>
            </w:r>
          </w:p>
        </w:tc>
      </w:tr>
      <w:tr>
        <w:trPr>
          <w:trHeight w:val="386"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98" w:lineRule="exact"/>
              <w:ind w:left="3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935" w:type="dxa"/>
            <w:tcBorders>
              <w:top w:val="nil" w:sz="6" w:space="0" w:color="auto"/>
              <w:left w:val="nil" w:sz="6" w:space="0" w:color="auto"/>
              <w:bottom w:val="nil" w:sz="6" w:space="0" w:color="auto"/>
              <w:right w:val="nil" w:sz="6" w:space="0" w:color="auto"/>
            </w:tcBorders>
          </w:tcPr>
          <w:p>
            <w:pPr/>
          </w:p>
        </w:tc>
        <w:tc>
          <w:tcPr>
            <w:tcW w:w="2461" w:type="dxa"/>
            <w:tcBorders>
              <w:top w:val="single" w:sz="4" w:space="0" w:color="000008"/>
              <w:left w:val="nil" w:sz="6" w:space="0" w:color="auto"/>
              <w:bottom w:val="single" w:sz="17" w:space="0" w:color="000008"/>
              <w:right w:val="nil" w:sz="6" w:space="0" w:color="auto"/>
            </w:tcBorders>
          </w:tcPr>
          <w:p>
            <w:pPr>
              <w:pStyle w:val="TableParagraph"/>
              <w:spacing w:line="240" w:lineRule="auto" w:before="93"/>
              <w:ind w:right="400"/>
              <w:jc w:val="right"/>
              <w:rPr>
                <w:rFonts w:ascii="Times New Roman" w:hAnsi="Times New Roman" w:cs="Times New Roman" w:eastAsia="Times New Roman" w:hint="default"/>
                <w:sz w:val="18"/>
                <w:szCs w:val="18"/>
              </w:rPr>
            </w:pPr>
            <w:r>
              <w:rPr>
                <w:rFonts w:ascii="Times New Roman"/>
                <w:b/>
                <w:spacing w:val="-1"/>
                <w:sz w:val="18"/>
              </w:rPr>
              <w:t>7,011,003,579.40</w:t>
            </w:r>
            <w:r>
              <w:rPr>
                <w:rFonts w:ascii="Times New Roman"/>
                <w:spacing w:val="-1"/>
                <w:sz w:val="18"/>
              </w:rPr>
            </w:r>
          </w:p>
        </w:tc>
        <w:tc>
          <w:tcPr>
            <w:tcW w:w="2579" w:type="dxa"/>
            <w:tcBorders>
              <w:top w:val="single" w:sz="4" w:space="0" w:color="000008"/>
              <w:left w:val="nil" w:sz="6" w:space="0" w:color="auto"/>
              <w:bottom w:val="single" w:sz="17" w:space="0" w:color="000008"/>
              <w:right w:val="nil" w:sz="6" w:space="0" w:color="auto"/>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b/>
                <w:spacing w:val="-1"/>
                <w:sz w:val="18"/>
              </w:rPr>
              <w:t>6,154,610,506.52</w:t>
            </w:r>
            <w:r>
              <w:rPr>
                <w:rFonts w:ascii="Times New Roman"/>
                <w:spacing w:val="-1"/>
                <w:sz w:val="18"/>
              </w:rPr>
            </w:r>
          </w:p>
        </w:tc>
      </w:tr>
    </w:tbl>
    <w:p>
      <w:pPr>
        <w:spacing w:line="240" w:lineRule="auto" w:before="9"/>
        <w:rPr>
          <w:rFonts w:ascii="Microsoft JhengHei" w:hAnsi="Microsoft JhengHei" w:cs="Microsoft JhengHei" w:eastAsia="Microsoft JhengHei" w:hint="default"/>
          <w:b/>
          <w:bCs/>
          <w:sz w:val="17"/>
          <w:szCs w:val="17"/>
        </w:rPr>
      </w:pPr>
    </w:p>
    <w:p>
      <w:pPr>
        <w:spacing w:line="20" w:lineRule="exact"/>
        <w:ind w:left="13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3.5pt;height:.5pt;mso-position-horizontal-relative:char;mso-position-vertical-relative:line" coordorigin="0,0" coordsize="8470,10">
            <v:group style="position:absolute;left:5;top:5;width:8460;height:2" coordorigin="5,5" coordsize="8460,2">
              <v:shape style="position:absolute;left:5;top:5;width:8460;height:2" coordorigin="5,5" coordsize="8460,0" path="m5,5l8465,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859" w:footer="835" w:top="1420" w:bottom="1020" w:left="1560" w:right="1560"/>
        </w:sectPr>
      </w:pPr>
    </w:p>
    <w:p>
      <w:pPr>
        <w:spacing w:line="240" w:lineRule="auto" w:before="10"/>
        <w:rPr>
          <w:rFonts w:ascii="Microsoft JhengHei" w:hAnsi="Microsoft JhengHei" w:cs="Microsoft JhengHei" w:eastAsia="Microsoft JhengHei" w:hint="default"/>
          <w:b/>
          <w:bCs/>
          <w:sz w:val="11"/>
          <w:szCs w:val="11"/>
        </w:rPr>
      </w:pPr>
    </w:p>
    <w:p>
      <w:pPr>
        <w:spacing w:line="20" w:lineRule="exact"/>
        <w:ind w:left="1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8.05pt;height:.75pt;mso-position-horizontal-relative:char;mso-position-vertical-relative:line" coordorigin="0,0" coordsize="8561,15">
            <v:group style="position:absolute;left:7;top:7;width:8547;height:2" coordorigin="7,7" coordsize="8547,2">
              <v:shape style="position:absolute;left:7;top:7;width:8547;height:2" coordorigin="7,7" coordsize="8547,0" path="m7,7l8554,7e" filled="false" stroked="true" strokeweight=".72pt" strokecolor="#000008">
                <v:path arrowok="t"/>
              </v:shape>
            </v:group>
          </v:group>
        </w:pict>
      </w:r>
      <w:r>
        <w:rPr>
          <w:rFonts w:ascii="Microsoft JhengHei" w:hAnsi="Microsoft JhengHei" w:cs="Microsoft JhengHei" w:eastAsia="Microsoft JhengHei" w:hint="default"/>
          <w:sz w:val="2"/>
          <w:szCs w:val="2"/>
        </w:rPr>
      </w:r>
    </w:p>
    <w:p>
      <w:pPr>
        <w:pStyle w:val="Heading2"/>
        <w:spacing w:line="340" w:lineRule="exact"/>
        <w:ind w:right="38"/>
        <w:jc w:val="center"/>
      </w:pPr>
      <w:r>
        <w:rPr/>
        <w:t>合并资产负债表（续）</w:t>
      </w:r>
    </w:p>
    <w:p>
      <w:pPr>
        <w:spacing w:line="325" w:lineRule="exact" w:before="0"/>
        <w:ind w:left="70" w:right="38"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tabs>
          <w:tab w:pos="7459" w:val="left" w:leader="none"/>
        </w:tabs>
        <w:spacing w:line="273" w:lineRule="auto" w:before="50"/>
        <w:ind w:left="777" w:right="222" w:hanging="528"/>
        <w:jc w:val="left"/>
        <w:rPr>
          <w:rFonts w:ascii="Microsoft JhengHei" w:hAnsi="Microsoft JhengHei" w:cs="Microsoft JhengHei" w:eastAsia="Microsoft JhengHei" w:hint="default"/>
          <w:sz w:val="20"/>
          <w:szCs w:val="20"/>
        </w:rPr>
      </w:pPr>
      <w:r>
        <w:rPr/>
        <w:pict>
          <v:group style="position:absolute;margin-left:84.959999pt;margin-top:23.961369pt;width:461.8pt;height:.1pt;mso-position-horizontal-relative:page;mso-position-vertical-relative:paragraph;z-index:-1140424" coordorigin="1699,479" coordsize="9236,2">
            <v:shape style="position:absolute;left:1699;top:479;width:9236;height:2" coordorigin="1699,479" coordsize="9236,0" path="m1699,479l10934,479e" filled="false" stroked="true" strokeweight=".48pt" strokecolor="#000008">
              <v:path arrowok="t"/>
            </v:shape>
            <w10:wrap type="none"/>
          </v:group>
        </w:pict>
      </w:r>
      <w:r>
        <w:rPr/>
        <w:pict>
          <v:shape style="position:absolute;margin-left:84.959999pt;margin-top:35.081997pt;width:461.8pt;height:585.6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3"/>
                    <w:gridCol w:w="797"/>
                    <w:gridCol w:w="3185"/>
                    <w:gridCol w:w="2270"/>
                  </w:tblGrid>
                  <w:tr>
                    <w:trPr>
                      <w:trHeight w:val="421"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
                          <w:ind w:left="73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（或股东权益）</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Style w:val="TableParagraph"/>
                          <w:spacing w:line="222" w:lineRule="exact"/>
                          <w:ind w:right="10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附注五</w:t>
                        </w:r>
                        <w:r>
                          <w:rPr>
                            <w:rFonts w:ascii="Microsoft JhengHei" w:hAnsi="Microsoft JhengHei" w:cs="Microsoft JhengHei" w:eastAsia="Microsoft JhengHei" w:hint="default"/>
                            <w:sz w:val="20"/>
                            <w:szCs w:val="20"/>
                          </w:rPr>
                        </w:r>
                      </w:p>
                    </w:tc>
                    <w:tc>
                      <w:tcPr>
                        <w:tcW w:w="3185" w:type="dxa"/>
                        <w:tcBorders>
                          <w:top w:val="nil" w:sz="6" w:space="0" w:color="auto"/>
                          <w:left w:val="nil" w:sz="6" w:space="0" w:color="auto"/>
                          <w:bottom w:val="nil" w:sz="6" w:space="0" w:color="auto"/>
                          <w:right w:val="nil" w:sz="6" w:space="0" w:color="auto"/>
                        </w:tcBorders>
                      </w:tcPr>
                      <w:p>
                        <w:pPr>
                          <w:pStyle w:val="TableParagraph"/>
                          <w:spacing w:line="222" w:lineRule="exact"/>
                          <w:ind w:left="466"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22" w:lineRule="exact"/>
                          <w:ind w:left="-18"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2008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10" w:hRule="exact"/>
                    </w:trPr>
                    <w:tc>
                      <w:tcPr>
                        <w:tcW w:w="2983" w:type="dxa"/>
                        <w:tcBorders>
                          <w:top w:val="single" w:sz="4" w:space="0" w:color="000008"/>
                          <w:left w:val="nil" w:sz="6" w:space="0" w:color="auto"/>
                          <w:bottom w:val="nil" w:sz="6" w:space="0" w:color="auto"/>
                          <w:right w:val="nil" w:sz="6" w:space="0" w:color="auto"/>
                        </w:tcBorders>
                      </w:tcPr>
                      <w:p>
                        <w:pPr>
                          <w:pStyle w:val="TableParagraph"/>
                          <w:spacing w:line="274"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797" w:type="dxa"/>
                        <w:tcBorders>
                          <w:top w:val="single" w:sz="4" w:space="0" w:color="000008"/>
                          <w:left w:val="nil" w:sz="6" w:space="0" w:color="auto"/>
                          <w:bottom w:val="nil" w:sz="6" w:space="0" w:color="auto"/>
                          <w:right w:val="nil" w:sz="6" w:space="0" w:color="auto"/>
                        </w:tcBorders>
                      </w:tcPr>
                      <w:p>
                        <w:pPr/>
                      </w:p>
                    </w:tc>
                    <w:tc>
                      <w:tcPr>
                        <w:tcW w:w="3185" w:type="dxa"/>
                        <w:tcBorders>
                          <w:top w:val="single" w:sz="4" w:space="0" w:color="000008"/>
                          <w:left w:val="nil" w:sz="6" w:space="0" w:color="auto"/>
                          <w:bottom w:val="nil" w:sz="6" w:space="0" w:color="auto"/>
                          <w:right w:val="nil" w:sz="6" w:space="0" w:color="auto"/>
                        </w:tcBorders>
                      </w:tcPr>
                      <w:p>
                        <w:pPr/>
                      </w:p>
                    </w:tc>
                    <w:tc>
                      <w:tcPr>
                        <w:tcW w:w="2270" w:type="dxa"/>
                        <w:tcBorders>
                          <w:top w:val="single" w:sz="4" w:space="0" w:color="000008"/>
                          <w:left w:val="nil" w:sz="6" w:space="0" w:color="auto"/>
                          <w:bottom w:val="nil" w:sz="6" w:space="0" w:color="auto"/>
                          <w:right w:val="nil" w:sz="6" w:space="0" w:color="auto"/>
                        </w:tcBorders>
                      </w:tcPr>
                      <w:p>
                        <w:pPr/>
                      </w:p>
                    </w:tc>
                  </w:tr>
                  <w:tr>
                    <w:trPr>
                      <w:trHeight w:val="1251"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85" w:lineRule="auto"/>
                          <w:ind w:left="309" w:right="1277"/>
                          <w:jc w:val="left"/>
                          <w:rPr>
                            <w:rFonts w:ascii="宋体" w:hAnsi="宋体" w:cs="宋体" w:eastAsia="宋体" w:hint="default"/>
                            <w:sz w:val="20"/>
                            <w:szCs w:val="20"/>
                          </w:rPr>
                        </w:pPr>
                        <w:r>
                          <w:rPr>
                            <w:rFonts w:ascii="宋体" w:hAnsi="宋体" w:cs="宋体" w:eastAsia="宋体" w:hint="default"/>
                            <w:sz w:val="20"/>
                            <w:szCs w:val="20"/>
                          </w:rPr>
                          <w:t>短期借款</w:t>
                        </w:r>
                        <w:r>
                          <w:rPr>
                            <w:rFonts w:ascii="宋体" w:hAnsi="宋体" w:cs="宋体" w:eastAsia="宋体" w:hint="default"/>
                            <w:w w:val="99"/>
                            <w:sz w:val="20"/>
                            <w:szCs w:val="20"/>
                          </w:rPr>
                          <w:t> </w:t>
                        </w:r>
                        <w:r>
                          <w:rPr>
                            <w:rFonts w:ascii="宋体" w:hAnsi="宋体" w:cs="宋体" w:eastAsia="宋体" w:hint="default"/>
                            <w:w w:val="95"/>
                            <w:sz w:val="20"/>
                            <w:szCs w:val="20"/>
                          </w:rPr>
                          <w:t>交易性金融负债</w:t>
                        </w:r>
                        <w:r>
                          <w:rPr>
                            <w:rFonts w:ascii="宋体" w:hAnsi="宋体" w:cs="宋体" w:eastAsia="宋体" w:hint="default"/>
                            <w:spacing w:val="-31"/>
                            <w:w w:val="95"/>
                            <w:sz w:val="20"/>
                            <w:szCs w:val="20"/>
                          </w:rPr>
                          <w:t> </w:t>
                        </w:r>
                        <w:r>
                          <w:rPr>
                            <w:rFonts w:ascii="宋体" w:hAnsi="宋体" w:cs="宋体" w:eastAsia="宋体" w:hint="default"/>
                            <w:sz w:val="20"/>
                            <w:szCs w:val="20"/>
                          </w:rPr>
                          <w:t>应付票据</w:t>
                        </w:r>
                        <w:r>
                          <w:rPr>
                            <w:rFonts w:ascii="宋体" w:hAnsi="宋体" w:cs="宋体" w:eastAsia="宋体" w:hint="default"/>
                            <w:w w:val="99"/>
                            <w:sz w:val="20"/>
                            <w:szCs w:val="20"/>
                          </w:rPr>
                          <w:t> </w:t>
                        </w:r>
                        <w:r>
                          <w:rPr>
                            <w:rFonts w:ascii="宋体" w:hAnsi="宋体" w:cs="宋体" w:eastAsia="宋体" w:hint="default"/>
                            <w:sz w:val="20"/>
                            <w:szCs w:val="20"/>
                          </w:rPr>
                          <w:t>应付账款</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54" w:right="0"/>
                          <w:jc w:val="left"/>
                          <w:rPr>
                            <w:rFonts w:ascii="Garamond" w:hAnsi="Garamond" w:cs="Garamond" w:eastAsia="Garamond" w:hint="default"/>
                            <w:sz w:val="20"/>
                            <w:szCs w:val="20"/>
                          </w:rPr>
                        </w:pPr>
                        <w:r>
                          <w:rPr>
                            <w:rFonts w:ascii="Garamond"/>
                            <w:sz w:val="20"/>
                          </w:rPr>
                          <w:t>19</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54" w:right="0"/>
                          <w:jc w:val="left"/>
                          <w:rPr>
                            <w:rFonts w:ascii="Garamond" w:hAnsi="Garamond" w:cs="Garamond" w:eastAsia="Garamond" w:hint="default"/>
                            <w:sz w:val="20"/>
                            <w:szCs w:val="20"/>
                          </w:rPr>
                        </w:pPr>
                        <w:r>
                          <w:rPr>
                            <w:rFonts w:ascii="Garamond"/>
                            <w:sz w:val="20"/>
                          </w:rPr>
                          <w:t>20</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67"/>
                          <w:jc w:val="right"/>
                          <w:rPr>
                            <w:rFonts w:ascii="Times New Roman" w:hAnsi="Times New Roman" w:cs="Times New Roman" w:eastAsia="Times New Roman" w:hint="default"/>
                            <w:sz w:val="20"/>
                            <w:szCs w:val="20"/>
                          </w:rPr>
                        </w:pPr>
                        <w:r>
                          <w:rPr>
                            <w:rFonts w:ascii="Times New Roman"/>
                            <w:w w:val="95"/>
                            <w:sz w:val="20"/>
                          </w:rPr>
                          <w:t>911,500,000.00</w:t>
                        </w:r>
                        <w:r>
                          <w:rPr>
                            <w:rFonts w:ascii="Times New Roman"/>
                            <w:sz w:val="20"/>
                          </w:rPr>
                        </w:r>
                      </w:p>
                      <w:p>
                        <w:pPr>
                          <w:pStyle w:val="TableParagraph"/>
                          <w:spacing w:line="240" w:lineRule="auto" w:before="82"/>
                          <w:ind w:right="7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26" w:lineRule="auto" w:before="82"/>
                          <w:ind w:left="1264" w:right="767" w:firstLine="1082"/>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49,795,412.31</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20"/>
                            <w:szCs w:val="20"/>
                          </w:rPr>
                        </w:pPr>
                        <w:r>
                          <w:rPr>
                            <w:rFonts w:ascii="Times New Roman"/>
                            <w:w w:val="95"/>
                            <w:sz w:val="20"/>
                          </w:rPr>
                          <w:t>1,000,000,000.00</w:t>
                        </w:r>
                        <w:r>
                          <w:rPr>
                            <w:rFonts w:ascii="Times New Roman"/>
                            <w:sz w:val="20"/>
                          </w:rPr>
                        </w:r>
                      </w:p>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26" w:lineRule="auto" w:before="82"/>
                          <w:ind w:left="1012" w:right="104" w:firstLine="1082"/>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72,193,074.81</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21</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7"/>
                          <w:jc w:val="right"/>
                          <w:rPr>
                            <w:rFonts w:ascii="Times New Roman" w:hAnsi="Times New Roman" w:cs="Times New Roman" w:eastAsia="Times New Roman" w:hint="default"/>
                            <w:sz w:val="20"/>
                            <w:szCs w:val="20"/>
                          </w:rPr>
                        </w:pPr>
                        <w:r>
                          <w:rPr>
                            <w:rFonts w:ascii="Times New Roman"/>
                            <w:w w:val="95"/>
                            <w:sz w:val="20"/>
                          </w:rPr>
                          <w:t>71,118,024.75</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79,969,266.40</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22</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7"/>
                          <w:jc w:val="right"/>
                          <w:rPr>
                            <w:rFonts w:ascii="Times New Roman" w:hAnsi="Times New Roman" w:cs="Times New Roman" w:eastAsia="Times New Roman" w:hint="default"/>
                            <w:sz w:val="20"/>
                            <w:szCs w:val="20"/>
                          </w:rPr>
                        </w:pPr>
                        <w:r>
                          <w:rPr>
                            <w:rFonts w:ascii="Times New Roman"/>
                            <w:w w:val="95"/>
                            <w:sz w:val="20"/>
                          </w:rPr>
                          <w:t>49,773,440.86</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30,379,594.45</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23</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7"/>
                          <w:jc w:val="right"/>
                          <w:rPr>
                            <w:rFonts w:ascii="Times New Roman" w:hAnsi="Times New Roman" w:cs="Times New Roman" w:eastAsia="Times New Roman" w:hint="default"/>
                            <w:sz w:val="20"/>
                            <w:szCs w:val="20"/>
                          </w:rPr>
                        </w:pPr>
                        <w:r>
                          <w:rPr>
                            <w:rFonts w:ascii="Times New Roman"/>
                            <w:w w:val="95"/>
                            <w:sz w:val="20"/>
                          </w:rPr>
                          <w:t>55,729,767.26</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56,813,164.32</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24</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9"/>
                          <w:jc w:val="right"/>
                          <w:rPr>
                            <w:rFonts w:ascii="Times New Roman" w:hAnsi="Times New Roman" w:cs="Times New Roman" w:eastAsia="Times New Roman" w:hint="default"/>
                            <w:sz w:val="20"/>
                            <w:szCs w:val="20"/>
                          </w:rPr>
                        </w:pPr>
                        <w:r>
                          <w:rPr>
                            <w:rFonts w:ascii="Times New Roman"/>
                            <w:w w:val="95"/>
                            <w:sz w:val="20"/>
                          </w:rPr>
                          <w:t>1,075,460.00</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145,350.00</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25</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9"/>
                          <w:jc w:val="right"/>
                          <w:rPr>
                            <w:rFonts w:ascii="Times New Roman" w:hAnsi="Times New Roman" w:cs="Times New Roman" w:eastAsia="Times New Roman" w:hint="default"/>
                            <w:sz w:val="20"/>
                            <w:szCs w:val="20"/>
                          </w:rPr>
                        </w:pPr>
                        <w:r>
                          <w:rPr>
                            <w:rFonts w:ascii="Times New Roman"/>
                            <w:w w:val="95"/>
                            <w:sz w:val="20"/>
                          </w:rPr>
                          <w:t>1,509,213.59</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60,330,572.95</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26</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9"/>
                          <w:jc w:val="right"/>
                          <w:rPr>
                            <w:rFonts w:ascii="Times New Roman" w:hAnsi="Times New Roman" w:cs="Times New Roman" w:eastAsia="Times New Roman" w:hint="default"/>
                            <w:sz w:val="20"/>
                            <w:szCs w:val="20"/>
                          </w:rPr>
                        </w:pPr>
                        <w:r>
                          <w:rPr>
                            <w:rFonts w:ascii="Times New Roman"/>
                            <w:w w:val="95"/>
                            <w:sz w:val="20"/>
                          </w:rPr>
                          <w:t>1,007,434,180.01</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803,349,416.40</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410"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27</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7"/>
                          <w:jc w:val="right"/>
                          <w:rPr>
                            <w:rFonts w:ascii="Times New Roman" w:hAnsi="Times New Roman" w:cs="Times New Roman" w:eastAsia="Times New Roman" w:hint="default"/>
                            <w:sz w:val="20"/>
                            <w:szCs w:val="20"/>
                          </w:rPr>
                        </w:pPr>
                        <w:r>
                          <w:rPr>
                            <w:rFonts w:ascii="Times New Roman"/>
                            <w:w w:val="95"/>
                            <w:sz w:val="20"/>
                          </w:rPr>
                          <w:t>26,600,000.00</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87,100,000.00</w:t>
                        </w:r>
                        <w:r>
                          <w:rPr>
                            <w:rFonts w:ascii="Times New Roman"/>
                            <w:sz w:val="20"/>
                          </w:rPr>
                        </w:r>
                      </w:p>
                    </w:tc>
                  </w:tr>
                  <w:tr>
                    <w:trPr>
                      <w:trHeight w:val="311"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28</w:t>
                        </w:r>
                      </w:p>
                    </w:tc>
                    <w:tc>
                      <w:tcPr>
                        <w:tcW w:w="3185" w:type="dxa"/>
                        <w:tcBorders>
                          <w:top w:val="nil" w:sz="6" w:space="0" w:color="auto"/>
                          <w:left w:val="nil" w:sz="6" w:space="0" w:color="auto"/>
                          <w:bottom w:val="single" w:sz="4" w:space="0" w:color="000008"/>
                          <w:right w:val="nil" w:sz="6" w:space="0" w:color="auto"/>
                        </w:tcBorders>
                      </w:tcPr>
                      <w:p>
                        <w:pPr>
                          <w:pStyle w:val="TableParagraph"/>
                          <w:spacing w:line="240" w:lineRule="auto" w:before="35"/>
                          <w:ind w:right="767"/>
                          <w:jc w:val="right"/>
                          <w:rPr>
                            <w:rFonts w:ascii="Times New Roman" w:hAnsi="Times New Roman" w:cs="Times New Roman" w:eastAsia="Times New Roman" w:hint="default"/>
                            <w:sz w:val="20"/>
                            <w:szCs w:val="20"/>
                          </w:rPr>
                        </w:pPr>
                        <w:r>
                          <w:rPr>
                            <w:rFonts w:ascii="Times New Roman"/>
                            <w:w w:val="95"/>
                            <w:sz w:val="20"/>
                          </w:rPr>
                          <w:t>600,000,000.00</w:t>
                        </w:r>
                        <w:r>
                          <w:rPr>
                            <w:rFonts w:ascii="Times New Roman"/>
                            <w:sz w:val="20"/>
                          </w:rPr>
                        </w:r>
                      </w:p>
                    </w:tc>
                    <w:tc>
                      <w:tcPr>
                        <w:tcW w:w="2270" w:type="dxa"/>
                        <w:tcBorders>
                          <w:top w:val="nil" w:sz="6" w:space="0" w:color="auto"/>
                          <w:left w:val="nil" w:sz="6" w:space="0" w:color="auto"/>
                          <w:bottom w:val="single" w:sz="5" w:space="0" w:color="000008"/>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79"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185" w:type="dxa"/>
                        <w:tcBorders>
                          <w:top w:val="single" w:sz="4" w:space="0" w:color="000008"/>
                          <w:left w:val="nil" w:sz="6" w:space="0" w:color="auto"/>
                          <w:bottom w:val="single" w:sz="4" w:space="0" w:color="000008"/>
                          <w:right w:val="nil" w:sz="6" w:space="0" w:color="auto"/>
                        </w:tcBorders>
                      </w:tcPr>
                      <w:p>
                        <w:pPr>
                          <w:pStyle w:val="TableParagraph"/>
                          <w:spacing w:line="240" w:lineRule="auto" w:before="36"/>
                          <w:ind w:right="763"/>
                          <w:jc w:val="right"/>
                          <w:rPr>
                            <w:rFonts w:ascii="Times New Roman" w:hAnsi="Times New Roman" w:cs="Times New Roman" w:eastAsia="Times New Roman" w:hint="default"/>
                            <w:sz w:val="20"/>
                            <w:szCs w:val="20"/>
                          </w:rPr>
                        </w:pPr>
                        <w:r>
                          <w:rPr>
                            <w:rFonts w:ascii="Times New Roman"/>
                            <w:b/>
                            <w:w w:val="95"/>
                            <w:sz w:val="20"/>
                          </w:rPr>
                          <w:t>2,774,535,498.78</w:t>
                        </w:r>
                        <w:r>
                          <w:rPr>
                            <w:rFonts w:ascii="Times New Roman"/>
                            <w:sz w:val="20"/>
                          </w:rPr>
                        </w:r>
                      </w:p>
                    </w:tc>
                    <w:tc>
                      <w:tcPr>
                        <w:tcW w:w="2270" w:type="dxa"/>
                        <w:tcBorders>
                          <w:top w:val="single" w:sz="5" w:space="0" w:color="000008"/>
                          <w:left w:val="nil" w:sz="6" w:space="0" w:color="auto"/>
                          <w:bottom w:val="single" w:sz="4" w:space="0" w:color="000008"/>
                          <w:right w:val="nil" w:sz="6" w:space="0" w:color="auto"/>
                        </w:tcBorders>
                      </w:tcPr>
                      <w:p>
                        <w:pPr>
                          <w:pStyle w:val="TableParagraph"/>
                          <w:spacing w:line="240" w:lineRule="auto" w:before="35"/>
                          <w:ind w:right="98"/>
                          <w:jc w:val="right"/>
                          <w:rPr>
                            <w:rFonts w:ascii="Times New Roman" w:hAnsi="Times New Roman" w:cs="Times New Roman" w:eastAsia="Times New Roman" w:hint="default"/>
                            <w:sz w:val="20"/>
                            <w:szCs w:val="20"/>
                          </w:rPr>
                        </w:pPr>
                        <w:r>
                          <w:rPr>
                            <w:rFonts w:ascii="Times New Roman"/>
                            <w:b/>
                            <w:w w:val="95"/>
                            <w:sz w:val="20"/>
                          </w:rPr>
                          <w:t>2,190,280,439.33</w:t>
                        </w:r>
                        <w:r>
                          <w:rPr>
                            <w:rFonts w:ascii="Times New Roman"/>
                            <w:sz w:val="20"/>
                          </w:rPr>
                        </w:r>
                      </w:p>
                    </w:tc>
                  </w:tr>
                  <w:tr>
                    <w:trPr>
                      <w:trHeight w:val="310"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79"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185" w:type="dxa"/>
                        <w:tcBorders>
                          <w:top w:val="single" w:sz="4" w:space="0" w:color="000008"/>
                          <w:left w:val="nil" w:sz="6" w:space="0" w:color="auto"/>
                          <w:bottom w:val="nil" w:sz="6" w:space="0" w:color="auto"/>
                          <w:right w:val="nil" w:sz="6" w:space="0" w:color="auto"/>
                        </w:tcBorders>
                      </w:tcPr>
                      <w:p>
                        <w:pPr/>
                      </w:p>
                    </w:tc>
                    <w:tc>
                      <w:tcPr>
                        <w:tcW w:w="2270" w:type="dxa"/>
                        <w:tcBorders>
                          <w:top w:val="single" w:sz="4" w:space="0" w:color="000008"/>
                          <w:left w:val="nil" w:sz="6" w:space="0" w:color="auto"/>
                          <w:bottom w:val="nil" w:sz="6" w:space="0" w:color="auto"/>
                          <w:right w:val="nil" w:sz="6" w:space="0" w:color="auto"/>
                        </w:tcBorders>
                      </w:tcPr>
                      <w:p>
                        <w:pPr/>
                      </w:p>
                    </w:tc>
                  </w:tr>
                  <w:tr>
                    <w:trPr>
                      <w:trHeight w:val="939"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85" w:lineRule="auto"/>
                          <w:ind w:left="309" w:right="1675"/>
                          <w:jc w:val="left"/>
                          <w:rPr>
                            <w:rFonts w:ascii="宋体" w:hAnsi="宋体" w:cs="宋体" w:eastAsia="宋体" w:hint="default"/>
                            <w:sz w:val="20"/>
                            <w:szCs w:val="20"/>
                          </w:rPr>
                        </w:pPr>
                        <w:r>
                          <w:rPr>
                            <w:rFonts w:ascii="宋体" w:hAnsi="宋体" w:cs="宋体" w:eastAsia="宋体" w:hint="default"/>
                            <w:sz w:val="20"/>
                            <w:szCs w:val="20"/>
                          </w:rPr>
                          <w:t>长期借款</w:t>
                        </w:r>
                        <w:r>
                          <w:rPr>
                            <w:rFonts w:ascii="宋体" w:hAnsi="宋体" w:cs="宋体" w:eastAsia="宋体" w:hint="default"/>
                            <w:w w:val="99"/>
                            <w:sz w:val="20"/>
                            <w:szCs w:val="20"/>
                          </w:rPr>
                          <w:t> </w:t>
                        </w:r>
                        <w:r>
                          <w:rPr>
                            <w:rFonts w:ascii="宋体" w:hAnsi="宋体" w:cs="宋体" w:eastAsia="宋体" w:hint="default"/>
                            <w:sz w:val="20"/>
                            <w:szCs w:val="20"/>
                          </w:rPr>
                          <w:t>应付债券</w:t>
                        </w:r>
                        <w:r>
                          <w:rPr>
                            <w:rFonts w:ascii="宋体" w:hAnsi="宋体" w:cs="宋体" w:eastAsia="宋体" w:hint="default"/>
                            <w:w w:val="99"/>
                            <w:sz w:val="20"/>
                            <w:szCs w:val="20"/>
                          </w:rPr>
                          <w:t> </w:t>
                        </w:r>
                        <w:r>
                          <w:rPr>
                            <w:rFonts w:ascii="宋体" w:hAnsi="宋体" w:cs="宋体" w:eastAsia="宋体" w:hint="default"/>
                            <w:w w:val="95"/>
                            <w:sz w:val="20"/>
                            <w:szCs w:val="20"/>
                          </w:rPr>
                          <w:t>长期应付款</w:t>
                        </w:r>
                        <w:r>
                          <w:rPr>
                            <w:rFonts w:ascii="宋体" w:hAnsi="宋体" w:cs="宋体" w:eastAsia="宋体" w:hint="default"/>
                            <w:sz w:val="20"/>
                            <w:szCs w:val="20"/>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54" w:right="0"/>
                          <w:jc w:val="left"/>
                          <w:rPr>
                            <w:rFonts w:ascii="Garamond" w:hAnsi="Garamond" w:cs="Garamond" w:eastAsia="Garamond" w:hint="default"/>
                            <w:sz w:val="20"/>
                            <w:szCs w:val="20"/>
                          </w:rPr>
                        </w:pPr>
                        <w:r>
                          <w:rPr>
                            <w:rFonts w:ascii="Garamond"/>
                            <w:sz w:val="20"/>
                          </w:rPr>
                          <w:t>29</w:t>
                        </w:r>
                      </w:p>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254" w:right="0"/>
                          <w:jc w:val="left"/>
                          <w:rPr>
                            <w:rFonts w:ascii="Garamond" w:hAnsi="Garamond" w:cs="Garamond" w:eastAsia="Garamond" w:hint="default"/>
                            <w:sz w:val="20"/>
                            <w:szCs w:val="20"/>
                          </w:rPr>
                        </w:pPr>
                        <w:r>
                          <w:rPr>
                            <w:rFonts w:ascii="Garamond"/>
                            <w:sz w:val="20"/>
                          </w:rPr>
                          <w:t>30</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4" w:right="0"/>
                          <w:jc w:val="left"/>
                          <w:rPr>
                            <w:rFonts w:ascii="Times New Roman" w:hAnsi="Times New Roman" w:cs="Times New Roman" w:eastAsia="Times New Roman" w:hint="default"/>
                            <w:sz w:val="20"/>
                            <w:szCs w:val="20"/>
                          </w:rPr>
                        </w:pPr>
                        <w:r>
                          <w:rPr>
                            <w:rFonts w:ascii="Times New Roman"/>
                            <w:sz w:val="20"/>
                          </w:rPr>
                          <w:t>448,951,158.33</w:t>
                        </w:r>
                      </w:p>
                      <w:p>
                        <w:pPr>
                          <w:pStyle w:val="TableParagraph"/>
                          <w:spacing w:line="326" w:lineRule="auto" w:before="82"/>
                          <w:ind w:left="1264" w:right="767" w:firstLine="1082"/>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19,027,086.33</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12" w:right="0"/>
                          <w:jc w:val="left"/>
                          <w:rPr>
                            <w:rFonts w:ascii="Times New Roman" w:hAnsi="Times New Roman" w:cs="Times New Roman" w:eastAsia="Times New Roman" w:hint="default"/>
                            <w:sz w:val="20"/>
                            <w:szCs w:val="20"/>
                          </w:rPr>
                        </w:pPr>
                        <w:r>
                          <w:rPr>
                            <w:rFonts w:ascii="Times New Roman"/>
                            <w:sz w:val="20"/>
                          </w:rPr>
                          <w:t>302,476,158.33</w:t>
                        </w:r>
                      </w:p>
                      <w:p>
                        <w:pPr>
                          <w:pStyle w:val="TableParagraph"/>
                          <w:spacing w:line="326" w:lineRule="auto" w:before="82"/>
                          <w:ind w:left="1012" w:right="104" w:firstLine="1082"/>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15,598,618.39</w:t>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31</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7"/>
                          <w:jc w:val="right"/>
                          <w:rPr>
                            <w:rFonts w:ascii="Times New Roman" w:hAnsi="Times New Roman" w:cs="Times New Roman" w:eastAsia="Times New Roman" w:hint="default"/>
                            <w:sz w:val="20"/>
                            <w:szCs w:val="20"/>
                          </w:rPr>
                        </w:pPr>
                        <w:r>
                          <w:rPr>
                            <w:rFonts w:ascii="Times New Roman"/>
                            <w:w w:val="95"/>
                            <w:sz w:val="20"/>
                          </w:rPr>
                          <w:t>86,489,920.76</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83,956,076.47</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32</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7"/>
                          <w:jc w:val="right"/>
                          <w:rPr>
                            <w:rFonts w:ascii="Times New Roman" w:hAnsi="Times New Roman" w:cs="Times New Roman" w:eastAsia="Times New Roman" w:hint="default"/>
                            <w:sz w:val="20"/>
                            <w:szCs w:val="20"/>
                          </w:rPr>
                        </w:pPr>
                        <w:r>
                          <w:rPr>
                            <w:rFonts w:ascii="Times New Roman"/>
                            <w:w w:val="95"/>
                            <w:sz w:val="20"/>
                          </w:rPr>
                          <w:t>65,000,000.00</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Times New Roman" w:hAnsi="Times New Roman" w:cs="Times New Roman" w:eastAsia="Times New Roman" w:hint="default"/>
                            <w:sz w:val="20"/>
                            <w:szCs w:val="20"/>
                          </w:rPr>
                        </w:pPr>
                        <w:r>
                          <w:rPr>
                            <w:rFonts w:ascii="Times New Roman"/>
                            <w:w w:val="95"/>
                            <w:sz w:val="20"/>
                          </w:rPr>
                          <w:t>4,000,000.00</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16</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9"/>
                          <w:jc w:val="right"/>
                          <w:rPr>
                            <w:rFonts w:ascii="Times New Roman" w:hAnsi="Times New Roman" w:cs="Times New Roman" w:eastAsia="Times New Roman" w:hint="default"/>
                            <w:sz w:val="20"/>
                            <w:szCs w:val="20"/>
                          </w:rPr>
                        </w:pPr>
                        <w:r>
                          <w:rPr>
                            <w:rFonts w:ascii="Times New Roman"/>
                            <w:w w:val="95"/>
                            <w:sz w:val="20"/>
                          </w:rPr>
                          <w:t>79,196.04</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150,416.66</w:t>
                        </w:r>
                        <w:r>
                          <w:rPr>
                            <w:rFonts w:ascii="Times New Roman"/>
                            <w:sz w:val="20"/>
                          </w:rPr>
                        </w:r>
                      </w:p>
                    </w:tc>
                  </w:tr>
                  <w:tr>
                    <w:trPr>
                      <w:trHeight w:val="311"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33</w:t>
                        </w:r>
                      </w:p>
                    </w:tc>
                    <w:tc>
                      <w:tcPr>
                        <w:tcW w:w="3185" w:type="dxa"/>
                        <w:tcBorders>
                          <w:top w:val="nil" w:sz="6" w:space="0" w:color="auto"/>
                          <w:left w:val="nil" w:sz="6" w:space="0" w:color="auto"/>
                          <w:bottom w:val="single" w:sz="4" w:space="0" w:color="000008"/>
                          <w:right w:val="nil" w:sz="6" w:space="0" w:color="auto"/>
                        </w:tcBorders>
                      </w:tcPr>
                      <w:p>
                        <w:pPr>
                          <w:pStyle w:val="TableParagraph"/>
                          <w:spacing w:line="240" w:lineRule="auto" w:before="35"/>
                          <w:ind w:right="767"/>
                          <w:jc w:val="right"/>
                          <w:rPr>
                            <w:rFonts w:ascii="Times New Roman" w:hAnsi="Times New Roman" w:cs="Times New Roman" w:eastAsia="Times New Roman" w:hint="default"/>
                            <w:sz w:val="20"/>
                            <w:szCs w:val="20"/>
                          </w:rPr>
                        </w:pPr>
                        <w:r>
                          <w:rPr>
                            <w:rFonts w:ascii="Times New Roman"/>
                            <w:w w:val="95"/>
                            <w:sz w:val="20"/>
                          </w:rPr>
                          <w:t>148,929,448.91</w:t>
                        </w:r>
                        <w:r>
                          <w:rPr>
                            <w:rFonts w:ascii="Times New Roman"/>
                            <w:sz w:val="20"/>
                          </w:rPr>
                        </w:r>
                      </w:p>
                    </w:tc>
                    <w:tc>
                      <w:tcPr>
                        <w:tcW w:w="2270" w:type="dxa"/>
                        <w:tcBorders>
                          <w:top w:val="nil" w:sz="6" w:space="0" w:color="auto"/>
                          <w:left w:val="nil" w:sz="6" w:space="0" w:color="auto"/>
                          <w:bottom w:val="single" w:sz="5" w:space="0" w:color="000008"/>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149,488,065.76</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79"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185" w:type="dxa"/>
                        <w:tcBorders>
                          <w:top w:val="single" w:sz="4" w:space="0" w:color="000008"/>
                          <w:left w:val="nil" w:sz="6" w:space="0" w:color="auto"/>
                          <w:bottom w:val="single" w:sz="4" w:space="0" w:color="000008"/>
                          <w:right w:val="nil" w:sz="6" w:space="0" w:color="auto"/>
                        </w:tcBorders>
                      </w:tcPr>
                      <w:p>
                        <w:pPr>
                          <w:pStyle w:val="TableParagraph"/>
                          <w:spacing w:line="240" w:lineRule="auto" w:before="36"/>
                          <w:ind w:right="761"/>
                          <w:jc w:val="right"/>
                          <w:rPr>
                            <w:rFonts w:ascii="Times New Roman" w:hAnsi="Times New Roman" w:cs="Times New Roman" w:eastAsia="Times New Roman" w:hint="default"/>
                            <w:sz w:val="20"/>
                            <w:szCs w:val="20"/>
                          </w:rPr>
                        </w:pPr>
                        <w:r>
                          <w:rPr>
                            <w:rFonts w:ascii="Times New Roman"/>
                            <w:b/>
                            <w:w w:val="95"/>
                            <w:sz w:val="20"/>
                          </w:rPr>
                          <w:t>768,476,810.37</w:t>
                        </w:r>
                        <w:r>
                          <w:rPr>
                            <w:rFonts w:ascii="Times New Roman"/>
                            <w:sz w:val="20"/>
                          </w:rPr>
                        </w:r>
                      </w:p>
                    </w:tc>
                    <w:tc>
                      <w:tcPr>
                        <w:tcW w:w="2270" w:type="dxa"/>
                        <w:tcBorders>
                          <w:top w:val="single" w:sz="5" w:space="0" w:color="000008"/>
                          <w:left w:val="nil" w:sz="6" w:space="0" w:color="auto"/>
                          <w:bottom w:val="single" w:sz="5" w:space="0" w:color="000008"/>
                          <w:right w:val="nil" w:sz="6" w:space="0" w:color="auto"/>
                        </w:tcBorders>
                      </w:tcPr>
                      <w:p>
                        <w:pPr>
                          <w:pStyle w:val="TableParagraph"/>
                          <w:spacing w:line="240" w:lineRule="auto" w:before="35"/>
                          <w:ind w:right="98"/>
                          <w:jc w:val="right"/>
                          <w:rPr>
                            <w:rFonts w:ascii="Times New Roman" w:hAnsi="Times New Roman" w:cs="Times New Roman" w:eastAsia="Times New Roman" w:hint="default"/>
                            <w:sz w:val="20"/>
                            <w:szCs w:val="20"/>
                          </w:rPr>
                        </w:pPr>
                        <w:r>
                          <w:rPr>
                            <w:rFonts w:ascii="Times New Roman"/>
                            <w:b/>
                            <w:w w:val="95"/>
                            <w:sz w:val="20"/>
                          </w:rPr>
                          <w:t>555,669,335.61</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79" w:lineRule="exact"/>
                          <w:ind w:left="150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185" w:type="dxa"/>
                        <w:tcBorders>
                          <w:top w:val="single" w:sz="4" w:space="0" w:color="000008"/>
                          <w:left w:val="nil" w:sz="6" w:space="0" w:color="auto"/>
                          <w:bottom w:val="single" w:sz="4" w:space="0" w:color="000008"/>
                          <w:right w:val="nil" w:sz="6" w:space="0" w:color="auto"/>
                        </w:tcBorders>
                      </w:tcPr>
                      <w:p>
                        <w:pPr>
                          <w:pStyle w:val="TableParagraph"/>
                          <w:spacing w:line="240" w:lineRule="auto" w:before="36"/>
                          <w:ind w:right="763"/>
                          <w:jc w:val="right"/>
                          <w:rPr>
                            <w:rFonts w:ascii="Times New Roman" w:hAnsi="Times New Roman" w:cs="Times New Roman" w:eastAsia="Times New Roman" w:hint="default"/>
                            <w:sz w:val="20"/>
                            <w:szCs w:val="20"/>
                          </w:rPr>
                        </w:pPr>
                        <w:r>
                          <w:rPr>
                            <w:rFonts w:ascii="Times New Roman"/>
                            <w:b/>
                            <w:w w:val="95"/>
                            <w:sz w:val="20"/>
                          </w:rPr>
                          <w:t>3,543,012,309.15</w:t>
                        </w:r>
                        <w:r>
                          <w:rPr>
                            <w:rFonts w:ascii="Times New Roman"/>
                            <w:sz w:val="20"/>
                          </w:rPr>
                        </w:r>
                      </w:p>
                    </w:tc>
                    <w:tc>
                      <w:tcPr>
                        <w:tcW w:w="2270" w:type="dxa"/>
                        <w:tcBorders>
                          <w:top w:val="single" w:sz="5" w:space="0" w:color="000008"/>
                          <w:left w:val="nil" w:sz="6" w:space="0" w:color="auto"/>
                          <w:bottom w:val="single" w:sz="4" w:space="0" w:color="000008"/>
                          <w:right w:val="nil" w:sz="6" w:space="0" w:color="auto"/>
                        </w:tcBorders>
                      </w:tcPr>
                      <w:p>
                        <w:pPr>
                          <w:pStyle w:val="TableParagraph"/>
                          <w:spacing w:line="240" w:lineRule="auto" w:before="35"/>
                          <w:ind w:right="98"/>
                          <w:jc w:val="right"/>
                          <w:rPr>
                            <w:rFonts w:ascii="Times New Roman" w:hAnsi="Times New Roman" w:cs="Times New Roman" w:eastAsia="Times New Roman" w:hint="default"/>
                            <w:sz w:val="20"/>
                            <w:szCs w:val="20"/>
                          </w:rPr>
                        </w:pPr>
                        <w:r>
                          <w:rPr>
                            <w:rFonts w:ascii="Times New Roman"/>
                            <w:b/>
                            <w:w w:val="95"/>
                            <w:sz w:val="20"/>
                          </w:rPr>
                          <w:t>2,745,949,774.94</w:t>
                        </w:r>
                        <w:r>
                          <w:rPr>
                            <w:rFonts w:ascii="Times New Roman"/>
                            <w:sz w:val="20"/>
                          </w:rPr>
                        </w:r>
                      </w:p>
                    </w:tc>
                  </w:tr>
                  <w:tr>
                    <w:trPr>
                      <w:trHeight w:val="310"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79"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所有者权益（或股东权益）：</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185"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315"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53" w:lineRule="exact"/>
                          <w:ind w:left="309"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center"/>
                          <w:rPr>
                            <w:rFonts w:ascii="Garamond" w:hAnsi="Garamond" w:cs="Garamond" w:eastAsia="Garamond" w:hint="default"/>
                            <w:sz w:val="20"/>
                            <w:szCs w:val="20"/>
                          </w:rPr>
                        </w:pPr>
                        <w:r>
                          <w:rPr>
                            <w:rFonts w:ascii="Garamond"/>
                            <w:sz w:val="20"/>
                          </w:rPr>
                          <w:t>34</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67"/>
                          <w:jc w:val="right"/>
                          <w:rPr>
                            <w:rFonts w:ascii="Times New Roman" w:hAnsi="Times New Roman" w:cs="Times New Roman" w:eastAsia="Times New Roman" w:hint="default"/>
                            <w:sz w:val="20"/>
                            <w:szCs w:val="20"/>
                          </w:rPr>
                        </w:pPr>
                        <w:r>
                          <w:rPr>
                            <w:rFonts w:ascii="Times New Roman"/>
                            <w:w w:val="95"/>
                            <w:sz w:val="20"/>
                          </w:rPr>
                          <w:t>768,507,851.00</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20"/>
                            <w:szCs w:val="20"/>
                          </w:rPr>
                        </w:pPr>
                        <w:r>
                          <w:rPr>
                            <w:rFonts w:ascii="Times New Roman"/>
                            <w:w w:val="95"/>
                            <w:sz w:val="20"/>
                          </w:rPr>
                          <w:t>452,063,442.00</w:t>
                        </w:r>
                        <w:r>
                          <w:rPr>
                            <w:rFonts w:ascii="Times New Roman"/>
                            <w:sz w:val="20"/>
                          </w:rPr>
                        </w:r>
                      </w:p>
                    </w:tc>
                  </w:tr>
                  <w:tr>
                    <w:trPr>
                      <w:trHeight w:val="1248"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85" w:lineRule="auto"/>
                          <w:ind w:left="309" w:right="1675"/>
                          <w:jc w:val="left"/>
                          <w:rPr>
                            <w:rFonts w:ascii="宋体" w:hAnsi="宋体" w:cs="宋体" w:eastAsia="宋体" w:hint="default"/>
                            <w:sz w:val="20"/>
                            <w:szCs w:val="20"/>
                          </w:rPr>
                        </w:pPr>
                        <w:r>
                          <w:rPr>
                            <w:rFonts w:ascii="宋体" w:hAnsi="宋体" w:cs="宋体" w:eastAsia="宋体" w:hint="default"/>
                            <w:sz w:val="20"/>
                            <w:szCs w:val="20"/>
                          </w:rPr>
                          <w:t>资本公积</w:t>
                        </w:r>
                        <w:r>
                          <w:rPr>
                            <w:rFonts w:ascii="宋体" w:hAnsi="宋体" w:cs="宋体" w:eastAsia="宋体" w:hint="default"/>
                            <w:w w:val="99"/>
                            <w:sz w:val="20"/>
                            <w:szCs w:val="20"/>
                          </w:rPr>
                          <w:t> </w:t>
                        </w:r>
                        <w:r>
                          <w:rPr>
                            <w:rFonts w:ascii="宋体" w:hAnsi="宋体" w:cs="宋体" w:eastAsia="宋体" w:hint="default"/>
                            <w:w w:val="95"/>
                            <w:sz w:val="20"/>
                            <w:szCs w:val="20"/>
                          </w:rPr>
                          <w:t>减：库存股</w:t>
                        </w:r>
                        <w:r>
                          <w:rPr>
                            <w:rFonts w:ascii="宋体" w:hAnsi="宋体" w:cs="宋体" w:eastAsia="宋体" w:hint="default"/>
                            <w:spacing w:val="-49"/>
                            <w:w w:val="95"/>
                            <w:sz w:val="20"/>
                            <w:szCs w:val="20"/>
                          </w:rPr>
                          <w:t> </w:t>
                        </w:r>
                        <w:r>
                          <w:rPr>
                            <w:rFonts w:ascii="宋体" w:hAnsi="宋体" w:cs="宋体" w:eastAsia="宋体" w:hint="default"/>
                            <w:sz w:val="20"/>
                            <w:szCs w:val="20"/>
                          </w:rPr>
                          <w:t>专项储备</w:t>
                        </w:r>
                        <w:r>
                          <w:rPr>
                            <w:rFonts w:ascii="宋体" w:hAnsi="宋体" w:cs="宋体" w:eastAsia="宋体" w:hint="default"/>
                            <w:w w:val="99"/>
                            <w:sz w:val="20"/>
                            <w:szCs w:val="20"/>
                          </w:rPr>
                          <w:t> </w:t>
                        </w:r>
                        <w:r>
                          <w:rPr>
                            <w:rFonts w:ascii="宋体" w:hAnsi="宋体" w:cs="宋体" w:eastAsia="宋体" w:hint="default"/>
                            <w:sz w:val="20"/>
                            <w:szCs w:val="20"/>
                          </w:rPr>
                          <w:t>盈余公积</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54" w:right="0"/>
                          <w:jc w:val="left"/>
                          <w:rPr>
                            <w:rFonts w:ascii="Garamond" w:hAnsi="Garamond" w:cs="Garamond" w:eastAsia="Garamond" w:hint="default"/>
                            <w:sz w:val="20"/>
                            <w:szCs w:val="20"/>
                          </w:rPr>
                        </w:pPr>
                        <w:r>
                          <w:rPr>
                            <w:rFonts w:ascii="Garamond"/>
                            <w:sz w:val="20"/>
                          </w:rPr>
                          <w:t>35</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54" w:right="0"/>
                          <w:jc w:val="left"/>
                          <w:rPr>
                            <w:rFonts w:ascii="Garamond" w:hAnsi="Garamond" w:cs="Garamond" w:eastAsia="Garamond" w:hint="default"/>
                            <w:sz w:val="20"/>
                            <w:szCs w:val="20"/>
                          </w:rPr>
                        </w:pPr>
                        <w:r>
                          <w:rPr>
                            <w:rFonts w:ascii="Garamond"/>
                            <w:sz w:val="20"/>
                          </w:rPr>
                          <w:t>36</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9"/>
                          <w:jc w:val="right"/>
                          <w:rPr>
                            <w:rFonts w:ascii="Times New Roman" w:hAnsi="Times New Roman" w:cs="Times New Roman" w:eastAsia="Times New Roman" w:hint="default"/>
                            <w:sz w:val="20"/>
                            <w:szCs w:val="20"/>
                          </w:rPr>
                        </w:pPr>
                        <w:r>
                          <w:rPr>
                            <w:rFonts w:ascii="Times New Roman"/>
                            <w:w w:val="95"/>
                            <w:sz w:val="20"/>
                          </w:rPr>
                          <w:t>1,651,721,573.30</w:t>
                        </w:r>
                        <w:r>
                          <w:rPr>
                            <w:rFonts w:ascii="Times New Roman"/>
                            <w:sz w:val="20"/>
                          </w:rPr>
                        </w:r>
                      </w:p>
                      <w:p>
                        <w:pPr>
                          <w:pStyle w:val="TableParagraph"/>
                          <w:spacing w:line="240" w:lineRule="auto" w:before="82"/>
                          <w:ind w:right="7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26" w:lineRule="auto" w:before="82"/>
                          <w:ind w:left="1164" w:right="767" w:firstLine="1183"/>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104,283,760.13</w:t>
                        </w:r>
                        <w:r>
                          <w:rPr>
                            <w:rFonts w:ascii="Times New Roman"/>
                            <w:sz w:val="20"/>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1,942,601,653.50</w:t>
                        </w:r>
                        <w:r>
                          <w:rPr>
                            <w:rFonts w:ascii="Times New Roman"/>
                            <w:sz w:val="20"/>
                          </w:rPr>
                        </w:r>
                      </w:p>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26" w:lineRule="auto" w:before="82"/>
                          <w:ind w:left="1012" w:right="104" w:firstLine="1082"/>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92,420,935.37</w:t>
                        </w:r>
                        <w:r>
                          <w:rPr>
                            <w:rFonts w:ascii="Times New Roman"/>
                            <w:sz w:val="20"/>
                          </w:rPr>
                        </w:r>
                      </w:p>
                    </w:tc>
                  </w:tr>
                  <w:tr>
                    <w:trPr>
                      <w:trHeight w:val="623"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85" w:lineRule="auto"/>
                          <w:ind w:left="309" w:right="1077"/>
                          <w:jc w:val="left"/>
                          <w:rPr>
                            <w:rFonts w:ascii="宋体" w:hAnsi="宋体" w:cs="宋体" w:eastAsia="宋体" w:hint="default"/>
                            <w:sz w:val="20"/>
                            <w:szCs w:val="20"/>
                          </w:rPr>
                        </w:pPr>
                        <w:r>
                          <w:rPr>
                            <w:rFonts w:ascii="宋体" w:hAnsi="宋体" w:cs="宋体" w:eastAsia="宋体" w:hint="default"/>
                            <w:sz w:val="20"/>
                            <w:szCs w:val="20"/>
                          </w:rPr>
                          <w:t>未分配利润</w:t>
                        </w:r>
                        <w:r>
                          <w:rPr>
                            <w:rFonts w:ascii="宋体" w:hAnsi="宋体" w:cs="宋体" w:eastAsia="宋体" w:hint="default"/>
                            <w:w w:val="99"/>
                            <w:sz w:val="20"/>
                            <w:szCs w:val="20"/>
                          </w:rPr>
                          <w:t> </w:t>
                        </w:r>
                        <w:r>
                          <w:rPr>
                            <w:rFonts w:ascii="宋体" w:hAnsi="宋体" w:cs="宋体" w:eastAsia="宋体" w:hint="default"/>
                            <w:w w:val="95"/>
                            <w:sz w:val="20"/>
                            <w:szCs w:val="20"/>
                          </w:rPr>
                          <w:t>外币报表折算差额</w:t>
                        </w:r>
                        <w:r>
                          <w:rPr>
                            <w:rFonts w:ascii="宋体" w:hAnsi="宋体" w:cs="宋体" w:eastAsia="宋体" w:hint="default"/>
                            <w:sz w:val="20"/>
                            <w:szCs w:val="20"/>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center"/>
                          <w:rPr>
                            <w:rFonts w:ascii="Garamond" w:hAnsi="Garamond" w:cs="Garamond" w:eastAsia="Garamond" w:hint="default"/>
                            <w:sz w:val="20"/>
                            <w:szCs w:val="20"/>
                          </w:rPr>
                        </w:pPr>
                        <w:r>
                          <w:rPr>
                            <w:rFonts w:ascii="Garamond"/>
                            <w:sz w:val="20"/>
                          </w:rPr>
                          <w:t>37</w:t>
                        </w:r>
                      </w:p>
                    </w:tc>
                    <w:tc>
                      <w:tcPr>
                        <w:tcW w:w="3185" w:type="dxa"/>
                        <w:tcBorders>
                          <w:top w:val="nil" w:sz="6" w:space="0" w:color="auto"/>
                          <w:left w:val="nil" w:sz="6" w:space="0" w:color="auto"/>
                          <w:bottom w:val="single" w:sz="4" w:space="0" w:color="000008"/>
                          <w:right w:val="nil" w:sz="6" w:space="0" w:color="auto"/>
                        </w:tcBorders>
                      </w:tcPr>
                      <w:p>
                        <w:pPr>
                          <w:pStyle w:val="TableParagraph"/>
                          <w:spacing w:line="240" w:lineRule="auto" w:before="35"/>
                          <w:ind w:right="767"/>
                          <w:jc w:val="right"/>
                          <w:rPr>
                            <w:rFonts w:ascii="Times New Roman" w:hAnsi="Times New Roman" w:cs="Times New Roman" w:eastAsia="Times New Roman" w:hint="default"/>
                            <w:sz w:val="20"/>
                            <w:szCs w:val="20"/>
                          </w:rPr>
                        </w:pPr>
                        <w:r>
                          <w:rPr>
                            <w:rFonts w:ascii="Times New Roman"/>
                            <w:w w:val="95"/>
                            <w:sz w:val="20"/>
                          </w:rPr>
                          <w:t>360,474,632.30</w:t>
                        </w:r>
                        <w:r>
                          <w:rPr>
                            <w:rFonts w:ascii="Times New Roman"/>
                            <w:sz w:val="20"/>
                          </w:rPr>
                        </w:r>
                      </w:p>
                      <w:p>
                        <w:pPr>
                          <w:pStyle w:val="TableParagraph"/>
                          <w:spacing w:line="240" w:lineRule="auto" w:before="82"/>
                          <w:ind w:right="7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70" w:type="dxa"/>
                        <w:tcBorders>
                          <w:top w:val="nil" w:sz="6" w:space="0" w:color="auto"/>
                          <w:left w:val="nil" w:sz="6" w:space="0" w:color="auto"/>
                          <w:bottom w:val="single" w:sz="5" w:space="0" w:color="000008"/>
                          <w:right w:val="nil" w:sz="6" w:space="0" w:color="auto"/>
                        </w:tcBorders>
                      </w:tcPr>
                      <w:p>
                        <w:pPr>
                          <w:pStyle w:val="TableParagraph"/>
                          <w:spacing w:line="240" w:lineRule="auto" w:before="35"/>
                          <w:ind w:right="104"/>
                          <w:jc w:val="right"/>
                          <w:rPr>
                            <w:rFonts w:ascii="Times New Roman" w:hAnsi="Times New Roman" w:cs="Times New Roman" w:eastAsia="Times New Roman" w:hint="default"/>
                            <w:sz w:val="20"/>
                            <w:szCs w:val="20"/>
                          </w:rPr>
                        </w:pPr>
                        <w:r>
                          <w:rPr>
                            <w:rFonts w:ascii="Times New Roman"/>
                            <w:w w:val="95"/>
                            <w:sz w:val="20"/>
                          </w:rPr>
                          <w:t>354,959,339.36</w:t>
                        </w:r>
                        <w:r>
                          <w:rPr>
                            <w:rFonts w:ascii="Times New Roman"/>
                            <w:sz w:val="20"/>
                          </w:rPr>
                        </w:r>
                      </w:p>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79"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归属于母公司所有者权益合计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185" w:type="dxa"/>
                        <w:tcBorders>
                          <w:top w:val="single" w:sz="4" w:space="0" w:color="000008"/>
                          <w:left w:val="nil" w:sz="6" w:space="0" w:color="auto"/>
                          <w:bottom w:val="single" w:sz="4" w:space="0" w:color="000008"/>
                          <w:right w:val="nil" w:sz="6" w:space="0" w:color="auto"/>
                        </w:tcBorders>
                      </w:tcPr>
                      <w:p>
                        <w:pPr>
                          <w:pStyle w:val="TableParagraph"/>
                          <w:spacing w:line="240" w:lineRule="auto" w:before="36"/>
                          <w:ind w:right="763"/>
                          <w:jc w:val="right"/>
                          <w:rPr>
                            <w:rFonts w:ascii="Times New Roman" w:hAnsi="Times New Roman" w:cs="Times New Roman" w:eastAsia="Times New Roman" w:hint="default"/>
                            <w:sz w:val="20"/>
                            <w:szCs w:val="20"/>
                          </w:rPr>
                        </w:pPr>
                        <w:r>
                          <w:rPr>
                            <w:rFonts w:ascii="Times New Roman"/>
                            <w:b/>
                            <w:w w:val="95"/>
                            <w:sz w:val="20"/>
                          </w:rPr>
                          <w:t>2,884,987,816.73</w:t>
                        </w:r>
                        <w:r>
                          <w:rPr>
                            <w:rFonts w:ascii="Times New Roman"/>
                            <w:sz w:val="20"/>
                          </w:rPr>
                        </w:r>
                      </w:p>
                    </w:tc>
                    <w:tc>
                      <w:tcPr>
                        <w:tcW w:w="2270" w:type="dxa"/>
                        <w:tcBorders>
                          <w:top w:val="single" w:sz="5" w:space="0" w:color="000008"/>
                          <w:left w:val="nil" w:sz="6" w:space="0" w:color="auto"/>
                          <w:bottom w:val="single" w:sz="4" w:space="0" w:color="000008"/>
                          <w:right w:val="nil" w:sz="6" w:space="0" w:color="auto"/>
                        </w:tcBorders>
                      </w:tcPr>
                      <w:p>
                        <w:pPr>
                          <w:pStyle w:val="TableParagraph"/>
                          <w:spacing w:line="240" w:lineRule="auto" w:before="35"/>
                          <w:ind w:right="98"/>
                          <w:jc w:val="right"/>
                          <w:rPr>
                            <w:rFonts w:ascii="Times New Roman" w:hAnsi="Times New Roman" w:cs="Times New Roman" w:eastAsia="Times New Roman" w:hint="default"/>
                            <w:sz w:val="20"/>
                            <w:szCs w:val="20"/>
                          </w:rPr>
                        </w:pPr>
                        <w:r>
                          <w:rPr>
                            <w:rFonts w:ascii="Times New Roman"/>
                            <w:b/>
                            <w:w w:val="95"/>
                            <w:sz w:val="20"/>
                          </w:rPr>
                          <w:t>2,842,045,370.23</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79" w:lineRule="exact"/>
                          <w:ind w:left="30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少数股东权益</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185" w:type="dxa"/>
                        <w:tcBorders>
                          <w:top w:val="single" w:sz="4" w:space="0" w:color="000008"/>
                          <w:left w:val="nil" w:sz="6" w:space="0" w:color="auto"/>
                          <w:bottom w:val="single" w:sz="4" w:space="0" w:color="000008"/>
                          <w:right w:val="nil" w:sz="6" w:space="0" w:color="auto"/>
                        </w:tcBorders>
                      </w:tcPr>
                      <w:p>
                        <w:pPr>
                          <w:pStyle w:val="TableParagraph"/>
                          <w:spacing w:line="240" w:lineRule="auto" w:before="36"/>
                          <w:ind w:right="767"/>
                          <w:jc w:val="right"/>
                          <w:rPr>
                            <w:rFonts w:ascii="Times New Roman" w:hAnsi="Times New Roman" w:cs="Times New Roman" w:eastAsia="Times New Roman" w:hint="default"/>
                            <w:sz w:val="20"/>
                            <w:szCs w:val="20"/>
                          </w:rPr>
                        </w:pPr>
                        <w:r>
                          <w:rPr>
                            <w:rFonts w:ascii="Times New Roman"/>
                            <w:w w:val="95"/>
                            <w:sz w:val="20"/>
                          </w:rPr>
                          <w:t>583,003,453.52</w:t>
                        </w:r>
                        <w:r>
                          <w:rPr>
                            <w:rFonts w:ascii="Times New Roman"/>
                            <w:sz w:val="20"/>
                          </w:rPr>
                        </w:r>
                      </w:p>
                    </w:tc>
                    <w:tc>
                      <w:tcPr>
                        <w:tcW w:w="2270" w:type="dxa"/>
                        <w:tcBorders>
                          <w:top w:val="single" w:sz="4" w:space="0" w:color="000008"/>
                          <w:left w:val="nil" w:sz="6" w:space="0" w:color="auto"/>
                          <w:bottom w:val="single" w:sz="5" w:space="0" w:color="000008"/>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0"/>
                            <w:szCs w:val="20"/>
                          </w:rPr>
                        </w:pPr>
                        <w:r>
                          <w:rPr>
                            <w:rFonts w:ascii="Times New Roman"/>
                            <w:w w:val="95"/>
                            <w:sz w:val="20"/>
                          </w:rPr>
                          <w:t>566,615,361.35</w:t>
                        </w:r>
                        <w:r>
                          <w:rPr>
                            <w:rFonts w:ascii="Times New Roman"/>
                            <w:sz w:val="20"/>
                          </w:rPr>
                        </w:r>
                      </w:p>
                    </w:tc>
                  </w:tr>
                  <w:tr>
                    <w:trPr>
                      <w:trHeight w:val="31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79" w:lineRule="exact"/>
                          <w:ind w:left="7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185" w:type="dxa"/>
                        <w:tcBorders>
                          <w:top w:val="single" w:sz="4" w:space="0" w:color="000008"/>
                          <w:left w:val="nil" w:sz="6" w:space="0" w:color="auto"/>
                          <w:bottom w:val="single" w:sz="4" w:space="0" w:color="000008"/>
                          <w:right w:val="nil" w:sz="6" w:space="0" w:color="auto"/>
                        </w:tcBorders>
                      </w:tcPr>
                      <w:p>
                        <w:pPr>
                          <w:pStyle w:val="TableParagraph"/>
                          <w:spacing w:line="240" w:lineRule="auto" w:before="36"/>
                          <w:ind w:right="763"/>
                          <w:jc w:val="right"/>
                          <w:rPr>
                            <w:rFonts w:ascii="Times New Roman" w:hAnsi="Times New Roman" w:cs="Times New Roman" w:eastAsia="Times New Roman" w:hint="default"/>
                            <w:sz w:val="20"/>
                            <w:szCs w:val="20"/>
                          </w:rPr>
                        </w:pPr>
                        <w:r>
                          <w:rPr>
                            <w:rFonts w:ascii="Times New Roman"/>
                            <w:b/>
                            <w:w w:val="95"/>
                            <w:sz w:val="20"/>
                          </w:rPr>
                          <w:t>3,467,991,270.25</w:t>
                        </w:r>
                        <w:r>
                          <w:rPr>
                            <w:rFonts w:ascii="Times New Roman"/>
                            <w:sz w:val="20"/>
                          </w:rPr>
                        </w:r>
                      </w:p>
                    </w:tc>
                    <w:tc>
                      <w:tcPr>
                        <w:tcW w:w="2270" w:type="dxa"/>
                        <w:tcBorders>
                          <w:top w:val="single" w:sz="5" w:space="0" w:color="000008"/>
                          <w:left w:val="nil" w:sz="6" w:space="0" w:color="auto"/>
                          <w:bottom w:val="single" w:sz="4" w:space="0" w:color="000008"/>
                          <w:right w:val="nil" w:sz="6" w:space="0" w:color="auto"/>
                        </w:tcBorders>
                      </w:tcPr>
                      <w:p>
                        <w:pPr>
                          <w:pStyle w:val="TableParagraph"/>
                          <w:spacing w:line="240" w:lineRule="auto" w:before="35"/>
                          <w:ind w:right="98"/>
                          <w:jc w:val="right"/>
                          <w:rPr>
                            <w:rFonts w:ascii="Times New Roman" w:hAnsi="Times New Roman" w:cs="Times New Roman" w:eastAsia="Times New Roman" w:hint="default"/>
                            <w:sz w:val="20"/>
                            <w:szCs w:val="20"/>
                          </w:rPr>
                        </w:pPr>
                        <w:r>
                          <w:rPr>
                            <w:rFonts w:ascii="Times New Roman"/>
                            <w:b/>
                            <w:w w:val="95"/>
                            <w:sz w:val="20"/>
                          </w:rPr>
                          <w:t>3,408,660,731.58</w:t>
                        </w:r>
                        <w:r>
                          <w:rPr>
                            <w:rFonts w:ascii="Times New Roman"/>
                            <w:sz w:val="20"/>
                          </w:rPr>
                        </w:r>
                      </w:p>
                    </w:tc>
                  </w:tr>
                  <w:tr>
                    <w:trPr>
                      <w:trHeight w:val="329"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79" w:lineRule="exact"/>
                          <w:ind w:left="4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185" w:type="dxa"/>
                        <w:tcBorders>
                          <w:top w:val="single" w:sz="4" w:space="0" w:color="000008"/>
                          <w:left w:val="nil" w:sz="6" w:space="0" w:color="auto"/>
                          <w:bottom w:val="single" w:sz="17" w:space="0" w:color="000008"/>
                          <w:right w:val="nil" w:sz="6" w:space="0" w:color="auto"/>
                        </w:tcBorders>
                      </w:tcPr>
                      <w:p>
                        <w:pPr>
                          <w:pStyle w:val="TableParagraph"/>
                          <w:spacing w:line="240" w:lineRule="auto" w:before="36"/>
                          <w:ind w:right="763"/>
                          <w:jc w:val="right"/>
                          <w:rPr>
                            <w:rFonts w:ascii="Times New Roman" w:hAnsi="Times New Roman" w:cs="Times New Roman" w:eastAsia="Times New Roman" w:hint="default"/>
                            <w:sz w:val="20"/>
                            <w:szCs w:val="20"/>
                          </w:rPr>
                        </w:pPr>
                        <w:r>
                          <w:rPr>
                            <w:rFonts w:ascii="Times New Roman"/>
                            <w:b/>
                            <w:w w:val="95"/>
                            <w:sz w:val="20"/>
                          </w:rPr>
                          <w:t>7,011,003,579.40</w:t>
                        </w:r>
                        <w:r>
                          <w:rPr>
                            <w:rFonts w:ascii="Times New Roman"/>
                            <w:sz w:val="20"/>
                          </w:rPr>
                        </w:r>
                      </w:p>
                    </w:tc>
                    <w:tc>
                      <w:tcPr>
                        <w:tcW w:w="2270" w:type="dxa"/>
                        <w:tcBorders>
                          <w:top w:val="single" w:sz="4" w:space="0" w:color="000008"/>
                          <w:left w:val="nil" w:sz="6" w:space="0" w:color="auto"/>
                          <w:bottom w:val="single" w:sz="17" w:space="0" w:color="000008"/>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b/>
                            <w:w w:val="95"/>
                            <w:sz w:val="20"/>
                          </w:rPr>
                          <w:t>6,154,610,506.52</w:t>
                        </w:r>
                        <w:r>
                          <w:rPr>
                            <w:rFonts w:ascii="Times New Roman"/>
                            <w:sz w:val="20"/>
                          </w:rPr>
                        </w:r>
                      </w:p>
                    </w:tc>
                  </w:tr>
                </w:tbl>
                <w:p>
                  <w:pPr/>
                </w:p>
              </w:txbxContent>
            </v:textbox>
            <w10:wrap type="none"/>
          </v:shape>
        </w:pict>
      </w:r>
      <w:r>
        <w:rPr>
          <w:rFonts w:ascii="Microsoft JhengHei" w:hAnsi="Microsoft JhengHei" w:cs="Microsoft JhengHei" w:eastAsia="Microsoft JhengHei" w:hint="default"/>
          <w:b/>
          <w:bCs/>
          <w:sz w:val="20"/>
          <w:szCs w:val="20"/>
        </w:rPr>
        <w:t>编制单位：深圳市农产品股份有限公司</w:t>
        <w:tab/>
        <w:t>金额单位：人民币元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pacing w:val="-48"/>
          <w:sz w:val="20"/>
          <w:szCs w:val="20"/>
        </w:rPr>
      </w:r>
      <w:r>
        <w:rPr>
          <w:rFonts w:ascii="Microsoft JhengHei" w:hAnsi="Microsoft JhengHei" w:cs="Microsoft JhengHei" w:eastAsia="Microsoft JhengHei" w:hint="default"/>
          <w:b/>
          <w:bCs/>
          <w:sz w:val="20"/>
          <w:szCs w:val="20"/>
        </w:rPr>
        <w:t>负债和所有者权益</w:t>
      </w:r>
      <w:r>
        <w:rPr>
          <w:rFonts w:ascii="Microsoft JhengHei" w:hAnsi="Microsoft JhengHei" w:cs="Microsoft JhengHei" w:eastAsia="Microsoft JhengHei" w:hint="default"/>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9"/>
          <w:szCs w:val="29"/>
        </w:rPr>
      </w:pPr>
    </w:p>
    <w:p>
      <w:pPr>
        <w:spacing w:line="20" w:lineRule="exact"/>
        <w:ind w:left="39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73.45pt;height:.6pt;mso-position-horizontal-relative:char;mso-position-vertical-relative:line" coordorigin="0,0" coordsize="546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12;height:2" coordorigin="2521,6" coordsize="12,2">
              <v:shape style="position:absolute;left:2521;top:6;width:12;height:2" coordorigin="2521,6" coordsize="12,0" path="m2521,6l2533,6e" filled="false" stroked="true" strokeweight=".6pt" strokecolor="#000008">
                <v:path arrowok="t"/>
              </v:shape>
            </v:group>
            <v:group style="position:absolute;left:2540;top:6;width:12;height:2" coordorigin="2540,6" coordsize="12,2">
              <v:shape style="position:absolute;left:2540;top:6;width:12;height:2" coordorigin="2540,6" coordsize="12,0" path="m2540,6l2552,6e" filled="false" stroked="true" strokeweight=".6pt" strokecolor="#000008">
                <v:path arrowok="t"/>
              </v:shape>
            </v:group>
            <v:group style="position:absolute;left:2560;top:6;width:12;height:2" coordorigin="2560,6" coordsize="12,2">
              <v:shape style="position:absolute;left:2560;top:6;width:12;height:2" coordorigin="2560,6" coordsize="12,0" path="m2560,6l2572,6e" filled="false" stroked="true" strokeweight=".6pt" strokecolor="#000008">
                <v:path arrowok="t"/>
              </v:shape>
            </v:group>
            <v:group style="position:absolute;left:2579;top:6;width:12;height:2" coordorigin="2579,6" coordsize="12,2">
              <v:shape style="position:absolute;left:2579;top:6;width:12;height:2" coordorigin="2579,6" coordsize="12,0" path="m2579,6l2591,6e" filled="false" stroked="true" strokeweight=".6pt" strokecolor="#000008">
                <v:path arrowok="t"/>
              </v:shape>
            </v:group>
            <v:group style="position:absolute;left:2598;top:6;width:12;height:2" coordorigin="2598,6" coordsize="12,2">
              <v:shape style="position:absolute;left:2598;top:6;width:12;height:2" coordorigin="2598,6" coordsize="12,0" path="m2598,6l2610,6e" filled="false" stroked="true" strokeweight=".6pt" strokecolor="#000008">
                <v:path arrowok="t"/>
              </v:shape>
            </v:group>
            <v:group style="position:absolute;left:2617;top:6;width:12;height:2" coordorigin="2617,6" coordsize="12,2">
              <v:shape style="position:absolute;left:2617;top:6;width:12;height:2" coordorigin="2617,6" coordsize="12,0" path="m2617,6l2629,6e" filled="false" stroked="true" strokeweight=".6pt" strokecolor="#000008">
                <v:path arrowok="t"/>
              </v:shape>
            </v:group>
            <v:group style="position:absolute;left:2636;top:6;width:12;height:2" coordorigin="2636,6" coordsize="12,2">
              <v:shape style="position:absolute;left:2636;top:6;width:12;height:2" coordorigin="2636,6" coordsize="12,0" path="m2636,6l2648,6e" filled="false" stroked="true" strokeweight=".6pt" strokecolor="#000008">
                <v:path arrowok="t"/>
              </v:shape>
            </v:group>
            <v:group style="position:absolute;left:2656;top:6;width:12;height:2" coordorigin="2656,6" coordsize="12,2">
              <v:shape style="position:absolute;left:2656;top:6;width:12;height:2" coordorigin="2656,6" coordsize="12,0" path="m2656,6l2668,6e" filled="false" stroked="true" strokeweight=".6pt" strokecolor="#000008">
                <v:path arrowok="t"/>
              </v:shape>
            </v:group>
            <v:group style="position:absolute;left:2675;top:6;width:12;height:2" coordorigin="2675,6" coordsize="12,2">
              <v:shape style="position:absolute;left:2675;top:6;width:12;height:2" coordorigin="2675,6" coordsize="12,0" path="m2675,6l2687,6e" filled="false" stroked="true" strokeweight=".6pt" strokecolor="#000008">
                <v:path arrowok="t"/>
              </v:shape>
            </v:group>
            <v:group style="position:absolute;left:2694;top:6;width:12;height:2" coordorigin="2694,6" coordsize="12,2">
              <v:shape style="position:absolute;left:2694;top:6;width:12;height:2" coordorigin="2694,6" coordsize="12,0" path="m2694,6l2706,6e" filled="false" stroked="true" strokeweight=".6pt" strokecolor="#000008">
                <v:path arrowok="t"/>
              </v:shape>
            </v:group>
            <v:group style="position:absolute;left:2713;top:6;width:12;height:2" coordorigin="2713,6" coordsize="12,2">
              <v:shape style="position:absolute;left:2713;top:6;width:12;height:2" coordorigin="2713,6" coordsize="12,0" path="m2713,6l2725,6e" filled="false" stroked="true" strokeweight=".6pt" strokecolor="#000008">
                <v:path arrowok="t"/>
              </v:shape>
            </v:group>
            <v:group style="position:absolute;left:2732;top:6;width:12;height:2" coordorigin="2732,6" coordsize="12,2">
              <v:shape style="position:absolute;left:2732;top:6;width:12;height:2" coordorigin="2732,6" coordsize="12,0" path="m2732,6l2744,6e" filled="false" stroked="true" strokeweight=".6pt" strokecolor="#000008">
                <v:path arrowok="t"/>
              </v:shape>
            </v:group>
            <v:group style="position:absolute;left:2752;top:6;width:12;height:2" coordorigin="2752,6" coordsize="12,2">
              <v:shape style="position:absolute;left:2752;top:6;width:12;height:2" coordorigin="2752,6" coordsize="12,0" path="m2752,6l2764,6e" filled="false" stroked="true" strokeweight=".6pt" strokecolor="#000008">
                <v:path arrowok="t"/>
              </v:shape>
            </v:group>
            <v:group style="position:absolute;left:2771;top:6;width:12;height:2" coordorigin="2771,6" coordsize="12,2">
              <v:shape style="position:absolute;left:2771;top:6;width:12;height:2" coordorigin="2771,6" coordsize="12,0" path="m2771,6l2783,6e" filled="false" stroked="true" strokeweight=".6pt" strokecolor="#000008">
                <v:path arrowok="t"/>
              </v:shape>
            </v:group>
            <v:group style="position:absolute;left:2790;top:6;width:12;height:2" coordorigin="2790,6" coordsize="12,2">
              <v:shape style="position:absolute;left:2790;top:6;width:12;height:2" coordorigin="2790,6" coordsize="12,0" path="m2790,6l2802,6e" filled="false" stroked="true" strokeweight=".6pt" strokecolor="#000008">
                <v:path arrowok="t"/>
              </v:shape>
            </v:group>
            <v:group style="position:absolute;left:2809;top:6;width:12;height:2" coordorigin="2809,6" coordsize="12,2">
              <v:shape style="position:absolute;left:2809;top:6;width:12;height:2" coordorigin="2809,6" coordsize="12,0" path="m2809,6l2821,6e" filled="false" stroked="true" strokeweight=".6pt" strokecolor="#000008">
                <v:path arrowok="t"/>
              </v:shape>
            </v:group>
            <v:group style="position:absolute;left:2828;top:6;width:12;height:2" coordorigin="2828,6" coordsize="12,2">
              <v:shape style="position:absolute;left:2828;top:6;width:12;height:2" coordorigin="2828,6" coordsize="12,0" path="m2828,6l2840,6e" filled="false" stroked="true" strokeweight=".6pt" strokecolor="#000008">
                <v:path arrowok="t"/>
              </v:shape>
            </v:group>
            <v:group style="position:absolute;left:2848;top:6;width:12;height:2" coordorigin="2848,6" coordsize="12,2">
              <v:shape style="position:absolute;left:2848;top:6;width:12;height:2" coordorigin="2848,6" coordsize="12,0" path="m2848,6l2860,6e" filled="false" stroked="true" strokeweight=".6pt" strokecolor="#000008">
                <v:path arrowok="t"/>
              </v:shape>
            </v:group>
            <v:group style="position:absolute;left:2867;top:6;width:12;height:2" coordorigin="2867,6" coordsize="12,2">
              <v:shape style="position:absolute;left:2867;top:6;width:12;height:2" coordorigin="2867,6" coordsize="12,0" path="m2867,6l2879,6e" filled="false" stroked="true" strokeweight=".6pt" strokecolor="#000008">
                <v:path arrowok="t"/>
              </v:shape>
            </v:group>
            <v:group style="position:absolute;left:2886;top:6;width:12;height:2" coordorigin="2886,6" coordsize="12,2">
              <v:shape style="position:absolute;left:2886;top:6;width:12;height:2" coordorigin="2886,6" coordsize="12,0" path="m2886,6l2898,6e" filled="false" stroked="true" strokeweight=".6pt" strokecolor="#000008">
                <v:path arrowok="t"/>
              </v:shape>
            </v:group>
            <v:group style="position:absolute;left:2905;top:6;width:12;height:2" coordorigin="2905,6" coordsize="12,2">
              <v:shape style="position:absolute;left:2905;top:6;width:12;height:2" coordorigin="2905,6" coordsize="12,0" path="m2905,6l2917,6e" filled="false" stroked="true" strokeweight=".6pt" strokecolor="#000008">
                <v:path arrowok="t"/>
              </v:shape>
            </v:group>
            <v:group style="position:absolute;left:2924;top:6;width:12;height:2" coordorigin="2924,6" coordsize="12,2">
              <v:shape style="position:absolute;left:2924;top:6;width:12;height:2" coordorigin="2924,6" coordsize="12,0" path="m2924,6l2936,6e" filled="false" stroked="true" strokeweight=".6pt" strokecolor="#000008">
                <v:path arrowok="t"/>
              </v:shape>
            </v:group>
            <v:group style="position:absolute;left:2944;top:6;width:12;height:2" coordorigin="2944,6" coordsize="12,2">
              <v:shape style="position:absolute;left:2944;top:6;width:12;height:2" coordorigin="2944,6" coordsize="12,0" path="m2944,6l2956,6e" filled="false" stroked="true" strokeweight=".6pt" strokecolor="#000008">
                <v:path arrowok="t"/>
              </v:shape>
            </v:group>
            <v:group style="position:absolute;left:2963;top:6;width:12;height:2" coordorigin="2963,6" coordsize="12,2">
              <v:shape style="position:absolute;left:2963;top:6;width:12;height:2" coordorigin="2963,6" coordsize="12,0" path="m2963,6l2975,6e" filled="false" stroked="true" strokeweight=".6pt" strokecolor="#000008">
                <v:path arrowok="t"/>
              </v:shape>
            </v:group>
            <v:group style="position:absolute;left:2982;top:6;width:12;height:2" coordorigin="2982,6" coordsize="12,2">
              <v:shape style="position:absolute;left:2982;top:6;width:12;height:2" coordorigin="2982,6" coordsize="12,0" path="m2982,6l2994,6e" filled="false" stroked="true" strokeweight=".6pt" strokecolor="#000008">
                <v:path arrowok="t"/>
              </v:shape>
            </v:group>
            <v:group style="position:absolute;left:3001;top:6;width:12;height:2" coordorigin="3001,6" coordsize="12,2">
              <v:shape style="position:absolute;left:3001;top:6;width:12;height:2" coordorigin="3001,6" coordsize="12,0" path="m3001,6l3013,6e" filled="false" stroked="true" strokeweight=".6pt" strokecolor="#000008">
                <v:path arrowok="t"/>
              </v:shape>
            </v:group>
            <v:group style="position:absolute;left:3020;top:6;width:12;height:2" coordorigin="3020,6" coordsize="12,2">
              <v:shape style="position:absolute;left:3020;top:6;width:12;height:2" coordorigin="3020,6" coordsize="12,0" path="m3020,6l3032,6e" filled="false" stroked="true" strokeweight=".6pt" strokecolor="#000008">
                <v:path arrowok="t"/>
              </v:shape>
            </v:group>
            <v:group style="position:absolute;left:3040;top:6;width:12;height:2" coordorigin="3040,6" coordsize="12,2">
              <v:shape style="position:absolute;left:3040;top:6;width:12;height:2" coordorigin="3040,6" coordsize="12,0" path="m3040,6l3052,6e" filled="false" stroked="true" strokeweight=".6pt" strokecolor="#000008">
                <v:path arrowok="t"/>
              </v:shape>
            </v:group>
            <v:group style="position:absolute;left:3059;top:6;width:12;height:2" coordorigin="3059,6" coordsize="12,2">
              <v:shape style="position:absolute;left:3059;top:6;width:12;height:2" coordorigin="3059,6" coordsize="12,0" path="m3059,6l3071,6e" filled="false" stroked="true" strokeweight=".6pt" strokecolor="#000008">
                <v:path arrowok="t"/>
              </v:shape>
            </v:group>
            <v:group style="position:absolute;left:3078;top:6;width:12;height:2" coordorigin="3078,6" coordsize="12,2">
              <v:shape style="position:absolute;left:3078;top:6;width:12;height:2" coordorigin="3078,6" coordsize="12,0" path="m3078,6l3090,6e" filled="false" stroked="true" strokeweight=".6pt" strokecolor="#000008">
                <v:path arrowok="t"/>
              </v:shape>
            </v:group>
            <v:group style="position:absolute;left:3097;top:6;width:12;height:2" coordorigin="3097,6" coordsize="12,2">
              <v:shape style="position:absolute;left:3097;top:6;width:12;height:2" coordorigin="3097,6" coordsize="12,0" path="m3097,6l3109,6e" filled="false" stroked="true" strokeweight=".6pt" strokecolor="#000008">
                <v:path arrowok="t"/>
              </v:shape>
            </v:group>
            <v:group style="position:absolute;left:3116;top:6;width:12;height:2" coordorigin="3116,6" coordsize="12,2">
              <v:shape style="position:absolute;left:3116;top:6;width:12;height:2" coordorigin="3116,6" coordsize="12,0" path="m3116,6l3128,6e" filled="false" stroked="true" strokeweight=".6pt" strokecolor="#000008">
                <v:path arrowok="t"/>
              </v:shape>
            </v:group>
            <v:group style="position:absolute;left:3136;top:6;width:12;height:2" coordorigin="3136,6" coordsize="12,2">
              <v:shape style="position:absolute;left:3136;top:6;width:12;height:2" coordorigin="3136,6" coordsize="12,0" path="m3136,6l3148,6e" filled="false" stroked="true" strokeweight=".6pt" strokecolor="#000008">
                <v:path arrowok="t"/>
              </v:shape>
            </v:group>
            <v:group style="position:absolute;left:3155;top:6;width:12;height:2" coordorigin="3155,6" coordsize="12,2">
              <v:shape style="position:absolute;left:3155;top:6;width:12;height:2" coordorigin="3155,6" coordsize="12,0" path="m3155,6l3167,6e" filled="false" stroked="true" strokeweight=".6pt" strokecolor="#000008">
                <v:path arrowok="t"/>
              </v:shape>
            </v:group>
            <v:group style="position:absolute;left:3174;top:6;width:12;height:2" coordorigin="3174,6" coordsize="12,2">
              <v:shape style="position:absolute;left:3174;top:6;width:12;height:2" coordorigin="3174,6" coordsize="12,0" path="m3174,6l3186,6e" filled="false" stroked="true" strokeweight=".6pt" strokecolor="#000008">
                <v:path arrowok="t"/>
              </v:shape>
            </v:group>
            <v:group style="position:absolute;left:3193;top:6;width:12;height:2" coordorigin="3193,6" coordsize="12,2">
              <v:shape style="position:absolute;left:3193;top:6;width:12;height:2" coordorigin="3193,6" coordsize="12,0" path="m3193,6l3205,6e" filled="false" stroked="true" strokeweight=".6pt" strokecolor="#000008">
                <v:path arrowok="t"/>
              </v:shape>
            </v:group>
            <v:group style="position:absolute;left:3212;top:6;width:12;height:2" coordorigin="3212,6" coordsize="12,2">
              <v:shape style="position:absolute;left:3212;top:6;width:12;height:2" coordorigin="3212,6" coordsize="12,0" path="m3212,6l3224,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096;top:6;width:12;height:2" coordorigin="4096,6" coordsize="12,2">
              <v:shape style="position:absolute;left:4096;top:6;width:12;height:2" coordorigin="4096,6" coordsize="12,0" path="m4096,6l410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12;height:2" coordorigin="4268,6" coordsize="12,2">
              <v:shape style="position:absolute;left:4268;top:6;width:12;height:2" coordorigin="4268,6" coordsize="12,0" path="m4268,6l4280,6e" filled="false" stroked="true" strokeweight=".6pt" strokecolor="#000008">
                <v:path arrowok="t"/>
              </v:shape>
            </v:group>
            <v:group style="position:absolute;left:4288;top:6;width:12;height:2" coordorigin="4288,6" coordsize="12,2">
              <v:shape style="position:absolute;left:4288;top:6;width:12;height:2" coordorigin="4288,6" coordsize="12,0" path="m4288,6l4300,6e" filled="false" stroked="true" strokeweight=".6pt" strokecolor="#000008">
                <v:path arrowok="t"/>
              </v:shape>
            </v:group>
            <v:group style="position:absolute;left:4307;top:6;width:12;height:2" coordorigin="4307,6" coordsize="12,2">
              <v:shape style="position:absolute;left:4307;top:6;width:12;height:2" coordorigin="4307,6" coordsize="12,0" path="m4307,6l4319,6e" filled="false" stroked="true" strokeweight=".6pt" strokecolor="#000008">
                <v:path arrowok="t"/>
              </v:shape>
            </v:group>
            <v:group style="position:absolute;left:4326;top:6;width:12;height:2" coordorigin="4326,6" coordsize="12,2">
              <v:shape style="position:absolute;left:4326;top:6;width:12;height:2" coordorigin="4326,6" coordsize="12,0" path="m4326,6l4338,6e" filled="false" stroked="true" strokeweight=".6pt" strokecolor="#000008">
                <v:path arrowok="t"/>
              </v:shape>
            </v:group>
            <v:group style="position:absolute;left:4345;top:6;width:12;height:2" coordorigin="4345,6" coordsize="12,2">
              <v:shape style="position:absolute;left:4345;top:6;width:12;height:2" coordorigin="4345,6" coordsize="12,0" path="m4345,6l4357,6e" filled="false" stroked="true" strokeweight=".6pt" strokecolor="#000008">
                <v:path arrowok="t"/>
              </v:shape>
            </v:group>
            <v:group style="position:absolute;left:4364;top:6;width:12;height:2" coordorigin="4364,6" coordsize="12,2">
              <v:shape style="position:absolute;left:4364;top:6;width:12;height:2" coordorigin="4364,6" coordsize="12,0" path="m4364,6l4376,6e" filled="false" stroked="true" strokeweight=".6pt" strokecolor="#000008">
                <v:path arrowok="t"/>
              </v:shape>
            </v:group>
            <v:group style="position:absolute;left:4384;top:6;width:12;height:2" coordorigin="4384,6" coordsize="12,2">
              <v:shape style="position:absolute;left:4384;top:6;width:12;height:2" coordorigin="4384,6" coordsize="12,0" path="m4384,6l4396,6e" filled="false" stroked="true" strokeweight=".6pt" strokecolor="#000008">
                <v:path arrowok="t"/>
              </v:shape>
            </v:group>
            <v:group style="position:absolute;left:4403;top:6;width:12;height:2" coordorigin="4403,6" coordsize="12,2">
              <v:shape style="position:absolute;left:4403;top:6;width:12;height:2" coordorigin="4403,6" coordsize="12,0" path="m4403,6l4415,6e" filled="false" stroked="true" strokeweight=".6pt" strokecolor="#000008">
                <v:path arrowok="t"/>
              </v:shape>
            </v:group>
            <v:group style="position:absolute;left:4422;top:6;width:12;height:2" coordorigin="4422,6" coordsize="12,2">
              <v:shape style="position:absolute;left:4422;top:6;width:12;height:2" coordorigin="4422,6" coordsize="12,0" path="m4422,6l4434,6e" filled="false" stroked="true" strokeweight=".6pt" strokecolor="#000008">
                <v:path arrowok="t"/>
              </v:shape>
            </v:group>
            <v:group style="position:absolute;left:4441;top:6;width:12;height:2" coordorigin="4441,6" coordsize="12,2">
              <v:shape style="position:absolute;left:4441;top:6;width:12;height:2" coordorigin="4441,6" coordsize="12,0" path="m4441,6l4453,6e" filled="false" stroked="true" strokeweight=".6pt" strokecolor="#000008">
                <v:path arrowok="t"/>
              </v:shape>
            </v:group>
            <v:group style="position:absolute;left:4460;top:6;width:12;height:2" coordorigin="4460,6" coordsize="12,2">
              <v:shape style="position:absolute;left:4460;top:6;width:12;height:2" coordorigin="4460,6" coordsize="12,0" path="m4460,6l4472,6e" filled="false" stroked="true" strokeweight=".6pt" strokecolor="#000008">
                <v:path arrowok="t"/>
              </v:shape>
            </v:group>
            <v:group style="position:absolute;left:4480;top:6;width:12;height:2" coordorigin="4480,6" coordsize="12,2">
              <v:shape style="position:absolute;left:4480;top:6;width:12;height:2" coordorigin="4480,6" coordsize="12,0" path="m4480,6l4492,6e" filled="false" stroked="true" strokeweight=".6pt" strokecolor="#000008">
                <v:path arrowok="t"/>
              </v:shape>
            </v:group>
            <v:group style="position:absolute;left:4499;top:6;width:12;height:2" coordorigin="4499,6" coordsize="12,2">
              <v:shape style="position:absolute;left:4499;top:6;width:12;height:2" coordorigin="4499,6" coordsize="12,0" path="m4499,6l4511,6e" filled="false" stroked="true" strokeweight=".6pt" strokecolor="#000008">
                <v:path arrowok="t"/>
              </v:shape>
            </v:group>
            <v:group style="position:absolute;left:4518;top:6;width:12;height:2" coordorigin="4518,6" coordsize="12,2">
              <v:shape style="position:absolute;left:4518;top:6;width:12;height:2" coordorigin="4518,6" coordsize="12,0" path="m4518,6l4530,6e" filled="false" stroked="true" strokeweight=".6pt" strokecolor="#000008">
                <v:path arrowok="t"/>
              </v:shape>
            </v:group>
            <v:group style="position:absolute;left:4537;top:6;width:12;height:2" coordorigin="4537,6" coordsize="12,2">
              <v:shape style="position:absolute;left:4537;top:6;width:12;height:2" coordorigin="4537,6" coordsize="12,0" path="m4537,6l4549,6e" filled="false" stroked="true" strokeweight=".6pt" strokecolor="#000008">
                <v:path arrowok="t"/>
              </v:shape>
            </v:group>
            <v:group style="position:absolute;left:4556;top:6;width:12;height:2" coordorigin="4556,6" coordsize="12,2">
              <v:shape style="position:absolute;left:4556;top:6;width:12;height:2" coordorigin="4556,6" coordsize="12,0" path="m4556,6l4568,6e" filled="false" stroked="true" strokeweight=".6pt" strokecolor="#000008">
                <v:path arrowok="t"/>
              </v:shape>
            </v:group>
            <v:group style="position:absolute;left:4576;top:6;width:12;height:2" coordorigin="4576,6" coordsize="12,2">
              <v:shape style="position:absolute;left:4576;top:6;width:12;height:2" coordorigin="4576,6" coordsize="12,0" path="m4576,6l4588,6e" filled="false" stroked="true" strokeweight=".6pt" strokecolor="#000008">
                <v:path arrowok="t"/>
              </v:shape>
            </v:group>
            <v:group style="position:absolute;left:4595;top:6;width:12;height:2" coordorigin="4595,6" coordsize="12,2">
              <v:shape style="position:absolute;left:4595;top:6;width:12;height:2" coordorigin="4595,6" coordsize="12,0" path="m4595,6l4607,6e" filled="false" stroked="true" strokeweight=".6pt" strokecolor="#000008">
                <v:path arrowok="t"/>
              </v:shape>
            </v:group>
            <v:group style="position:absolute;left:4614;top:6;width:12;height:2" coordorigin="4614,6" coordsize="12,2">
              <v:shape style="position:absolute;left:4614;top:6;width:12;height:2" coordorigin="4614,6" coordsize="12,0" path="m4614,6l4626,6e" filled="false" stroked="true" strokeweight=".6pt" strokecolor="#000008">
                <v:path arrowok="t"/>
              </v:shape>
            </v:group>
            <v:group style="position:absolute;left:4633;top:6;width:12;height:2" coordorigin="4633,6" coordsize="12,2">
              <v:shape style="position:absolute;left:4633;top:6;width:12;height:2" coordorigin="4633,6" coordsize="12,0" path="m4633,6l4645,6e" filled="false" stroked="true" strokeweight=".6pt" strokecolor="#000008">
                <v:path arrowok="t"/>
              </v:shape>
            </v:group>
            <v:group style="position:absolute;left:4652;top:6;width:12;height:2" coordorigin="4652,6" coordsize="12,2">
              <v:shape style="position:absolute;left:4652;top:6;width:12;height:2" coordorigin="4652,6" coordsize="12,0" path="m4652,6l4664,6e" filled="false" stroked="true" strokeweight=".6pt" strokecolor="#000008">
                <v:path arrowok="t"/>
              </v:shape>
            </v:group>
            <v:group style="position:absolute;left:4672;top:6;width:12;height:2" coordorigin="4672,6" coordsize="12,2">
              <v:shape style="position:absolute;left:4672;top:6;width:12;height:2" coordorigin="4672,6" coordsize="12,0" path="m4672,6l4684,6e" filled="false" stroked="true" strokeweight=".6pt" strokecolor="#000008">
                <v:path arrowok="t"/>
              </v:shape>
            </v:group>
            <v:group style="position:absolute;left:4691;top:6;width:12;height:2" coordorigin="4691,6" coordsize="12,2">
              <v:shape style="position:absolute;left:4691;top:6;width:12;height:2" coordorigin="4691,6" coordsize="12,0" path="m4691,6l4703,6e" filled="false" stroked="true" strokeweight=".6pt" strokecolor="#000008">
                <v:path arrowok="t"/>
              </v:shape>
            </v:group>
            <v:group style="position:absolute;left:4710;top:6;width:12;height:2" coordorigin="4710,6" coordsize="12,2">
              <v:shape style="position:absolute;left:4710;top:6;width:12;height:2" coordorigin="4710,6" coordsize="12,0" path="m4710,6l4722,6e" filled="false" stroked="true" strokeweight=".6pt" strokecolor="#000008">
                <v:path arrowok="t"/>
              </v:shape>
            </v:group>
            <v:group style="position:absolute;left:4729;top:6;width:12;height:2" coordorigin="4729,6" coordsize="12,2">
              <v:shape style="position:absolute;left:4729;top:6;width:12;height:2" coordorigin="4729,6" coordsize="12,0" path="m4729,6l4741,6e" filled="false" stroked="true" strokeweight=".6pt" strokecolor="#000008">
                <v:path arrowok="t"/>
              </v:shape>
            </v:group>
            <v:group style="position:absolute;left:4748;top:6;width:12;height:2" coordorigin="4748,6" coordsize="12,2">
              <v:shape style="position:absolute;left:4748;top:6;width:12;height:2" coordorigin="4748,6" coordsize="12,0" path="m4748,6l4760,6e" filled="false" stroked="true" strokeweight=".6pt" strokecolor="#000008">
                <v:path arrowok="t"/>
              </v:shape>
            </v:group>
            <v:group style="position:absolute;left:4768;top:6;width:12;height:2" coordorigin="4768,6" coordsize="12,2">
              <v:shape style="position:absolute;left:4768;top:6;width:12;height:2" coordorigin="4768,6" coordsize="12,0" path="m4768,6l4780,6e" filled="false" stroked="true" strokeweight=".6pt" strokecolor="#000008">
                <v:path arrowok="t"/>
              </v:shape>
            </v:group>
            <v:group style="position:absolute;left:4787;top:6;width:12;height:2" coordorigin="4787,6" coordsize="12,2">
              <v:shape style="position:absolute;left:4787;top:6;width:12;height:2" coordorigin="4787,6" coordsize="12,0" path="m4787,6l4799,6e" filled="false" stroked="true" strokeweight=".6pt" strokecolor="#000008">
                <v:path arrowok="t"/>
              </v:shape>
            </v:group>
            <v:group style="position:absolute;left:4806;top:6;width:12;height:2" coordorigin="4806,6" coordsize="12,2">
              <v:shape style="position:absolute;left:4806;top:6;width:12;height:2" coordorigin="4806,6" coordsize="12,0" path="m4806,6l4818,6e" filled="false" stroked="true" strokeweight=".6pt" strokecolor="#000008">
                <v:path arrowok="t"/>
              </v:shape>
            </v:group>
            <v:group style="position:absolute;left:4825;top:6;width:12;height:2" coordorigin="4825,6" coordsize="12,2">
              <v:shape style="position:absolute;left:4825;top:6;width:12;height:2" coordorigin="4825,6" coordsize="12,0" path="m4825,6l4837,6e" filled="false" stroked="true" strokeweight=".6pt" strokecolor="#000008">
                <v:path arrowok="t"/>
              </v:shape>
            </v:group>
            <v:group style="position:absolute;left:4844;top:6;width:12;height:2" coordorigin="4844,6" coordsize="12,2">
              <v:shape style="position:absolute;left:4844;top:6;width:12;height:2" coordorigin="4844,6" coordsize="12,0" path="m4844,6l4856,6e" filled="false" stroked="true" strokeweight=".6pt" strokecolor="#000008">
                <v:path arrowok="t"/>
              </v:shape>
            </v:group>
            <v:group style="position:absolute;left:4864;top:6;width:12;height:2" coordorigin="4864,6" coordsize="12,2">
              <v:shape style="position:absolute;left:4864;top:6;width:12;height:2" coordorigin="4864,6" coordsize="12,0" path="m4864,6l4876,6e" filled="false" stroked="true" strokeweight=".6pt" strokecolor="#000008">
                <v:path arrowok="t"/>
              </v:shape>
            </v:group>
            <v:group style="position:absolute;left:4883;top:6;width:12;height:2" coordorigin="4883,6" coordsize="12,2">
              <v:shape style="position:absolute;left:4883;top:6;width:12;height:2" coordorigin="4883,6" coordsize="12,0" path="m4883,6l4895,6e" filled="false" stroked="true" strokeweight=".6pt" strokecolor="#000008">
                <v:path arrowok="t"/>
              </v:shape>
            </v:group>
            <v:group style="position:absolute;left:4902;top:6;width:12;height:2" coordorigin="4902,6" coordsize="12,2">
              <v:shape style="position:absolute;left:4902;top:6;width:12;height:2" coordorigin="4902,6" coordsize="12,0" path="m4902,6l4914,6e" filled="false" stroked="true" strokeweight=".6pt" strokecolor="#000008">
                <v:path arrowok="t"/>
              </v:shape>
            </v:group>
            <v:group style="position:absolute;left:4921;top:6;width:12;height:2" coordorigin="4921,6" coordsize="12,2">
              <v:shape style="position:absolute;left:4921;top:6;width:12;height:2" coordorigin="4921,6" coordsize="12,0" path="m4921,6l4933,6e" filled="false" stroked="true" strokeweight=".6pt" strokecolor="#000008">
                <v:path arrowok="t"/>
              </v:shape>
            </v:group>
            <v:group style="position:absolute;left:4940;top:6;width:12;height:2" coordorigin="4940,6" coordsize="12,2">
              <v:shape style="position:absolute;left:4940;top:6;width:12;height:2" coordorigin="4940,6" coordsize="12,0" path="m4940,6l4952,6e" filled="false" stroked="true" strokeweight=".6pt" strokecolor="#000008">
                <v:path arrowok="t"/>
              </v:shape>
            </v:group>
            <v:group style="position:absolute;left:4960;top:6;width:12;height:2" coordorigin="4960,6" coordsize="12,2">
              <v:shape style="position:absolute;left:4960;top:6;width:12;height:2" coordorigin="4960,6" coordsize="12,0" path="m4960,6l4972,6e" filled="false" stroked="true" strokeweight=".6pt" strokecolor="#000008">
                <v:path arrowok="t"/>
              </v:shape>
            </v:group>
            <v:group style="position:absolute;left:4979;top:6;width:12;height:2" coordorigin="4979,6" coordsize="12,2">
              <v:shape style="position:absolute;left:4979;top:6;width:12;height:2" coordorigin="4979,6" coordsize="12,0" path="m4979,6l4991,6e" filled="false" stroked="true" strokeweight=".6pt" strokecolor="#000008">
                <v:path arrowok="t"/>
              </v:shape>
            </v:group>
            <v:group style="position:absolute;left:4998;top:6;width:12;height:2" coordorigin="4998,6" coordsize="12,2">
              <v:shape style="position:absolute;left:4998;top:6;width:12;height:2" coordorigin="4998,6" coordsize="12,0" path="m4998,6l5010,6e" filled="false" stroked="true" strokeweight=".6pt" strokecolor="#000008">
                <v:path arrowok="t"/>
              </v:shape>
            </v:group>
            <v:group style="position:absolute;left:5017;top:6;width:12;height:2" coordorigin="5017,6" coordsize="12,2">
              <v:shape style="position:absolute;left:5017;top:6;width:12;height:2" coordorigin="5017,6" coordsize="12,0" path="m5017,6l5029,6e" filled="false" stroked="true" strokeweight=".6pt" strokecolor="#000008">
                <v:path arrowok="t"/>
              </v:shape>
            </v:group>
            <v:group style="position:absolute;left:5036;top:6;width:12;height:2" coordorigin="5036,6" coordsize="12,2">
              <v:shape style="position:absolute;left:5036;top:6;width:12;height:2" coordorigin="5036,6" coordsize="12,0" path="m5036,6l5048,6e" filled="false" stroked="true" strokeweight=".6pt" strokecolor="#000008">
                <v:path arrowok="t"/>
              </v:shape>
            </v:group>
            <v:group style="position:absolute;left:5077;top:6;width:12;height:2" coordorigin="5077,6" coordsize="12,2">
              <v:shape style="position:absolute;left:5077;top:6;width:12;height:2" coordorigin="5077,6" coordsize="12,0" path="m5077,6l5089,6e" filled="false" stroked="true" strokeweight=".6pt" strokecolor="#000008">
                <v:path arrowok="t"/>
              </v:shape>
            </v:group>
            <v:group style="position:absolute;left:5096;top:6;width:12;height:2" coordorigin="5096,6" coordsize="12,2">
              <v:shape style="position:absolute;left:5096;top:6;width:12;height:2" coordorigin="5096,6" coordsize="12,0" path="m5096,6l5108,6e" filled="false" stroked="true" strokeweight=".6pt" strokecolor="#000008">
                <v:path arrowok="t"/>
              </v:shape>
            </v:group>
            <v:group style="position:absolute;left:5116;top:6;width:12;height:2" coordorigin="5116,6" coordsize="12,2">
              <v:shape style="position:absolute;left:5116;top:6;width:12;height:2" coordorigin="5116,6" coordsize="12,0" path="m5116,6l5128,6e" filled="false" stroked="true" strokeweight=".6pt" strokecolor="#000008">
                <v:path arrowok="t"/>
              </v:shape>
            </v:group>
            <v:group style="position:absolute;left:5135;top:6;width:12;height:2" coordorigin="5135,6" coordsize="12,2">
              <v:shape style="position:absolute;left:5135;top:6;width:12;height:2" coordorigin="5135,6" coordsize="12,0" path="m5135,6l5147,6e" filled="false" stroked="true" strokeweight=".6pt" strokecolor="#000008">
                <v:path arrowok="t"/>
              </v:shape>
            </v:group>
            <v:group style="position:absolute;left:5154;top:6;width:12;height:2" coordorigin="5154,6" coordsize="12,2">
              <v:shape style="position:absolute;left:5154;top:6;width:12;height:2" coordorigin="5154,6" coordsize="12,0" path="m5154,6l5166,6e" filled="false" stroked="true" strokeweight=".6pt" strokecolor="#000008">
                <v:path arrowok="t"/>
              </v:shape>
            </v:group>
            <v:group style="position:absolute;left:5173;top:6;width:12;height:2" coordorigin="5173,6" coordsize="12,2">
              <v:shape style="position:absolute;left:5173;top:6;width:12;height:2" coordorigin="5173,6" coordsize="12,0" path="m5173,6l5185,6e" filled="false" stroked="true" strokeweight=".6pt" strokecolor="#000008">
                <v:path arrowok="t"/>
              </v:shape>
            </v:group>
            <v:group style="position:absolute;left:5192;top:6;width:12;height:2" coordorigin="5192,6" coordsize="12,2">
              <v:shape style="position:absolute;left:5192;top:6;width:12;height:2" coordorigin="5192,6" coordsize="12,0" path="m5192,6l5204,6e" filled="false" stroked="true" strokeweight=".6pt" strokecolor="#000008">
                <v:path arrowok="t"/>
              </v:shape>
            </v:group>
            <v:group style="position:absolute;left:5212;top:6;width:12;height:2" coordorigin="5212,6" coordsize="12,2">
              <v:shape style="position:absolute;left:5212;top:6;width:12;height:2" coordorigin="5212,6" coordsize="12,0" path="m5212,6l5224,6e" filled="false" stroked="true" strokeweight=".6pt" strokecolor="#000008">
                <v:path arrowok="t"/>
              </v:shape>
            </v:group>
            <v:group style="position:absolute;left:5231;top:6;width:12;height:2" coordorigin="5231,6" coordsize="12,2">
              <v:shape style="position:absolute;left:5231;top:6;width:12;height:2" coordorigin="5231,6" coordsize="12,0" path="m5231,6l5243,6e" filled="false" stroked="true" strokeweight=".6pt" strokecolor="#000008">
                <v:path arrowok="t"/>
              </v:shape>
            </v:group>
            <v:group style="position:absolute;left:5250;top:6;width:12;height:2" coordorigin="5250,6" coordsize="12,2">
              <v:shape style="position:absolute;left:5250;top:6;width:12;height:2" coordorigin="5250,6" coordsize="12,0" path="m5250,6l5262,6e" filled="false" stroked="true" strokeweight=".6pt" strokecolor="#000008">
                <v:path arrowok="t"/>
              </v:shape>
            </v:group>
            <v:group style="position:absolute;left:5269;top:6;width:12;height:2" coordorigin="5269,6" coordsize="12,2">
              <v:shape style="position:absolute;left:5269;top:6;width:12;height:2" coordorigin="5269,6" coordsize="12,0" path="m5269,6l5281,6e" filled="false" stroked="true" strokeweight=".6pt" strokecolor="#000008">
                <v:path arrowok="t"/>
              </v:shape>
            </v:group>
            <v:group style="position:absolute;left:5288;top:6;width:12;height:2" coordorigin="5288,6" coordsize="12,2">
              <v:shape style="position:absolute;left:5288;top:6;width:12;height:2" coordorigin="5288,6" coordsize="12,0" path="m5288,6l5300,6e" filled="false" stroked="true" strokeweight=".6pt" strokecolor="#000008">
                <v:path arrowok="t"/>
              </v:shape>
            </v:group>
            <v:group style="position:absolute;left:5308;top:6;width:12;height:2" coordorigin="5308,6" coordsize="12,2">
              <v:shape style="position:absolute;left:5308;top:6;width:12;height:2" coordorigin="5308,6" coordsize="12,0" path="m5308,6l5320,6e" filled="false" stroked="true" strokeweight=".6pt" strokecolor="#000008">
                <v:path arrowok="t"/>
              </v:shape>
            </v:group>
            <v:group style="position:absolute;left:5327;top:6;width:12;height:2" coordorigin="5327,6" coordsize="12,2">
              <v:shape style="position:absolute;left:5327;top:6;width:12;height:2" coordorigin="5327,6" coordsize="12,0" path="m5327,6l5339,6e" filled="false" stroked="true" strokeweight=".6pt" strokecolor="#000008">
                <v:path arrowok="t"/>
              </v:shape>
            </v:group>
            <v:group style="position:absolute;left:5346;top:6;width:12;height:2" coordorigin="5346,6" coordsize="12,2">
              <v:shape style="position:absolute;left:5346;top:6;width:12;height:2" coordorigin="5346,6" coordsize="12,0" path="m5346,6l5358,6e" filled="false" stroked="true" strokeweight=".6pt" strokecolor="#000008">
                <v:path arrowok="t"/>
              </v:shape>
            </v:group>
            <v:group style="position:absolute;left:5365;top:6;width:12;height:2" coordorigin="5365,6" coordsize="12,2">
              <v:shape style="position:absolute;left:5365;top:6;width:12;height:2" coordorigin="5365,6" coordsize="12,0" path="m5365,6l5377,6e" filled="false" stroked="true" strokeweight=".6pt" strokecolor="#000008">
                <v:path arrowok="t"/>
              </v:shape>
            </v:group>
            <v:group style="position:absolute;left:5384;top:6;width:12;height:2" coordorigin="5384,6" coordsize="12,2">
              <v:shape style="position:absolute;left:5384;top:6;width:12;height:2" coordorigin="5384,6" coordsize="12,0" path="m5384,6l5396,6e" filled="false" stroked="true" strokeweight=".6pt" strokecolor="#000008">
                <v:path arrowok="t"/>
              </v:shape>
            </v:group>
            <v:group style="position:absolute;left:5404;top:6;width:12;height:2" coordorigin="5404,6" coordsize="12,2">
              <v:shape style="position:absolute;left:5404;top:6;width:12;height:2" coordorigin="5404,6" coordsize="12,0" path="m5404,6l5416,6e" filled="false" stroked="true" strokeweight=".6pt" strokecolor="#000008">
                <v:path arrowok="t"/>
              </v:shape>
            </v:group>
            <v:group style="position:absolute;left:5423;top:6;width:12;height:2" coordorigin="5423,6" coordsize="12,2">
              <v:shape style="position:absolute;left:5423;top:6;width:12;height:2" coordorigin="5423,6" coordsize="12,0" path="m5423,6l5435,6e" filled="false" stroked="true" strokeweight=".6pt" strokecolor="#000008">
                <v:path arrowok="t"/>
              </v:shape>
            </v:group>
            <v:group style="position:absolute;left:5442;top:6;width:12;height:2" coordorigin="5442,6" coordsize="12,2">
              <v:shape style="position:absolute;left:5442;top:6;width:12;height:2" coordorigin="5442,6" coordsize="12,0" path="m5442,6l5454,6e" filled="false" stroked="true" strokeweight=".6pt" strokecolor="#000008">
                <v:path arrowok="t"/>
              </v:shape>
            </v:group>
            <v:group style="position:absolute;left:5461;top:6;width:3;height:2" coordorigin="5461,6" coordsize="3,2">
              <v:shape style="position:absolute;left:5461;top:6;width:3;height:2" coordorigin="5461,6" coordsize="3,0" path="m5461,6l5464,6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0"/>
          <w:szCs w:val="20"/>
        </w:rPr>
      </w:pPr>
    </w:p>
    <w:p>
      <w:pPr>
        <w:spacing w:line="20" w:lineRule="exact"/>
        <w:ind w:left="39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73.45pt;height:.6pt;mso-position-horizontal-relative:char;mso-position-vertical-relative:line" coordorigin="0,0" coordsize="546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12;height:2" coordorigin="2521,6" coordsize="12,2">
              <v:shape style="position:absolute;left:2521;top:6;width:12;height:2" coordorigin="2521,6" coordsize="12,0" path="m2521,6l2533,6e" filled="false" stroked="true" strokeweight=".6pt" strokecolor="#000008">
                <v:path arrowok="t"/>
              </v:shape>
            </v:group>
            <v:group style="position:absolute;left:2540;top:6;width:12;height:2" coordorigin="2540,6" coordsize="12,2">
              <v:shape style="position:absolute;left:2540;top:6;width:12;height:2" coordorigin="2540,6" coordsize="12,0" path="m2540,6l2552,6e" filled="false" stroked="true" strokeweight=".6pt" strokecolor="#000008">
                <v:path arrowok="t"/>
              </v:shape>
            </v:group>
            <v:group style="position:absolute;left:2560;top:6;width:12;height:2" coordorigin="2560,6" coordsize="12,2">
              <v:shape style="position:absolute;left:2560;top:6;width:12;height:2" coordorigin="2560,6" coordsize="12,0" path="m2560,6l2572,6e" filled="false" stroked="true" strokeweight=".6pt" strokecolor="#000008">
                <v:path arrowok="t"/>
              </v:shape>
            </v:group>
            <v:group style="position:absolute;left:2579;top:6;width:12;height:2" coordorigin="2579,6" coordsize="12,2">
              <v:shape style="position:absolute;left:2579;top:6;width:12;height:2" coordorigin="2579,6" coordsize="12,0" path="m2579,6l2591,6e" filled="false" stroked="true" strokeweight=".6pt" strokecolor="#000008">
                <v:path arrowok="t"/>
              </v:shape>
            </v:group>
            <v:group style="position:absolute;left:2598;top:6;width:12;height:2" coordorigin="2598,6" coordsize="12,2">
              <v:shape style="position:absolute;left:2598;top:6;width:12;height:2" coordorigin="2598,6" coordsize="12,0" path="m2598,6l2610,6e" filled="false" stroked="true" strokeweight=".6pt" strokecolor="#000008">
                <v:path arrowok="t"/>
              </v:shape>
            </v:group>
            <v:group style="position:absolute;left:2617;top:6;width:12;height:2" coordorigin="2617,6" coordsize="12,2">
              <v:shape style="position:absolute;left:2617;top:6;width:12;height:2" coordorigin="2617,6" coordsize="12,0" path="m2617,6l2629,6e" filled="false" stroked="true" strokeweight=".6pt" strokecolor="#000008">
                <v:path arrowok="t"/>
              </v:shape>
            </v:group>
            <v:group style="position:absolute;left:2636;top:6;width:12;height:2" coordorigin="2636,6" coordsize="12,2">
              <v:shape style="position:absolute;left:2636;top:6;width:12;height:2" coordorigin="2636,6" coordsize="12,0" path="m2636,6l2648,6e" filled="false" stroked="true" strokeweight=".6pt" strokecolor="#000008">
                <v:path arrowok="t"/>
              </v:shape>
            </v:group>
            <v:group style="position:absolute;left:2656;top:6;width:12;height:2" coordorigin="2656,6" coordsize="12,2">
              <v:shape style="position:absolute;left:2656;top:6;width:12;height:2" coordorigin="2656,6" coordsize="12,0" path="m2656,6l2668,6e" filled="false" stroked="true" strokeweight=".6pt" strokecolor="#000008">
                <v:path arrowok="t"/>
              </v:shape>
            </v:group>
            <v:group style="position:absolute;left:2675;top:6;width:12;height:2" coordorigin="2675,6" coordsize="12,2">
              <v:shape style="position:absolute;left:2675;top:6;width:12;height:2" coordorigin="2675,6" coordsize="12,0" path="m2675,6l2687,6e" filled="false" stroked="true" strokeweight=".6pt" strokecolor="#000008">
                <v:path arrowok="t"/>
              </v:shape>
            </v:group>
            <v:group style="position:absolute;left:2694;top:6;width:12;height:2" coordorigin="2694,6" coordsize="12,2">
              <v:shape style="position:absolute;left:2694;top:6;width:12;height:2" coordorigin="2694,6" coordsize="12,0" path="m2694,6l2706,6e" filled="false" stroked="true" strokeweight=".6pt" strokecolor="#000008">
                <v:path arrowok="t"/>
              </v:shape>
            </v:group>
            <v:group style="position:absolute;left:2713;top:6;width:12;height:2" coordorigin="2713,6" coordsize="12,2">
              <v:shape style="position:absolute;left:2713;top:6;width:12;height:2" coordorigin="2713,6" coordsize="12,0" path="m2713,6l2725,6e" filled="false" stroked="true" strokeweight=".6pt" strokecolor="#000008">
                <v:path arrowok="t"/>
              </v:shape>
            </v:group>
            <v:group style="position:absolute;left:2732;top:6;width:12;height:2" coordorigin="2732,6" coordsize="12,2">
              <v:shape style="position:absolute;left:2732;top:6;width:12;height:2" coordorigin="2732,6" coordsize="12,0" path="m2732,6l2744,6e" filled="false" stroked="true" strokeweight=".6pt" strokecolor="#000008">
                <v:path arrowok="t"/>
              </v:shape>
            </v:group>
            <v:group style="position:absolute;left:2752;top:6;width:12;height:2" coordorigin="2752,6" coordsize="12,2">
              <v:shape style="position:absolute;left:2752;top:6;width:12;height:2" coordorigin="2752,6" coordsize="12,0" path="m2752,6l2764,6e" filled="false" stroked="true" strokeweight=".6pt" strokecolor="#000008">
                <v:path arrowok="t"/>
              </v:shape>
            </v:group>
            <v:group style="position:absolute;left:2771;top:6;width:12;height:2" coordorigin="2771,6" coordsize="12,2">
              <v:shape style="position:absolute;left:2771;top:6;width:12;height:2" coordorigin="2771,6" coordsize="12,0" path="m2771,6l2783,6e" filled="false" stroked="true" strokeweight=".6pt" strokecolor="#000008">
                <v:path arrowok="t"/>
              </v:shape>
            </v:group>
            <v:group style="position:absolute;left:2790;top:6;width:12;height:2" coordorigin="2790,6" coordsize="12,2">
              <v:shape style="position:absolute;left:2790;top:6;width:12;height:2" coordorigin="2790,6" coordsize="12,0" path="m2790,6l2802,6e" filled="false" stroked="true" strokeweight=".6pt" strokecolor="#000008">
                <v:path arrowok="t"/>
              </v:shape>
            </v:group>
            <v:group style="position:absolute;left:2809;top:6;width:12;height:2" coordorigin="2809,6" coordsize="12,2">
              <v:shape style="position:absolute;left:2809;top:6;width:12;height:2" coordorigin="2809,6" coordsize="12,0" path="m2809,6l2821,6e" filled="false" stroked="true" strokeweight=".6pt" strokecolor="#000008">
                <v:path arrowok="t"/>
              </v:shape>
            </v:group>
            <v:group style="position:absolute;left:2828;top:6;width:12;height:2" coordorigin="2828,6" coordsize="12,2">
              <v:shape style="position:absolute;left:2828;top:6;width:12;height:2" coordorigin="2828,6" coordsize="12,0" path="m2828,6l2840,6e" filled="false" stroked="true" strokeweight=".6pt" strokecolor="#000008">
                <v:path arrowok="t"/>
              </v:shape>
            </v:group>
            <v:group style="position:absolute;left:2848;top:6;width:12;height:2" coordorigin="2848,6" coordsize="12,2">
              <v:shape style="position:absolute;left:2848;top:6;width:12;height:2" coordorigin="2848,6" coordsize="12,0" path="m2848,6l2860,6e" filled="false" stroked="true" strokeweight=".6pt" strokecolor="#000008">
                <v:path arrowok="t"/>
              </v:shape>
            </v:group>
            <v:group style="position:absolute;left:2867;top:6;width:12;height:2" coordorigin="2867,6" coordsize="12,2">
              <v:shape style="position:absolute;left:2867;top:6;width:12;height:2" coordorigin="2867,6" coordsize="12,0" path="m2867,6l2879,6e" filled="false" stroked="true" strokeweight=".6pt" strokecolor="#000008">
                <v:path arrowok="t"/>
              </v:shape>
            </v:group>
            <v:group style="position:absolute;left:2886;top:6;width:12;height:2" coordorigin="2886,6" coordsize="12,2">
              <v:shape style="position:absolute;left:2886;top:6;width:12;height:2" coordorigin="2886,6" coordsize="12,0" path="m2886,6l2898,6e" filled="false" stroked="true" strokeweight=".6pt" strokecolor="#000008">
                <v:path arrowok="t"/>
              </v:shape>
            </v:group>
            <v:group style="position:absolute;left:2905;top:6;width:12;height:2" coordorigin="2905,6" coordsize="12,2">
              <v:shape style="position:absolute;left:2905;top:6;width:12;height:2" coordorigin="2905,6" coordsize="12,0" path="m2905,6l2917,6e" filled="false" stroked="true" strokeweight=".6pt" strokecolor="#000008">
                <v:path arrowok="t"/>
              </v:shape>
            </v:group>
            <v:group style="position:absolute;left:2924;top:6;width:12;height:2" coordorigin="2924,6" coordsize="12,2">
              <v:shape style="position:absolute;left:2924;top:6;width:12;height:2" coordorigin="2924,6" coordsize="12,0" path="m2924,6l2936,6e" filled="false" stroked="true" strokeweight=".6pt" strokecolor="#000008">
                <v:path arrowok="t"/>
              </v:shape>
            </v:group>
            <v:group style="position:absolute;left:2944;top:6;width:12;height:2" coordorigin="2944,6" coordsize="12,2">
              <v:shape style="position:absolute;left:2944;top:6;width:12;height:2" coordorigin="2944,6" coordsize="12,0" path="m2944,6l2956,6e" filled="false" stroked="true" strokeweight=".6pt" strokecolor="#000008">
                <v:path arrowok="t"/>
              </v:shape>
            </v:group>
            <v:group style="position:absolute;left:2963;top:6;width:12;height:2" coordorigin="2963,6" coordsize="12,2">
              <v:shape style="position:absolute;left:2963;top:6;width:12;height:2" coordorigin="2963,6" coordsize="12,0" path="m2963,6l2975,6e" filled="false" stroked="true" strokeweight=".6pt" strokecolor="#000008">
                <v:path arrowok="t"/>
              </v:shape>
            </v:group>
            <v:group style="position:absolute;left:2982;top:6;width:12;height:2" coordorigin="2982,6" coordsize="12,2">
              <v:shape style="position:absolute;left:2982;top:6;width:12;height:2" coordorigin="2982,6" coordsize="12,0" path="m2982,6l2994,6e" filled="false" stroked="true" strokeweight=".6pt" strokecolor="#000008">
                <v:path arrowok="t"/>
              </v:shape>
            </v:group>
            <v:group style="position:absolute;left:3001;top:6;width:12;height:2" coordorigin="3001,6" coordsize="12,2">
              <v:shape style="position:absolute;left:3001;top:6;width:12;height:2" coordorigin="3001,6" coordsize="12,0" path="m3001,6l3013,6e" filled="false" stroked="true" strokeweight=".6pt" strokecolor="#000008">
                <v:path arrowok="t"/>
              </v:shape>
            </v:group>
            <v:group style="position:absolute;left:3020;top:6;width:12;height:2" coordorigin="3020,6" coordsize="12,2">
              <v:shape style="position:absolute;left:3020;top:6;width:12;height:2" coordorigin="3020,6" coordsize="12,0" path="m3020,6l3032,6e" filled="false" stroked="true" strokeweight=".6pt" strokecolor="#000008">
                <v:path arrowok="t"/>
              </v:shape>
            </v:group>
            <v:group style="position:absolute;left:3040;top:6;width:12;height:2" coordorigin="3040,6" coordsize="12,2">
              <v:shape style="position:absolute;left:3040;top:6;width:12;height:2" coordorigin="3040,6" coordsize="12,0" path="m3040,6l3052,6e" filled="false" stroked="true" strokeweight=".6pt" strokecolor="#000008">
                <v:path arrowok="t"/>
              </v:shape>
            </v:group>
            <v:group style="position:absolute;left:3059;top:6;width:12;height:2" coordorigin="3059,6" coordsize="12,2">
              <v:shape style="position:absolute;left:3059;top:6;width:12;height:2" coordorigin="3059,6" coordsize="12,0" path="m3059,6l3071,6e" filled="false" stroked="true" strokeweight=".6pt" strokecolor="#000008">
                <v:path arrowok="t"/>
              </v:shape>
            </v:group>
            <v:group style="position:absolute;left:3078;top:6;width:12;height:2" coordorigin="3078,6" coordsize="12,2">
              <v:shape style="position:absolute;left:3078;top:6;width:12;height:2" coordorigin="3078,6" coordsize="12,0" path="m3078,6l3090,6e" filled="false" stroked="true" strokeweight=".6pt" strokecolor="#000008">
                <v:path arrowok="t"/>
              </v:shape>
            </v:group>
            <v:group style="position:absolute;left:3097;top:6;width:12;height:2" coordorigin="3097,6" coordsize="12,2">
              <v:shape style="position:absolute;left:3097;top:6;width:12;height:2" coordorigin="3097,6" coordsize="12,0" path="m3097,6l3109,6e" filled="false" stroked="true" strokeweight=".6pt" strokecolor="#000008">
                <v:path arrowok="t"/>
              </v:shape>
            </v:group>
            <v:group style="position:absolute;left:3116;top:6;width:12;height:2" coordorigin="3116,6" coordsize="12,2">
              <v:shape style="position:absolute;left:3116;top:6;width:12;height:2" coordorigin="3116,6" coordsize="12,0" path="m3116,6l3128,6e" filled="false" stroked="true" strokeweight=".6pt" strokecolor="#000008">
                <v:path arrowok="t"/>
              </v:shape>
            </v:group>
            <v:group style="position:absolute;left:3136;top:6;width:12;height:2" coordorigin="3136,6" coordsize="12,2">
              <v:shape style="position:absolute;left:3136;top:6;width:12;height:2" coordorigin="3136,6" coordsize="12,0" path="m3136,6l3148,6e" filled="false" stroked="true" strokeweight=".6pt" strokecolor="#000008">
                <v:path arrowok="t"/>
              </v:shape>
            </v:group>
            <v:group style="position:absolute;left:3155;top:6;width:12;height:2" coordorigin="3155,6" coordsize="12,2">
              <v:shape style="position:absolute;left:3155;top:6;width:12;height:2" coordorigin="3155,6" coordsize="12,0" path="m3155,6l3167,6e" filled="false" stroked="true" strokeweight=".6pt" strokecolor="#000008">
                <v:path arrowok="t"/>
              </v:shape>
            </v:group>
            <v:group style="position:absolute;left:3174;top:6;width:12;height:2" coordorigin="3174,6" coordsize="12,2">
              <v:shape style="position:absolute;left:3174;top:6;width:12;height:2" coordorigin="3174,6" coordsize="12,0" path="m3174,6l3186,6e" filled="false" stroked="true" strokeweight=".6pt" strokecolor="#000008">
                <v:path arrowok="t"/>
              </v:shape>
            </v:group>
            <v:group style="position:absolute;left:3193;top:6;width:12;height:2" coordorigin="3193,6" coordsize="12,2">
              <v:shape style="position:absolute;left:3193;top:6;width:12;height:2" coordorigin="3193,6" coordsize="12,0" path="m3193,6l3205,6e" filled="false" stroked="true" strokeweight=".6pt" strokecolor="#000008">
                <v:path arrowok="t"/>
              </v:shape>
            </v:group>
            <v:group style="position:absolute;left:3212;top:6;width:12;height:2" coordorigin="3212,6" coordsize="12,2">
              <v:shape style="position:absolute;left:3212;top:6;width:12;height:2" coordorigin="3212,6" coordsize="12,0" path="m3212,6l3224,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096;top:6;width:12;height:2" coordorigin="4096,6" coordsize="12,2">
              <v:shape style="position:absolute;left:4096;top:6;width:12;height:2" coordorigin="4096,6" coordsize="12,0" path="m4096,6l410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12;height:2" coordorigin="4268,6" coordsize="12,2">
              <v:shape style="position:absolute;left:4268;top:6;width:12;height:2" coordorigin="4268,6" coordsize="12,0" path="m4268,6l4280,6e" filled="false" stroked="true" strokeweight=".6pt" strokecolor="#000008">
                <v:path arrowok="t"/>
              </v:shape>
            </v:group>
            <v:group style="position:absolute;left:4288;top:6;width:12;height:2" coordorigin="4288,6" coordsize="12,2">
              <v:shape style="position:absolute;left:4288;top:6;width:12;height:2" coordorigin="4288,6" coordsize="12,0" path="m4288,6l4300,6e" filled="false" stroked="true" strokeweight=".6pt" strokecolor="#000008">
                <v:path arrowok="t"/>
              </v:shape>
            </v:group>
            <v:group style="position:absolute;left:4307;top:6;width:12;height:2" coordorigin="4307,6" coordsize="12,2">
              <v:shape style="position:absolute;left:4307;top:6;width:12;height:2" coordorigin="4307,6" coordsize="12,0" path="m4307,6l4319,6e" filled="false" stroked="true" strokeweight=".6pt" strokecolor="#000008">
                <v:path arrowok="t"/>
              </v:shape>
            </v:group>
            <v:group style="position:absolute;left:4326;top:6;width:12;height:2" coordorigin="4326,6" coordsize="12,2">
              <v:shape style="position:absolute;left:4326;top:6;width:12;height:2" coordorigin="4326,6" coordsize="12,0" path="m4326,6l4338,6e" filled="false" stroked="true" strokeweight=".6pt" strokecolor="#000008">
                <v:path arrowok="t"/>
              </v:shape>
            </v:group>
            <v:group style="position:absolute;left:4345;top:6;width:12;height:2" coordorigin="4345,6" coordsize="12,2">
              <v:shape style="position:absolute;left:4345;top:6;width:12;height:2" coordorigin="4345,6" coordsize="12,0" path="m4345,6l4357,6e" filled="false" stroked="true" strokeweight=".6pt" strokecolor="#000008">
                <v:path arrowok="t"/>
              </v:shape>
            </v:group>
            <v:group style="position:absolute;left:4364;top:6;width:12;height:2" coordorigin="4364,6" coordsize="12,2">
              <v:shape style="position:absolute;left:4364;top:6;width:12;height:2" coordorigin="4364,6" coordsize="12,0" path="m4364,6l4376,6e" filled="false" stroked="true" strokeweight=".6pt" strokecolor="#000008">
                <v:path arrowok="t"/>
              </v:shape>
            </v:group>
            <v:group style="position:absolute;left:4384;top:6;width:12;height:2" coordorigin="4384,6" coordsize="12,2">
              <v:shape style="position:absolute;left:4384;top:6;width:12;height:2" coordorigin="4384,6" coordsize="12,0" path="m4384,6l4396,6e" filled="false" stroked="true" strokeweight=".6pt" strokecolor="#000008">
                <v:path arrowok="t"/>
              </v:shape>
            </v:group>
            <v:group style="position:absolute;left:4403;top:6;width:12;height:2" coordorigin="4403,6" coordsize="12,2">
              <v:shape style="position:absolute;left:4403;top:6;width:12;height:2" coordorigin="4403,6" coordsize="12,0" path="m4403,6l4415,6e" filled="false" stroked="true" strokeweight=".6pt" strokecolor="#000008">
                <v:path arrowok="t"/>
              </v:shape>
            </v:group>
            <v:group style="position:absolute;left:4422;top:6;width:12;height:2" coordorigin="4422,6" coordsize="12,2">
              <v:shape style="position:absolute;left:4422;top:6;width:12;height:2" coordorigin="4422,6" coordsize="12,0" path="m4422,6l4434,6e" filled="false" stroked="true" strokeweight=".6pt" strokecolor="#000008">
                <v:path arrowok="t"/>
              </v:shape>
            </v:group>
            <v:group style="position:absolute;left:4441;top:6;width:12;height:2" coordorigin="4441,6" coordsize="12,2">
              <v:shape style="position:absolute;left:4441;top:6;width:12;height:2" coordorigin="4441,6" coordsize="12,0" path="m4441,6l4453,6e" filled="false" stroked="true" strokeweight=".6pt" strokecolor="#000008">
                <v:path arrowok="t"/>
              </v:shape>
            </v:group>
            <v:group style="position:absolute;left:4460;top:6;width:12;height:2" coordorigin="4460,6" coordsize="12,2">
              <v:shape style="position:absolute;left:4460;top:6;width:12;height:2" coordorigin="4460,6" coordsize="12,0" path="m4460,6l4472,6e" filled="false" stroked="true" strokeweight=".6pt" strokecolor="#000008">
                <v:path arrowok="t"/>
              </v:shape>
            </v:group>
            <v:group style="position:absolute;left:4480;top:6;width:12;height:2" coordorigin="4480,6" coordsize="12,2">
              <v:shape style="position:absolute;left:4480;top:6;width:12;height:2" coordorigin="4480,6" coordsize="12,0" path="m4480,6l4492,6e" filled="false" stroked="true" strokeweight=".6pt" strokecolor="#000008">
                <v:path arrowok="t"/>
              </v:shape>
            </v:group>
            <v:group style="position:absolute;left:4499;top:6;width:12;height:2" coordorigin="4499,6" coordsize="12,2">
              <v:shape style="position:absolute;left:4499;top:6;width:12;height:2" coordorigin="4499,6" coordsize="12,0" path="m4499,6l4511,6e" filled="false" stroked="true" strokeweight=".6pt" strokecolor="#000008">
                <v:path arrowok="t"/>
              </v:shape>
            </v:group>
            <v:group style="position:absolute;left:4518;top:6;width:12;height:2" coordorigin="4518,6" coordsize="12,2">
              <v:shape style="position:absolute;left:4518;top:6;width:12;height:2" coordorigin="4518,6" coordsize="12,0" path="m4518,6l4530,6e" filled="false" stroked="true" strokeweight=".6pt" strokecolor="#000008">
                <v:path arrowok="t"/>
              </v:shape>
            </v:group>
            <v:group style="position:absolute;left:4537;top:6;width:12;height:2" coordorigin="4537,6" coordsize="12,2">
              <v:shape style="position:absolute;left:4537;top:6;width:12;height:2" coordorigin="4537,6" coordsize="12,0" path="m4537,6l4549,6e" filled="false" stroked="true" strokeweight=".6pt" strokecolor="#000008">
                <v:path arrowok="t"/>
              </v:shape>
            </v:group>
            <v:group style="position:absolute;left:4556;top:6;width:12;height:2" coordorigin="4556,6" coordsize="12,2">
              <v:shape style="position:absolute;left:4556;top:6;width:12;height:2" coordorigin="4556,6" coordsize="12,0" path="m4556,6l4568,6e" filled="false" stroked="true" strokeweight=".6pt" strokecolor="#000008">
                <v:path arrowok="t"/>
              </v:shape>
            </v:group>
            <v:group style="position:absolute;left:4576;top:6;width:12;height:2" coordorigin="4576,6" coordsize="12,2">
              <v:shape style="position:absolute;left:4576;top:6;width:12;height:2" coordorigin="4576,6" coordsize="12,0" path="m4576,6l4588,6e" filled="false" stroked="true" strokeweight=".6pt" strokecolor="#000008">
                <v:path arrowok="t"/>
              </v:shape>
            </v:group>
            <v:group style="position:absolute;left:4595;top:6;width:12;height:2" coordorigin="4595,6" coordsize="12,2">
              <v:shape style="position:absolute;left:4595;top:6;width:12;height:2" coordorigin="4595,6" coordsize="12,0" path="m4595,6l4607,6e" filled="false" stroked="true" strokeweight=".6pt" strokecolor="#000008">
                <v:path arrowok="t"/>
              </v:shape>
            </v:group>
            <v:group style="position:absolute;left:4614;top:6;width:12;height:2" coordorigin="4614,6" coordsize="12,2">
              <v:shape style="position:absolute;left:4614;top:6;width:12;height:2" coordorigin="4614,6" coordsize="12,0" path="m4614,6l4626,6e" filled="false" stroked="true" strokeweight=".6pt" strokecolor="#000008">
                <v:path arrowok="t"/>
              </v:shape>
            </v:group>
            <v:group style="position:absolute;left:4633;top:6;width:12;height:2" coordorigin="4633,6" coordsize="12,2">
              <v:shape style="position:absolute;left:4633;top:6;width:12;height:2" coordorigin="4633,6" coordsize="12,0" path="m4633,6l4645,6e" filled="false" stroked="true" strokeweight=".6pt" strokecolor="#000008">
                <v:path arrowok="t"/>
              </v:shape>
            </v:group>
            <v:group style="position:absolute;left:4652;top:6;width:12;height:2" coordorigin="4652,6" coordsize="12,2">
              <v:shape style="position:absolute;left:4652;top:6;width:12;height:2" coordorigin="4652,6" coordsize="12,0" path="m4652,6l4664,6e" filled="false" stroked="true" strokeweight=".6pt" strokecolor="#000008">
                <v:path arrowok="t"/>
              </v:shape>
            </v:group>
            <v:group style="position:absolute;left:4672;top:6;width:12;height:2" coordorigin="4672,6" coordsize="12,2">
              <v:shape style="position:absolute;left:4672;top:6;width:12;height:2" coordorigin="4672,6" coordsize="12,0" path="m4672,6l4684,6e" filled="false" stroked="true" strokeweight=".6pt" strokecolor="#000008">
                <v:path arrowok="t"/>
              </v:shape>
            </v:group>
            <v:group style="position:absolute;left:4691;top:6;width:12;height:2" coordorigin="4691,6" coordsize="12,2">
              <v:shape style="position:absolute;left:4691;top:6;width:12;height:2" coordorigin="4691,6" coordsize="12,0" path="m4691,6l4703,6e" filled="false" stroked="true" strokeweight=".6pt" strokecolor="#000008">
                <v:path arrowok="t"/>
              </v:shape>
            </v:group>
            <v:group style="position:absolute;left:4710;top:6;width:12;height:2" coordorigin="4710,6" coordsize="12,2">
              <v:shape style="position:absolute;left:4710;top:6;width:12;height:2" coordorigin="4710,6" coordsize="12,0" path="m4710,6l4722,6e" filled="false" stroked="true" strokeweight=".6pt" strokecolor="#000008">
                <v:path arrowok="t"/>
              </v:shape>
            </v:group>
            <v:group style="position:absolute;left:4729;top:6;width:12;height:2" coordorigin="4729,6" coordsize="12,2">
              <v:shape style="position:absolute;left:4729;top:6;width:12;height:2" coordorigin="4729,6" coordsize="12,0" path="m4729,6l4741,6e" filled="false" stroked="true" strokeweight=".6pt" strokecolor="#000008">
                <v:path arrowok="t"/>
              </v:shape>
            </v:group>
            <v:group style="position:absolute;left:4748;top:6;width:12;height:2" coordorigin="4748,6" coordsize="12,2">
              <v:shape style="position:absolute;left:4748;top:6;width:12;height:2" coordorigin="4748,6" coordsize="12,0" path="m4748,6l4760,6e" filled="false" stroked="true" strokeweight=".6pt" strokecolor="#000008">
                <v:path arrowok="t"/>
              </v:shape>
            </v:group>
            <v:group style="position:absolute;left:4768;top:6;width:12;height:2" coordorigin="4768,6" coordsize="12,2">
              <v:shape style="position:absolute;left:4768;top:6;width:12;height:2" coordorigin="4768,6" coordsize="12,0" path="m4768,6l4780,6e" filled="false" stroked="true" strokeweight=".6pt" strokecolor="#000008">
                <v:path arrowok="t"/>
              </v:shape>
            </v:group>
            <v:group style="position:absolute;left:4787;top:6;width:12;height:2" coordorigin="4787,6" coordsize="12,2">
              <v:shape style="position:absolute;left:4787;top:6;width:12;height:2" coordorigin="4787,6" coordsize="12,0" path="m4787,6l4799,6e" filled="false" stroked="true" strokeweight=".6pt" strokecolor="#000008">
                <v:path arrowok="t"/>
              </v:shape>
            </v:group>
            <v:group style="position:absolute;left:4806;top:6;width:12;height:2" coordorigin="4806,6" coordsize="12,2">
              <v:shape style="position:absolute;left:4806;top:6;width:12;height:2" coordorigin="4806,6" coordsize="12,0" path="m4806,6l4818,6e" filled="false" stroked="true" strokeweight=".6pt" strokecolor="#000008">
                <v:path arrowok="t"/>
              </v:shape>
            </v:group>
            <v:group style="position:absolute;left:4825;top:6;width:12;height:2" coordorigin="4825,6" coordsize="12,2">
              <v:shape style="position:absolute;left:4825;top:6;width:12;height:2" coordorigin="4825,6" coordsize="12,0" path="m4825,6l4837,6e" filled="false" stroked="true" strokeweight=".6pt" strokecolor="#000008">
                <v:path arrowok="t"/>
              </v:shape>
            </v:group>
            <v:group style="position:absolute;left:4844;top:6;width:12;height:2" coordorigin="4844,6" coordsize="12,2">
              <v:shape style="position:absolute;left:4844;top:6;width:12;height:2" coordorigin="4844,6" coordsize="12,0" path="m4844,6l4856,6e" filled="false" stroked="true" strokeweight=".6pt" strokecolor="#000008">
                <v:path arrowok="t"/>
              </v:shape>
            </v:group>
            <v:group style="position:absolute;left:4864;top:6;width:12;height:2" coordorigin="4864,6" coordsize="12,2">
              <v:shape style="position:absolute;left:4864;top:6;width:12;height:2" coordorigin="4864,6" coordsize="12,0" path="m4864,6l4876,6e" filled="false" stroked="true" strokeweight=".6pt" strokecolor="#000008">
                <v:path arrowok="t"/>
              </v:shape>
            </v:group>
            <v:group style="position:absolute;left:4883;top:6;width:12;height:2" coordorigin="4883,6" coordsize="12,2">
              <v:shape style="position:absolute;left:4883;top:6;width:12;height:2" coordorigin="4883,6" coordsize="12,0" path="m4883,6l4895,6e" filled="false" stroked="true" strokeweight=".6pt" strokecolor="#000008">
                <v:path arrowok="t"/>
              </v:shape>
            </v:group>
            <v:group style="position:absolute;left:4902;top:6;width:12;height:2" coordorigin="4902,6" coordsize="12,2">
              <v:shape style="position:absolute;left:4902;top:6;width:12;height:2" coordorigin="4902,6" coordsize="12,0" path="m4902,6l4914,6e" filled="false" stroked="true" strokeweight=".6pt" strokecolor="#000008">
                <v:path arrowok="t"/>
              </v:shape>
            </v:group>
            <v:group style="position:absolute;left:4921;top:6;width:12;height:2" coordorigin="4921,6" coordsize="12,2">
              <v:shape style="position:absolute;left:4921;top:6;width:12;height:2" coordorigin="4921,6" coordsize="12,0" path="m4921,6l4933,6e" filled="false" stroked="true" strokeweight=".6pt" strokecolor="#000008">
                <v:path arrowok="t"/>
              </v:shape>
            </v:group>
            <v:group style="position:absolute;left:4940;top:6;width:12;height:2" coordorigin="4940,6" coordsize="12,2">
              <v:shape style="position:absolute;left:4940;top:6;width:12;height:2" coordorigin="4940,6" coordsize="12,0" path="m4940,6l4952,6e" filled="false" stroked="true" strokeweight=".6pt" strokecolor="#000008">
                <v:path arrowok="t"/>
              </v:shape>
            </v:group>
            <v:group style="position:absolute;left:4960;top:6;width:12;height:2" coordorigin="4960,6" coordsize="12,2">
              <v:shape style="position:absolute;left:4960;top:6;width:12;height:2" coordorigin="4960,6" coordsize="12,0" path="m4960,6l4972,6e" filled="false" stroked="true" strokeweight=".6pt" strokecolor="#000008">
                <v:path arrowok="t"/>
              </v:shape>
            </v:group>
            <v:group style="position:absolute;left:4979;top:6;width:12;height:2" coordorigin="4979,6" coordsize="12,2">
              <v:shape style="position:absolute;left:4979;top:6;width:12;height:2" coordorigin="4979,6" coordsize="12,0" path="m4979,6l4991,6e" filled="false" stroked="true" strokeweight=".6pt" strokecolor="#000008">
                <v:path arrowok="t"/>
              </v:shape>
            </v:group>
            <v:group style="position:absolute;left:4998;top:6;width:12;height:2" coordorigin="4998,6" coordsize="12,2">
              <v:shape style="position:absolute;left:4998;top:6;width:12;height:2" coordorigin="4998,6" coordsize="12,0" path="m4998,6l5010,6e" filled="false" stroked="true" strokeweight=".6pt" strokecolor="#000008">
                <v:path arrowok="t"/>
              </v:shape>
            </v:group>
            <v:group style="position:absolute;left:5017;top:6;width:12;height:2" coordorigin="5017,6" coordsize="12,2">
              <v:shape style="position:absolute;left:5017;top:6;width:12;height:2" coordorigin="5017,6" coordsize="12,0" path="m5017,6l5029,6e" filled="false" stroked="true" strokeweight=".6pt" strokecolor="#000008">
                <v:path arrowok="t"/>
              </v:shape>
            </v:group>
            <v:group style="position:absolute;left:5036;top:6;width:12;height:2" coordorigin="5036,6" coordsize="12,2">
              <v:shape style="position:absolute;left:5036;top:6;width:12;height:2" coordorigin="5036,6" coordsize="12,0" path="m5036,6l5048,6e" filled="false" stroked="true" strokeweight=".6pt" strokecolor="#000008">
                <v:path arrowok="t"/>
              </v:shape>
            </v:group>
            <v:group style="position:absolute;left:5077;top:6;width:12;height:2" coordorigin="5077,6" coordsize="12,2">
              <v:shape style="position:absolute;left:5077;top:6;width:12;height:2" coordorigin="5077,6" coordsize="12,0" path="m5077,6l5089,6e" filled="false" stroked="true" strokeweight=".6pt" strokecolor="#000008">
                <v:path arrowok="t"/>
              </v:shape>
            </v:group>
            <v:group style="position:absolute;left:5096;top:6;width:12;height:2" coordorigin="5096,6" coordsize="12,2">
              <v:shape style="position:absolute;left:5096;top:6;width:12;height:2" coordorigin="5096,6" coordsize="12,0" path="m5096,6l5108,6e" filled="false" stroked="true" strokeweight=".6pt" strokecolor="#000008">
                <v:path arrowok="t"/>
              </v:shape>
            </v:group>
            <v:group style="position:absolute;left:5116;top:6;width:12;height:2" coordorigin="5116,6" coordsize="12,2">
              <v:shape style="position:absolute;left:5116;top:6;width:12;height:2" coordorigin="5116,6" coordsize="12,0" path="m5116,6l5128,6e" filled="false" stroked="true" strokeweight=".6pt" strokecolor="#000008">
                <v:path arrowok="t"/>
              </v:shape>
            </v:group>
            <v:group style="position:absolute;left:5135;top:6;width:12;height:2" coordorigin="5135,6" coordsize="12,2">
              <v:shape style="position:absolute;left:5135;top:6;width:12;height:2" coordorigin="5135,6" coordsize="12,0" path="m5135,6l5147,6e" filled="false" stroked="true" strokeweight=".6pt" strokecolor="#000008">
                <v:path arrowok="t"/>
              </v:shape>
            </v:group>
            <v:group style="position:absolute;left:5154;top:6;width:12;height:2" coordorigin="5154,6" coordsize="12,2">
              <v:shape style="position:absolute;left:5154;top:6;width:12;height:2" coordorigin="5154,6" coordsize="12,0" path="m5154,6l5166,6e" filled="false" stroked="true" strokeweight=".6pt" strokecolor="#000008">
                <v:path arrowok="t"/>
              </v:shape>
            </v:group>
            <v:group style="position:absolute;left:5173;top:6;width:12;height:2" coordorigin="5173,6" coordsize="12,2">
              <v:shape style="position:absolute;left:5173;top:6;width:12;height:2" coordorigin="5173,6" coordsize="12,0" path="m5173,6l5185,6e" filled="false" stroked="true" strokeweight=".6pt" strokecolor="#000008">
                <v:path arrowok="t"/>
              </v:shape>
            </v:group>
            <v:group style="position:absolute;left:5192;top:6;width:12;height:2" coordorigin="5192,6" coordsize="12,2">
              <v:shape style="position:absolute;left:5192;top:6;width:12;height:2" coordorigin="5192,6" coordsize="12,0" path="m5192,6l5204,6e" filled="false" stroked="true" strokeweight=".6pt" strokecolor="#000008">
                <v:path arrowok="t"/>
              </v:shape>
            </v:group>
            <v:group style="position:absolute;left:5212;top:6;width:12;height:2" coordorigin="5212,6" coordsize="12,2">
              <v:shape style="position:absolute;left:5212;top:6;width:12;height:2" coordorigin="5212,6" coordsize="12,0" path="m5212,6l5224,6e" filled="false" stroked="true" strokeweight=".6pt" strokecolor="#000008">
                <v:path arrowok="t"/>
              </v:shape>
            </v:group>
            <v:group style="position:absolute;left:5231;top:6;width:12;height:2" coordorigin="5231,6" coordsize="12,2">
              <v:shape style="position:absolute;left:5231;top:6;width:12;height:2" coordorigin="5231,6" coordsize="12,0" path="m5231,6l5243,6e" filled="false" stroked="true" strokeweight=".6pt" strokecolor="#000008">
                <v:path arrowok="t"/>
              </v:shape>
            </v:group>
            <v:group style="position:absolute;left:5250;top:6;width:12;height:2" coordorigin="5250,6" coordsize="12,2">
              <v:shape style="position:absolute;left:5250;top:6;width:12;height:2" coordorigin="5250,6" coordsize="12,0" path="m5250,6l5262,6e" filled="false" stroked="true" strokeweight=".6pt" strokecolor="#000008">
                <v:path arrowok="t"/>
              </v:shape>
            </v:group>
            <v:group style="position:absolute;left:5269;top:6;width:12;height:2" coordorigin="5269,6" coordsize="12,2">
              <v:shape style="position:absolute;left:5269;top:6;width:12;height:2" coordorigin="5269,6" coordsize="12,0" path="m5269,6l5281,6e" filled="false" stroked="true" strokeweight=".6pt" strokecolor="#000008">
                <v:path arrowok="t"/>
              </v:shape>
            </v:group>
            <v:group style="position:absolute;left:5288;top:6;width:12;height:2" coordorigin="5288,6" coordsize="12,2">
              <v:shape style="position:absolute;left:5288;top:6;width:12;height:2" coordorigin="5288,6" coordsize="12,0" path="m5288,6l5300,6e" filled="false" stroked="true" strokeweight=".6pt" strokecolor="#000008">
                <v:path arrowok="t"/>
              </v:shape>
            </v:group>
            <v:group style="position:absolute;left:5308;top:6;width:12;height:2" coordorigin="5308,6" coordsize="12,2">
              <v:shape style="position:absolute;left:5308;top:6;width:12;height:2" coordorigin="5308,6" coordsize="12,0" path="m5308,6l5320,6e" filled="false" stroked="true" strokeweight=".6pt" strokecolor="#000008">
                <v:path arrowok="t"/>
              </v:shape>
            </v:group>
            <v:group style="position:absolute;left:5327;top:6;width:12;height:2" coordorigin="5327,6" coordsize="12,2">
              <v:shape style="position:absolute;left:5327;top:6;width:12;height:2" coordorigin="5327,6" coordsize="12,0" path="m5327,6l5339,6e" filled="false" stroked="true" strokeweight=".6pt" strokecolor="#000008">
                <v:path arrowok="t"/>
              </v:shape>
            </v:group>
            <v:group style="position:absolute;left:5346;top:6;width:12;height:2" coordorigin="5346,6" coordsize="12,2">
              <v:shape style="position:absolute;left:5346;top:6;width:12;height:2" coordorigin="5346,6" coordsize="12,0" path="m5346,6l5358,6e" filled="false" stroked="true" strokeweight=".6pt" strokecolor="#000008">
                <v:path arrowok="t"/>
              </v:shape>
            </v:group>
            <v:group style="position:absolute;left:5365;top:6;width:12;height:2" coordorigin="5365,6" coordsize="12,2">
              <v:shape style="position:absolute;left:5365;top:6;width:12;height:2" coordorigin="5365,6" coordsize="12,0" path="m5365,6l5377,6e" filled="false" stroked="true" strokeweight=".6pt" strokecolor="#000008">
                <v:path arrowok="t"/>
              </v:shape>
            </v:group>
            <v:group style="position:absolute;left:5384;top:6;width:12;height:2" coordorigin="5384,6" coordsize="12,2">
              <v:shape style="position:absolute;left:5384;top:6;width:12;height:2" coordorigin="5384,6" coordsize="12,0" path="m5384,6l5396,6e" filled="false" stroked="true" strokeweight=".6pt" strokecolor="#000008">
                <v:path arrowok="t"/>
              </v:shape>
            </v:group>
            <v:group style="position:absolute;left:5404;top:6;width:12;height:2" coordorigin="5404,6" coordsize="12,2">
              <v:shape style="position:absolute;left:5404;top:6;width:12;height:2" coordorigin="5404,6" coordsize="12,0" path="m5404,6l5416,6e" filled="false" stroked="true" strokeweight=".6pt" strokecolor="#000008">
                <v:path arrowok="t"/>
              </v:shape>
            </v:group>
            <v:group style="position:absolute;left:5423;top:6;width:12;height:2" coordorigin="5423,6" coordsize="12,2">
              <v:shape style="position:absolute;left:5423;top:6;width:12;height:2" coordorigin="5423,6" coordsize="12,0" path="m5423,6l5435,6e" filled="false" stroked="true" strokeweight=".6pt" strokecolor="#000008">
                <v:path arrowok="t"/>
              </v:shape>
            </v:group>
            <v:group style="position:absolute;left:5442;top:6;width:12;height:2" coordorigin="5442,6" coordsize="12,2">
              <v:shape style="position:absolute;left:5442;top:6;width:12;height:2" coordorigin="5442,6" coordsize="12,0" path="m5442,6l5454,6e" filled="false" stroked="true" strokeweight=".6pt" strokecolor="#000008">
                <v:path arrowok="t"/>
              </v:shape>
            </v:group>
            <v:group style="position:absolute;left:5461;top:6;width:3;height:2" coordorigin="5461,6" coordsize="3,2">
              <v:shape style="position:absolute;left:5461;top:6;width:3;height:2" coordorigin="5461,6" coordsize="3,0" path="m5461,6l5464,6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line="240" w:lineRule="auto" w:before="14"/>
        <w:rPr>
          <w:rFonts w:ascii="Microsoft JhengHei" w:hAnsi="Microsoft JhengHei" w:cs="Microsoft JhengHei" w:eastAsia="Microsoft JhengHei" w:hint="default"/>
          <w:b/>
          <w:bCs/>
          <w:sz w:val="16"/>
          <w:szCs w:val="16"/>
        </w:rPr>
      </w:pPr>
    </w:p>
    <w:p>
      <w:pPr>
        <w:spacing w:line="20" w:lineRule="exact"/>
        <w:ind w:left="39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73.45pt;height:.6pt;mso-position-horizontal-relative:char;mso-position-vertical-relative:line" coordorigin="0,0" coordsize="546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12;height:2" coordorigin="2521,6" coordsize="12,2">
              <v:shape style="position:absolute;left:2521;top:6;width:12;height:2" coordorigin="2521,6" coordsize="12,0" path="m2521,6l2533,6e" filled="false" stroked="true" strokeweight=".6pt" strokecolor="#000008">
                <v:path arrowok="t"/>
              </v:shape>
            </v:group>
            <v:group style="position:absolute;left:2540;top:6;width:12;height:2" coordorigin="2540,6" coordsize="12,2">
              <v:shape style="position:absolute;left:2540;top:6;width:12;height:2" coordorigin="2540,6" coordsize="12,0" path="m2540,6l2552,6e" filled="false" stroked="true" strokeweight=".6pt" strokecolor="#000008">
                <v:path arrowok="t"/>
              </v:shape>
            </v:group>
            <v:group style="position:absolute;left:2560;top:6;width:12;height:2" coordorigin="2560,6" coordsize="12,2">
              <v:shape style="position:absolute;left:2560;top:6;width:12;height:2" coordorigin="2560,6" coordsize="12,0" path="m2560,6l2572,6e" filled="false" stroked="true" strokeweight=".6pt" strokecolor="#000008">
                <v:path arrowok="t"/>
              </v:shape>
            </v:group>
            <v:group style="position:absolute;left:2579;top:6;width:12;height:2" coordorigin="2579,6" coordsize="12,2">
              <v:shape style="position:absolute;left:2579;top:6;width:12;height:2" coordorigin="2579,6" coordsize="12,0" path="m2579,6l2591,6e" filled="false" stroked="true" strokeweight=".6pt" strokecolor="#000008">
                <v:path arrowok="t"/>
              </v:shape>
            </v:group>
            <v:group style="position:absolute;left:2598;top:6;width:12;height:2" coordorigin="2598,6" coordsize="12,2">
              <v:shape style="position:absolute;left:2598;top:6;width:12;height:2" coordorigin="2598,6" coordsize="12,0" path="m2598,6l2610,6e" filled="false" stroked="true" strokeweight=".6pt" strokecolor="#000008">
                <v:path arrowok="t"/>
              </v:shape>
            </v:group>
            <v:group style="position:absolute;left:2617;top:6;width:12;height:2" coordorigin="2617,6" coordsize="12,2">
              <v:shape style="position:absolute;left:2617;top:6;width:12;height:2" coordorigin="2617,6" coordsize="12,0" path="m2617,6l2629,6e" filled="false" stroked="true" strokeweight=".6pt" strokecolor="#000008">
                <v:path arrowok="t"/>
              </v:shape>
            </v:group>
            <v:group style="position:absolute;left:2636;top:6;width:12;height:2" coordorigin="2636,6" coordsize="12,2">
              <v:shape style="position:absolute;left:2636;top:6;width:12;height:2" coordorigin="2636,6" coordsize="12,0" path="m2636,6l2648,6e" filled="false" stroked="true" strokeweight=".6pt" strokecolor="#000008">
                <v:path arrowok="t"/>
              </v:shape>
            </v:group>
            <v:group style="position:absolute;left:2656;top:6;width:12;height:2" coordorigin="2656,6" coordsize="12,2">
              <v:shape style="position:absolute;left:2656;top:6;width:12;height:2" coordorigin="2656,6" coordsize="12,0" path="m2656,6l2668,6e" filled="false" stroked="true" strokeweight=".6pt" strokecolor="#000008">
                <v:path arrowok="t"/>
              </v:shape>
            </v:group>
            <v:group style="position:absolute;left:2675;top:6;width:12;height:2" coordorigin="2675,6" coordsize="12,2">
              <v:shape style="position:absolute;left:2675;top:6;width:12;height:2" coordorigin="2675,6" coordsize="12,0" path="m2675,6l2687,6e" filled="false" stroked="true" strokeweight=".6pt" strokecolor="#000008">
                <v:path arrowok="t"/>
              </v:shape>
            </v:group>
            <v:group style="position:absolute;left:2694;top:6;width:12;height:2" coordorigin="2694,6" coordsize="12,2">
              <v:shape style="position:absolute;left:2694;top:6;width:12;height:2" coordorigin="2694,6" coordsize="12,0" path="m2694,6l2706,6e" filled="false" stroked="true" strokeweight=".6pt" strokecolor="#000008">
                <v:path arrowok="t"/>
              </v:shape>
            </v:group>
            <v:group style="position:absolute;left:2713;top:6;width:12;height:2" coordorigin="2713,6" coordsize="12,2">
              <v:shape style="position:absolute;left:2713;top:6;width:12;height:2" coordorigin="2713,6" coordsize="12,0" path="m2713,6l2725,6e" filled="false" stroked="true" strokeweight=".6pt" strokecolor="#000008">
                <v:path arrowok="t"/>
              </v:shape>
            </v:group>
            <v:group style="position:absolute;left:2732;top:6;width:12;height:2" coordorigin="2732,6" coordsize="12,2">
              <v:shape style="position:absolute;left:2732;top:6;width:12;height:2" coordorigin="2732,6" coordsize="12,0" path="m2732,6l2744,6e" filled="false" stroked="true" strokeweight=".6pt" strokecolor="#000008">
                <v:path arrowok="t"/>
              </v:shape>
            </v:group>
            <v:group style="position:absolute;left:2752;top:6;width:12;height:2" coordorigin="2752,6" coordsize="12,2">
              <v:shape style="position:absolute;left:2752;top:6;width:12;height:2" coordorigin="2752,6" coordsize="12,0" path="m2752,6l2764,6e" filled="false" stroked="true" strokeweight=".6pt" strokecolor="#000008">
                <v:path arrowok="t"/>
              </v:shape>
            </v:group>
            <v:group style="position:absolute;left:2771;top:6;width:12;height:2" coordorigin="2771,6" coordsize="12,2">
              <v:shape style="position:absolute;left:2771;top:6;width:12;height:2" coordorigin="2771,6" coordsize="12,0" path="m2771,6l2783,6e" filled="false" stroked="true" strokeweight=".6pt" strokecolor="#000008">
                <v:path arrowok="t"/>
              </v:shape>
            </v:group>
            <v:group style="position:absolute;left:2790;top:6;width:12;height:2" coordorigin="2790,6" coordsize="12,2">
              <v:shape style="position:absolute;left:2790;top:6;width:12;height:2" coordorigin="2790,6" coordsize="12,0" path="m2790,6l2802,6e" filled="false" stroked="true" strokeweight=".6pt" strokecolor="#000008">
                <v:path arrowok="t"/>
              </v:shape>
            </v:group>
            <v:group style="position:absolute;left:2809;top:6;width:12;height:2" coordorigin="2809,6" coordsize="12,2">
              <v:shape style="position:absolute;left:2809;top:6;width:12;height:2" coordorigin="2809,6" coordsize="12,0" path="m2809,6l2821,6e" filled="false" stroked="true" strokeweight=".6pt" strokecolor="#000008">
                <v:path arrowok="t"/>
              </v:shape>
            </v:group>
            <v:group style="position:absolute;left:2828;top:6;width:12;height:2" coordorigin="2828,6" coordsize="12,2">
              <v:shape style="position:absolute;left:2828;top:6;width:12;height:2" coordorigin="2828,6" coordsize="12,0" path="m2828,6l2840,6e" filled="false" stroked="true" strokeweight=".6pt" strokecolor="#000008">
                <v:path arrowok="t"/>
              </v:shape>
            </v:group>
            <v:group style="position:absolute;left:2848;top:6;width:12;height:2" coordorigin="2848,6" coordsize="12,2">
              <v:shape style="position:absolute;left:2848;top:6;width:12;height:2" coordorigin="2848,6" coordsize="12,0" path="m2848,6l2860,6e" filled="false" stroked="true" strokeweight=".6pt" strokecolor="#000008">
                <v:path arrowok="t"/>
              </v:shape>
            </v:group>
            <v:group style="position:absolute;left:2867;top:6;width:12;height:2" coordorigin="2867,6" coordsize="12,2">
              <v:shape style="position:absolute;left:2867;top:6;width:12;height:2" coordorigin="2867,6" coordsize="12,0" path="m2867,6l2879,6e" filled="false" stroked="true" strokeweight=".6pt" strokecolor="#000008">
                <v:path arrowok="t"/>
              </v:shape>
            </v:group>
            <v:group style="position:absolute;left:2886;top:6;width:12;height:2" coordorigin="2886,6" coordsize="12,2">
              <v:shape style="position:absolute;left:2886;top:6;width:12;height:2" coordorigin="2886,6" coordsize="12,0" path="m2886,6l2898,6e" filled="false" stroked="true" strokeweight=".6pt" strokecolor="#000008">
                <v:path arrowok="t"/>
              </v:shape>
            </v:group>
            <v:group style="position:absolute;left:2905;top:6;width:12;height:2" coordorigin="2905,6" coordsize="12,2">
              <v:shape style="position:absolute;left:2905;top:6;width:12;height:2" coordorigin="2905,6" coordsize="12,0" path="m2905,6l2917,6e" filled="false" stroked="true" strokeweight=".6pt" strokecolor="#000008">
                <v:path arrowok="t"/>
              </v:shape>
            </v:group>
            <v:group style="position:absolute;left:2924;top:6;width:12;height:2" coordorigin="2924,6" coordsize="12,2">
              <v:shape style="position:absolute;left:2924;top:6;width:12;height:2" coordorigin="2924,6" coordsize="12,0" path="m2924,6l2936,6e" filled="false" stroked="true" strokeweight=".6pt" strokecolor="#000008">
                <v:path arrowok="t"/>
              </v:shape>
            </v:group>
            <v:group style="position:absolute;left:2944;top:6;width:12;height:2" coordorigin="2944,6" coordsize="12,2">
              <v:shape style="position:absolute;left:2944;top:6;width:12;height:2" coordorigin="2944,6" coordsize="12,0" path="m2944,6l2956,6e" filled="false" stroked="true" strokeweight=".6pt" strokecolor="#000008">
                <v:path arrowok="t"/>
              </v:shape>
            </v:group>
            <v:group style="position:absolute;left:2963;top:6;width:12;height:2" coordorigin="2963,6" coordsize="12,2">
              <v:shape style="position:absolute;left:2963;top:6;width:12;height:2" coordorigin="2963,6" coordsize="12,0" path="m2963,6l2975,6e" filled="false" stroked="true" strokeweight=".6pt" strokecolor="#000008">
                <v:path arrowok="t"/>
              </v:shape>
            </v:group>
            <v:group style="position:absolute;left:2982;top:6;width:12;height:2" coordorigin="2982,6" coordsize="12,2">
              <v:shape style="position:absolute;left:2982;top:6;width:12;height:2" coordorigin="2982,6" coordsize="12,0" path="m2982,6l2994,6e" filled="false" stroked="true" strokeweight=".6pt" strokecolor="#000008">
                <v:path arrowok="t"/>
              </v:shape>
            </v:group>
            <v:group style="position:absolute;left:3001;top:6;width:12;height:2" coordorigin="3001,6" coordsize="12,2">
              <v:shape style="position:absolute;left:3001;top:6;width:12;height:2" coordorigin="3001,6" coordsize="12,0" path="m3001,6l3013,6e" filled="false" stroked="true" strokeweight=".6pt" strokecolor="#000008">
                <v:path arrowok="t"/>
              </v:shape>
            </v:group>
            <v:group style="position:absolute;left:3020;top:6;width:12;height:2" coordorigin="3020,6" coordsize="12,2">
              <v:shape style="position:absolute;left:3020;top:6;width:12;height:2" coordorigin="3020,6" coordsize="12,0" path="m3020,6l3032,6e" filled="false" stroked="true" strokeweight=".6pt" strokecolor="#000008">
                <v:path arrowok="t"/>
              </v:shape>
            </v:group>
            <v:group style="position:absolute;left:3040;top:6;width:12;height:2" coordorigin="3040,6" coordsize="12,2">
              <v:shape style="position:absolute;left:3040;top:6;width:12;height:2" coordorigin="3040,6" coordsize="12,0" path="m3040,6l3052,6e" filled="false" stroked="true" strokeweight=".6pt" strokecolor="#000008">
                <v:path arrowok="t"/>
              </v:shape>
            </v:group>
            <v:group style="position:absolute;left:3059;top:6;width:12;height:2" coordorigin="3059,6" coordsize="12,2">
              <v:shape style="position:absolute;left:3059;top:6;width:12;height:2" coordorigin="3059,6" coordsize="12,0" path="m3059,6l3071,6e" filled="false" stroked="true" strokeweight=".6pt" strokecolor="#000008">
                <v:path arrowok="t"/>
              </v:shape>
            </v:group>
            <v:group style="position:absolute;left:3078;top:6;width:12;height:2" coordorigin="3078,6" coordsize="12,2">
              <v:shape style="position:absolute;left:3078;top:6;width:12;height:2" coordorigin="3078,6" coordsize="12,0" path="m3078,6l3090,6e" filled="false" stroked="true" strokeweight=".6pt" strokecolor="#000008">
                <v:path arrowok="t"/>
              </v:shape>
            </v:group>
            <v:group style="position:absolute;left:3097;top:6;width:12;height:2" coordorigin="3097,6" coordsize="12,2">
              <v:shape style="position:absolute;left:3097;top:6;width:12;height:2" coordorigin="3097,6" coordsize="12,0" path="m3097,6l3109,6e" filled="false" stroked="true" strokeweight=".6pt" strokecolor="#000008">
                <v:path arrowok="t"/>
              </v:shape>
            </v:group>
            <v:group style="position:absolute;left:3116;top:6;width:12;height:2" coordorigin="3116,6" coordsize="12,2">
              <v:shape style="position:absolute;left:3116;top:6;width:12;height:2" coordorigin="3116,6" coordsize="12,0" path="m3116,6l3128,6e" filled="false" stroked="true" strokeweight=".6pt" strokecolor="#000008">
                <v:path arrowok="t"/>
              </v:shape>
            </v:group>
            <v:group style="position:absolute;left:3136;top:6;width:12;height:2" coordorigin="3136,6" coordsize="12,2">
              <v:shape style="position:absolute;left:3136;top:6;width:12;height:2" coordorigin="3136,6" coordsize="12,0" path="m3136,6l3148,6e" filled="false" stroked="true" strokeweight=".6pt" strokecolor="#000008">
                <v:path arrowok="t"/>
              </v:shape>
            </v:group>
            <v:group style="position:absolute;left:3155;top:6;width:12;height:2" coordorigin="3155,6" coordsize="12,2">
              <v:shape style="position:absolute;left:3155;top:6;width:12;height:2" coordorigin="3155,6" coordsize="12,0" path="m3155,6l3167,6e" filled="false" stroked="true" strokeweight=".6pt" strokecolor="#000008">
                <v:path arrowok="t"/>
              </v:shape>
            </v:group>
            <v:group style="position:absolute;left:3174;top:6;width:12;height:2" coordorigin="3174,6" coordsize="12,2">
              <v:shape style="position:absolute;left:3174;top:6;width:12;height:2" coordorigin="3174,6" coordsize="12,0" path="m3174,6l3186,6e" filled="false" stroked="true" strokeweight=".6pt" strokecolor="#000008">
                <v:path arrowok="t"/>
              </v:shape>
            </v:group>
            <v:group style="position:absolute;left:3193;top:6;width:12;height:2" coordorigin="3193,6" coordsize="12,2">
              <v:shape style="position:absolute;left:3193;top:6;width:12;height:2" coordorigin="3193,6" coordsize="12,0" path="m3193,6l3205,6e" filled="false" stroked="true" strokeweight=".6pt" strokecolor="#000008">
                <v:path arrowok="t"/>
              </v:shape>
            </v:group>
            <v:group style="position:absolute;left:3212;top:6;width:12;height:2" coordorigin="3212,6" coordsize="12,2">
              <v:shape style="position:absolute;left:3212;top:6;width:12;height:2" coordorigin="3212,6" coordsize="12,0" path="m3212,6l3224,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096;top:6;width:12;height:2" coordorigin="4096,6" coordsize="12,2">
              <v:shape style="position:absolute;left:4096;top:6;width:12;height:2" coordorigin="4096,6" coordsize="12,0" path="m4096,6l410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12;height:2" coordorigin="4268,6" coordsize="12,2">
              <v:shape style="position:absolute;left:4268;top:6;width:12;height:2" coordorigin="4268,6" coordsize="12,0" path="m4268,6l4280,6e" filled="false" stroked="true" strokeweight=".6pt" strokecolor="#000008">
                <v:path arrowok="t"/>
              </v:shape>
            </v:group>
            <v:group style="position:absolute;left:4288;top:6;width:12;height:2" coordorigin="4288,6" coordsize="12,2">
              <v:shape style="position:absolute;left:4288;top:6;width:12;height:2" coordorigin="4288,6" coordsize="12,0" path="m4288,6l4300,6e" filled="false" stroked="true" strokeweight=".6pt" strokecolor="#000008">
                <v:path arrowok="t"/>
              </v:shape>
            </v:group>
            <v:group style="position:absolute;left:4307;top:6;width:12;height:2" coordorigin="4307,6" coordsize="12,2">
              <v:shape style="position:absolute;left:4307;top:6;width:12;height:2" coordorigin="4307,6" coordsize="12,0" path="m4307,6l4319,6e" filled="false" stroked="true" strokeweight=".6pt" strokecolor="#000008">
                <v:path arrowok="t"/>
              </v:shape>
            </v:group>
            <v:group style="position:absolute;left:4326;top:6;width:12;height:2" coordorigin="4326,6" coordsize="12,2">
              <v:shape style="position:absolute;left:4326;top:6;width:12;height:2" coordorigin="4326,6" coordsize="12,0" path="m4326,6l4338,6e" filled="false" stroked="true" strokeweight=".6pt" strokecolor="#000008">
                <v:path arrowok="t"/>
              </v:shape>
            </v:group>
            <v:group style="position:absolute;left:4345;top:6;width:12;height:2" coordorigin="4345,6" coordsize="12,2">
              <v:shape style="position:absolute;left:4345;top:6;width:12;height:2" coordorigin="4345,6" coordsize="12,0" path="m4345,6l4357,6e" filled="false" stroked="true" strokeweight=".6pt" strokecolor="#000008">
                <v:path arrowok="t"/>
              </v:shape>
            </v:group>
            <v:group style="position:absolute;left:4364;top:6;width:12;height:2" coordorigin="4364,6" coordsize="12,2">
              <v:shape style="position:absolute;left:4364;top:6;width:12;height:2" coordorigin="4364,6" coordsize="12,0" path="m4364,6l4376,6e" filled="false" stroked="true" strokeweight=".6pt" strokecolor="#000008">
                <v:path arrowok="t"/>
              </v:shape>
            </v:group>
            <v:group style="position:absolute;left:4384;top:6;width:12;height:2" coordorigin="4384,6" coordsize="12,2">
              <v:shape style="position:absolute;left:4384;top:6;width:12;height:2" coordorigin="4384,6" coordsize="12,0" path="m4384,6l4396,6e" filled="false" stroked="true" strokeweight=".6pt" strokecolor="#000008">
                <v:path arrowok="t"/>
              </v:shape>
            </v:group>
            <v:group style="position:absolute;left:4403;top:6;width:12;height:2" coordorigin="4403,6" coordsize="12,2">
              <v:shape style="position:absolute;left:4403;top:6;width:12;height:2" coordorigin="4403,6" coordsize="12,0" path="m4403,6l4415,6e" filled="false" stroked="true" strokeweight=".6pt" strokecolor="#000008">
                <v:path arrowok="t"/>
              </v:shape>
            </v:group>
            <v:group style="position:absolute;left:4422;top:6;width:12;height:2" coordorigin="4422,6" coordsize="12,2">
              <v:shape style="position:absolute;left:4422;top:6;width:12;height:2" coordorigin="4422,6" coordsize="12,0" path="m4422,6l4434,6e" filled="false" stroked="true" strokeweight=".6pt" strokecolor="#000008">
                <v:path arrowok="t"/>
              </v:shape>
            </v:group>
            <v:group style="position:absolute;left:4441;top:6;width:12;height:2" coordorigin="4441,6" coordsize="12,2">
              <v:shape style="position:absolute;left:4441;top:6;width:12;height:2" coordorigin="4441,6" coordsize="12,0" path="m4441,6l4453,6e" filled="false" stroked="true" strokeweight=".6pt" strokecolor="#000008">
                <v:path arrowok="t"/>
              </v:shape>
            </v:group>
            <v:group style="position:absolute;left:4460;top:6;width:12;height:2" coordorigin="4460,6" coordsize="12,2">
              <v:shape style="position:absolute;left:4460;top:6;width:12;height:2" coordorigin="4460,6" coordsize="12,0" path="m4460,6l4472,6e" filled="false" stroked="true" strokeweight=".6pt" strokecolor="#000008">
                <v:path arrowok="t"/>
              </v:shape>
            </v:group>
            <v:group style="position:absolute;left:4480;top:6;width:12;height:2" coordorigin="4480,6" coordsize="12,2">
              <v:shape style="position:absolute;left:4480;top:6;width:12;height:2" coordorigin="4480,6" coordsize="12,0" path="m4480,6l4492,6e" filled="false" stroked="true" strokeweight=".6pt" strokecolor="#000008">
                <v:path arrowok="t"/>
              </v:shape>
            </v:group>
            <v:group style="position:absolute;left:4499;top:6;width:12;height:2" coordorigin="4499,6" coordsize="12,2">
              <v:shape style="position:absolute;left:4499;top:6;width:12;height:2" coordorigin="4499,6" coordsize="12,0" path="m4499,6l4511,6e" filled="false" stroked="true" strokeweight=".6pt" strokecolor="#000008">
                <v:path arrowok="t"/>
              </v:shape>
            </v:group>
            <v:group style="position:absolute;left:4518;top:6;width:12;height:2" coordorigin="4518,6" coordsize="12,2">
              <v:shape style="position:absolute;left:4518;top:6;width:12;height:2" coordorigin="4518,6" coordsize="12,0" path="m4518,6l4530,6e" filled="false" stroked="true" strokeweight=".6pt" strokecolor="#000008">
                <v:path arrowok="t"/>
              </v:shape>
            </v:group>
            <v:group style="position:absolute;left:4537;top:6;width:12;height:2" coordorigin="4537,6" coordsize="12,2">
              <v:shape style="position:absolute;left:4537;top:6;width:12;height:2" coordorigin="4537,6" coordsize="12,0" path="m4537,6l4549,6e" filled="false" stroked="true" strokeweight=".6pt" strokecolor="#000008">
                <v:path arrowok="t"/>
              </v:shape>
            </v:group>
            <v:group style="position:absolute;left:4556;top:6;width:12;height:2" coordorigin="4556,6" coordsize="12,2">
              <v:shape style="position:absolute;left:4556;top:6;width:12;height:2" coordorigin="4556,6" coordsize="12,0" path="m4556,6l4568,6e" filled="false" stroked="true" strokeweight=".6pt" strokecolor="#000008">
                <v:path arrowok="t"/>
              </v:shape>
            </v:group>
            <v:group style="position:absolute;left:4576;top:6;width:12;height:2" coordorigin="4576,6" coordsize="12,2">
              <v:shape style="position:absolute;left:4576;top:6;width:12;height:2" coordorigin="4576,6" coordsize="12,0" path="m4576,6l4588,6e" filled="false" stroked="true" strokeweight=".6pt" strokecolor="#000008">
                <v:path arrowok="t"/>
              </v:shape>
            </v:group>
            <v:group style="position:absolute;left:4595;top:6;width:12;height:2" coordorigin="4595,6" coordsize="12,2">
              <v:shape style="position:absolute;left:4595;top:6;width:12;height:2" coordorigin="4595,6" coordsize="12,0" path="m4595,6l4607,6e" filled="false" stroked="true" strokeweight=".6pt" strokecolor="#000008">
                <v:path arrowok="t"/>
              </v:shape>
            </v:group>
            <v:group style="position:absolute;left:4614;top:6;width:12;height:2" coordorigin="4614,6" coordsize="12,2">
              <v:shape style="position:absolute;left:4614;top:6;width:12;height:2" coordorigin="4614,6" coordsize="12,0" path="m4614,6l4626,6e" filled="false" stroked="true" strokeweight=".6pt" strokecolor="#000008">
                <v:path arrowok="t"/>
              </v:shape>
            </v:group>
            <v:group style="position:absolute;left:4633;top:6;width:12;height:2" coordorigin="4633,6" coordsize="12,2">
              <v:shape style="position:absolute;left:4633;top:6;width:12;height:2" coordorigin="4633,6" coordsize="12,0" path="m4633,6l4645,6e" filled="false" stroked="true" strokeweight=".6pt" strokecolor="#000008">
                <v:path arrowok="t"/>
              </v:shape>
            </v:group>
            <v:group style="position:absolute;left:4652;top:6;width:12;height:2" coordorigin="4652,6" coordsize="12,2">
              <v:shape style="position:absolute;left:4652;top:6;width:12;height:2" coordorigin="4652,6" coordsize="12,0" path="m4652,6l4664,6e" filled="false" stroked="true" strokeweight=".6pt" strokecolor="#000008">
                <v:path arrowok="t"/>
              </v:shape>
            </v:group>
            <v:group style="position:absolute;left:4672;top:6;width:12;height:2" coordorigin="4672,6" coordsize="12,2">
              <v:shape style="position:absolute;left:4672;top:6;width:12;height:2" coordorigin="4672,6" coordsize="12,0" path="m4672,6l4684,6e" filled="false" stroked="true" strokeweight=".6pt" strokecolor="#000008">
                <v:path arrowok="t"/>
              </v:shape>
            </v:group>
            <v:group style="position:absolute;left:4691;top:6;width:12;height:2" coordorigin="4691,6" coordsize="12,2">
              <v:shape style="position:absolute;left:4691;top:6;width:12;height:2" coordorigin="4691,6" coordsize="12,0" path="m4691,6l4703,6e" filled="false" stroked="true" strokeweight=".6pt" strokecolor="#000008">
                <v:path arrowok="t"/>
              </v:shape>
            </v:group>
            <v:group style="position:absolute;left:4710;top:6;width:12;height:2" coordorigin="4710,6" coordsize="12,2">
              <v:shape style="position:absolute;left:4710;top:6;width:12;height:2" coordorigin="4710,6" coordsize="12,0" path="m4710,6l4722,6e" filled="false" stroked="true" strokeweight=".6pt" strokecolor="#000008">
                <v:path arrowok="t"/>
              </v:shape>
            </v:group>
            <v:group style="position:absolute;left:4729;top:6;width:12;height:2" coordorigin="4729,6" coordsize="12,2">
              <v:shape style="position:absolute;left:4729;top:6;width:12;height:2" coordorigin="4729,6" coordsize="12,0" path="m4729,6l4741,6e" filled="false" stroked="true" strokeweight=".6pt" strokecolor="#000008">
                <v:path arrowok="t"/>
              </v:shape>
            </v:group>
            <v:group style="position:absolute;left:4748;top:6;width:12;height:2" coordorigin="4748,6" coordsize="12,2">
              <v:shape style="position:absolute;left:4748;top:6;width:12;height:2" coordorigin="4748,6" coordsize="12,0" path="m4748,6l4760,6e" filled="false" stroked="true" strokeweight=".6pt" strokecolor="#000008">
                <v:path arrowok="t"/>
              </v:shape>
            </v:group>
            <v:group style="position:absolute;left:4768;top:6;width:12;height:2" coordorigin="4768,6" coordsize="12,2">
              <v:shape style="position:absolute;left:4768;top:6;width:12;height:2" coordorigin="4768,6" coordsize="12,0" path="m4768,6l4780,6e" filled="false" stroked="true" strokeweight=".6pt" strokecolor="#000008">
                <v:path arrowok="t"/>
              </v:shape>
            </v:group>
            <v:group style="position:absolute;left:4787;top:6;width:12;height:2" coordorigin="4787,6" coordsize="12,2">
              <v:shape style="position:absolute;left:4787;top:6;width:12;height:2" coordorigin="4787,6" coordsize="12,0" path="m4787,6l4799,6e" filled="false" stroked="true" strokeweight=".6pt" strokecolor="#000008">
                <v:path arrowok="t"/>
              </v:shape>
            </v:group>
            <v:group style="position:absolute;left:4806;top:6;width:12;height:2" coordorigin="4806,6" coordsize="12,2">
              <v:shape style="position:absolute;left:4806;top:6;width:12;height:2" coordorigin="4806,6" coordsize="12,0" path="m4806,6l4818,6e" filled="false" stroked="true" strokeweight=".6pt" strokecolor="#000008">
                <v:path arrowok="t"/>
              </v:shape>
            </v:group>
            <v:group style="position:absolute;left:4825;top:6;width:12;height:2" coordorigin="4825,6" coordsize="12,2">
              <v:shape style="position:absolute;left:4825;top:6;width:12;height:2" coordorigin="4825,6" coordsize="12,0" path="m4825,6l4837,6e" filled="false" stroked="true" strokeweight=".6pt" strokecolor="#000008">
                <v:path arrowok="t"/>
              </v:shape>
            </v:group>
            <v:group style="position:absolute;left:4844;top:6;width:12;height:2" coordorigin="4844,6" coordsize="12,2">
              <v:shape style="position:absolute;left:4844;top:6;width:12;height:2" coordorigin="4844,6" coordsize="12,0" path="m4844,6l4856,6e" filled="false" stroked="true" strokeweight=".6pt" strokecolor="#000008">
                <v:path arrowok="t"/>
              </v:shape>
            </v:group>
            <v:group style="position:absolute;left:4864;top:6;width:12;height:2" coordorigin="4864,6" coordsize="12,2">
              <v:shape style="position:absolute;left:4864;top:6;width:12;height:2" coordorigin="4864,6" coordsize="12,0" path="m4864,6l4876,6e" filled="false" stroked="true" strokeweight=".6pt" strokecolor="#000008">
                <v:path arrowok="t"/>
              </v:shape>
            </v:group>
            <v:group style="position:absolute;left:4883;top:6;width:12;height:2" coordorigin="4883,6" coordsize="12,2">
              <v:shape style="position:absolute;left:4883;top:6;width:12;height:2" coordorigin="4883,6" coordsize="12,0" path="m4883,6l4895,6e" filled="false" stroked="true" strokeweight=".6pt" strokecolor="#000008">
                <v:path arrowok="t"/>
              </v:shape>
            </v:group>
            <v:group style="position:absolute;left:4902;top:6;width:12;height:2" coordorigin="4902,6" coordsize="12,2">
              <v:shape style="position:absolute;left:4902;top:6;width:12;height:2" coordorigin="4902,6" coordsize="12,0" path="m4902,6l4914,6e" filled="false" stroked="true" strokeweight=".6pt" strokecolor="#000008">
                <v:path arrowok="t"/>
              </v:shape>
            </v:group>
            <v:group style="position:absolute;left:4921;top:6;width:12;height:2" coordorigin="4921,6" coordsize="12,2">
              <v:shape style="position:absolute;left:4921;top:6;width:12;height:2" coordorigin="4921,6" coordsize="12,0" path="m4921,6l4933,6e" filled="false" stroked="true" strokeweight=".6pt" strokecolor="#000008">
                <v:path arrowok="t"/>
              </v:shape>
            </v:group>
            <v:group style="position:absolute;left:4940;top:6;width:12;height:2" coordorigin="4940,6" coordsize="12,2">
              <v:shape style="position:absolute;left:4940;top:6;width:12;height:2" coordorigin="4940,6" coordsize="12,0" path="m4940,6l4952,6e" filled="false" stroked="true" strokeweight=".6pt" strokecolor="#000008">
                <v:path arrowok="t"/>
              </v:shape>
            </v:group>
            <v:group style="position:absolute;left:4960;top:6;width:12;height:2" coordorigin="4960,6" coordsize="12,2">
              <v:shape style="position:absolute;left:4960;top:6;width:12;height:2" coordorigin="4960,6" coordsize="12,0" path="m4960,6l4972,6e" filled="false" stroked="true" strokeweight=".6pt" strokecolor="#000008">
                <v:path arrowok="t"/>
              </v:shape>
            </v:group>
            <v:group style="position:absolute;left:4979;top:6;width:12;height:2" coordorigin="4979,6" coordsize="12,2">
              <v:shape style="position:absolute;left:4979;top:6;width:12;height:2" coordorigin="4979,6" coordsize="12,0" path="m4979,6l4991,6e" filled="false" stroked="true" strokeweight=".6pt" strokecolor="#000008">
                <v:path arrowok="t"/>
              </v:shape>
            </v:group>
            <v:group style="position:absolute;left:4998;top:6;width:12;height:2" coordorigin="4998,6" coordsize="12,2">
              <v:shape style="position:absolute;left:4998;top:6;width:12;height:2" coordorigin="4998,6" coordsize="12,0" path="m4998,6l5010,6e" filled="false" stroked="true" strokeweight=".6pt" strokecolor="#000008">
                <v:path arrowok="t"/>
              </v:shape>
            </v:group>
            <v:group style="position:absolute;left:5017;top:6;width:12;height:2" coordorigin="5017,6" coordsize="12,2">
              <v:shape style="position:absolute;left:5017;top:6;width:12;height:2" coordorigin="5017,6" coordsize="12,0" path="m5017,6l5029,6e" filled="false" stroked="true" strokeweight=".6pt" strokecolor="#000008">
                <v:path arrowok="t"/>
              </v:shape>
            </v:group>
            <v:group style="position:absolute;left:5036;top:6;width:12;height:2" coordorigin="5036,6" coordsize="12,2">
              <v:shape style="position:absolute;left:5036;top:6;width:12;height:2" coordorigin="5036,6" coordsize="12,0" path="m5036,6l5048,6e" filled="false" stroked="true" strokeweight=".6pt" strokecolor="#000008">
                <v:path arrowok="t"/>
              </v:shape>
            </v:group>
            <v:group style="position:absolute;left:5077;top:6;width:12;height:2" coordorigin="5077,6" coordsize="12,2">
              <v:shape style="position:absolute;left:5077;top:6;width:12;height:2" coordorigin="5077,6" coordsize="12,0" path="m5077,6l5089,6e" filled="false" stroked="true" strokeweight=".6pt" strokecolor="#000008">
                <v:path arrowok="t"/>
              </v:shape>
            </v:group>
            <v:group style="position:absolute;left:5096;top:6;width:12;height:2" coordorigin="5096,6" coordsize="12,2">
              <v:shape style="position:absolute;left:5096;top:6;width:12;height:2" coordorigin="5096,6" coordsize="12,0" path="m5096,6l5108,6e" filled="false" stroked="true" strokeweight=".6pt" strokecolor="#000008">
                <v:path arrowok="t"/>
              </v:shape>
            </v:group>
            <v:group style="position:absolute;left:5116;top:6;width:12;height:2" coordorigin="5116,6" coordsize="12,2">
              <v:shape style="position:absolute;left:5116;top:6;width:12;height:2" coordorigin="5116,6" coordsize="12,0" path="m5116,6l5128,6e" filled="false" stroked="true" strokeweight=".6pt" strokecolor="#000008">
                <v:path arrowok="t"/>
              </v:shape>
            </v:group>
            <v:group style="position:absolute;left:5135;top:6;width:12;height:2" coordorigin="5135,6" coordsize="12,2">
              <v:shape style="position:absolute;left:5135;top:6;width:12;height:2" coordorigin="5135,6" coordsize="12,0" path="m5135,6l5147,6e" filled="false" stroked="true" strokeweight=".6pt" strokecolor="#000008">
                <v:path arrowok="t"/>
              </v:shape>
            </v:group>
            <v:group style="position:absolute;left:5154;top:6;width:12;height:2" coordorigin="5154,6" coordsize="12,2">
              <v:shape style="position:absolute;left:5154;top:6;width:12;height:2" coordorigin="5154,6" coordsize="12,0" path="m5154,6l5166,6e" filled="false" stroked="true" strokeweight=".6pt" strokecolor="#000008">
                <v:path arrowok="t"/>
              </v:shape>
            </v:group>
            <v:group style="position:absolute;left:5173;top:6;width:12;height:2" coordorigin="5173,6" coordsize="12,2">
              <v:shape style="position:absolute;left:5173;top:6;width:12;height:2" coordorigin="5173,6" coordsize="12,0" path="m5173,6l5185,6e" filled="false" stroked="true" strokeweight=".6pt" strokecolor="#000008">
                <v:path arrowok="t"/>
              </v:shape>
            </v:group>
            <v:group style="position:absolute;left:5192;top:6;width:12;height:2" coordorigin="5192,6" coordsize="12,2">
              <v:shape style="position:absolute;left:5192;top:6;width:12;height:2" coordorigin="5192,6" coordsize="12,0" path="m5192,6l5204,6e" filled="false" stroked="true" strokeweight=".6pt" strokecolor="#000008">
                <v:path arrowok="t"/>
              </v:shape>
            </v:group>
            <v:group style="position:absolute;left:5212;top:6;width:12;height:2" coordorigin="5212,6" coordsize="12,2">
              <v:shape style="position:absolute;left:5212;top:6;width:12;height:2" coordorigin="5212,6" coordsize="12,0" path="m5212,6l5224,6e" filled="false" stroked="true" strokeweight=".6pt" strokecolor="#000008">
                <v:path arrowok="t"/>
              </v:shape>
            </v:group>
            <v:group style="position:absolute;left:5231;top:6;width:12;height:2" coordorigin="5231,6" coordsize="12,2">
              <v:shape style="position:absolute;left:5231;top:6;width:12;height:2" coordorigin="5231,6" coordsize="12,0" path="m5231,6l5243,6e" filled="false" stroked="true" strokeweight=".6pt" strokecolor="#000008">
                <v:path arrowok="t"/>
              </v:shape>
            </v:group>
            <v:group style="position:absolute;left:5250;top:6;width:12;height:2" coordorigin="5250,6" coordsize="12,2">
              <v:shape style="position:absolute;left:5250;top:6;width:12;height:2" coordorigin="5250,6" coordsize="12,0" path="m5250,6l5262,6e" filled="false" stroked="true" strokeweight=".6pt" strokecolor="#000008">
                <v:path arrowok="t"/>
              </v:shape>
            </v:group>
            <v:group style="position:absolute;left:5269;top:6;width:12;height:2" coordorigin="5269,6" coordsize="12,2">
              <v:shape style="position:absolute;left:5269;top:6;width:12;height:2" coordorigin="5269,6" coordsize="12,0" path="m5269,6l5281,6e" filled="false" stroked="true" strokeweight=".6pt" strokecolor="#000008">
                <v:path arrowok="t"/>
              </v:shape>
            </v:group>
            <v:group style="position:absolute;left:5288;top:6;width:12;height:2" coordorigin="5288,6" coordsize="12,2">
              <v:shape style="position:absolute;left:5288;top:6;width:12;height:2" coordorigin="5288,6" coordsize="12,0" path="m5288,6l5300,6e" filled="false" stroked="true" strokeweight=".6pt" strokecolor="#000008">
                <v:path arrowok="t"/>
              </v:shape>
            </v:group>
            <v:group style="position:absolute;left:5308;top:6;width:12;height:2" coordorigin="5308,6" coordsize="12,2">
              <v:shape style="position:absolute;left:5308;top:6;width:12;height:2" coordorigin="5308,6" coordsize="12,0" path="m5308,6l5320,6e" filled="false" stroked="true" strokeweight=".6pt" strokecolor="#000008">
                <v:path arrowok="t"/>
              </v:shape>
            </v:group>
            <v:group style="position:absolute;left:5327;top:6;width:12;height:2" coordorigin="5327,6" coordsize="12,2">
              <v:shape style="position:absolute;left:5327;top:6;width:12;height:2" coordorigin="5327,6" coordsize="12,0" path="m5327,6l5339,6e" filled="false" stroked="true" strokeweight=".6pt" strokecolor="#000008">
                <v:path arrowok="t"/>
              </v:shape>
            </v:group>
            <v:group style="position:absolute;left:5346;top:6;width:12;height:2" coordorigin="5346,6" coordsize="12,2">
              <v:shape style="position:absolute;left:5346;top:6;width:12;height:2" coordorigin="5346,6" coordsize="12,0" path="m5346,6l5358,6e" filled="false" stroked="true" strokeweight=".6pt" strokecolor="#000008">
                <v:path arrowok="t"/>
              </v:shape>
            </v:group>
            <v:group style="position:absolute;left:5365;top:6;width:12;height:2" coordorigin="5365,6" coordsize="12,2">
              <v:shape style="position:absolute;left:5365;top:6;width:12;height:2" coordorigin="5365,6" coordsize="12,0" path="m5365,6l5377,6e" filled="false" stroked="true" strokeweight=".6pt" strokecolor="#000008">
                <v:path arrowok="t"/>
              </v:shape>
            </v:group>
            <v:group style="position:absolute;left:5384;top:6;width:12;height:2" coordorigin="5384,6" coordsize="12,2">
              <v:shape style="position:absolute;left:5384;top:6;width:12;height:2" coordorigin="5384,6" coordsize="12,0" path="m5384,6l5396,6e" filled="false" stroked="true" strokeweight=".6pt" strokecolor="#000008">
                <v:path arrowok="t"/>
              </v:shape>
            </v:group>
            <v:group style="position:absolute;left:5404;top:6;width:12;height:2" coordorigin="5404,6" coordsize="12,2">
              <v:shape style="position:absolute;left:5404;top:6;width:12;height:2" coordorigin="5404,6" coordsize="12,0" path="m5404,6l5416,6e" filled="false" stroked="true" strokeweight=".6pt" strokecolor="#000008">
                <v:path arrowok="t"/>
              </v:shape>
            </v:group>
            <v:group style="position:absolute;left:5423;top:6;width:12;height:2" coordorigin="5423,6" coordsize="12,2">
              <v:shape style="position:absolute;left:5423;top:6;width:12;height:2" coordorigin="5423,6" coordsize="12,0" path="m5423,6l5435,6e" filled="false" stroked="true" strokeweight=".6pt" strokecolor="#000008">
                <v:path arrowok="t"/>
              </v:shape>
            </v:group>
            <v:group style="position:absolute;left:5442;top:6;width:12;height:2" coordorigin="5442,6" coordsize="12,2">
              <v:shape style="position:absolute;left:5442;top:6;width:12;height:2" coordorigin="5442,6" coordsize="12,0" path="m5442,6l5454,6e" filled="false" stroked="true" strokeweight=".6pt" strokecolor="#000008">
                <v:path arrowok="t"/>
              </v:shape>
            </v:group>
            <v:group style="position:absolute;left:5461;top:6;width:3;height:2" coordorigin="5461,6" coordsize="3,2">
              <v:shape style="position:absolute;left:5461;top:6;width:3;height:2" coordorigin="5461,6" coordsize="3,0" path="m5461,6l5464,6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0"/>
          <w:szCs w:val="20"/>
        </w:rPr>
      </w:pPr>
    </w:p>
    <w:p>
      <w:pPr>
        <w:spacing w:line="20" w:lineRule="exact"/>
        <w:ind w:left="39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73.45pt;height:.6pt;mso-position-horizontal-relative:char;mso-position-vertical-relative:line" coordorigin="0,0" coordsize="546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12;height:2" coordorigin="2521,6" coordsize="12,2">
              <v:shape style="position:absolute;left:2521;top:6;width:12;height:2" coordorigin="2521,6" coordsize="12,0" path="m2521,6l2533,6e" filled="false" stroked="true" strokeweight=".6pt" strokecolor="#000008">
                <v:path arrowok="t"/>
              </v:shape>
            </v:group>
            <v:group style="position:absolute;left:2540;top:6;width:12;height:2" coordorigin="2540,6" coordsize="12,2">
              <v:shape style="position:absolute;left:2540;top:6;width:12;height:2" coordorigin="2540,6" coordsize="12,0" path="m2540,6l2552,6e" filled="false" stroked="true" strokeweight=".6pt" strokecolor="#000008">
                <v:path arrowok="t"/>
              </v:shape>
            </v:group>
            <v:group style="position:absolute;left:2560;top:6;width:12;height:2" coordorigin="2560,6" coordsize="12,2">
              <v:shape style="position:absolute;left:2560;top:6;width:12;height:2" coordorigin="2560,6" coordsize="12,0" path="m2560,6l2572,6e" filled="false" stroked="true" strokeweight=".6pt" strokecolor="#000008">
                <v:path arrowok="t"/>
              </v:shape>
            </v:group>
            <v:group style="position:absolute;left:2579;top:6;width:12;height:2" coordorigin="2579,6" coordsize="12,2">
              <v:shape style="position:absolute;left:2579;top:6;width:12;height:2" coordorigin="2579,6" coordsize="12,0" path="m2579,6l2591,6e" filled="false" stroked="true" strokeweight=".6pt" strokecolor="#000008">
                <v:path arrowok="t"/>
              </v:shape>
            </v:group>
            <v:group style="position:absolute;left:2598;top:6;width:12;height:2" coordorigin="2598,6" coordsize="12,2">
              <v:shape style="position:absolute;left:2598;top:6;width:12;height:2" coordorigin="2598,6" coordsize="12,0" path="m2598,6l2610,6e" filled="false" stroked="true" strokeweight=".6pt" strokecolor="#000008">
                <v:path arrowok="t"/>
              </v:shape>
            </v:group>
            <v:group style="position:absolute;left:2617;top:6;width:12;height:2" coordorigin="2617,6" coordsize="12,2">
              <v:shape style="position:absolute;left:2617;top:6;width:12;height:2" coordorigin="2617,6" coordsize="12,0" path="m2617,6l2629,6e" filled="false" stroked="true" strokeweight=".6pt" strokecolor="#000008">
                <v:path arrowok="t"/>
              </v:shape>
            </v:group>
            <v:group style="position:absolute;left:2636;top:6;width:12;height:2" coordorigin="2636,6" coordsize="12,2">
              <v:shape style="position:absolute;left:2636;top:6;width:12;height:2" coordorigin="2636,6" coordsize="12,0" path="m2636,6l2648,6e" filled="false" stroked="true" strokeweight=".6pt" strokecolor="#000008">
                <v:path arrowok="t"/>
              </v:shape>
            </v:group>
            <v:group style="position:absolute;left:2656;top:6;width:12;height:2" coordorigin="2656,6" coordsize="12,2">
              <v:shape style="position:absolute;left:2656;top:6;width:12;height:2" coordorigin="2656,6" coordsize="12,0" path="m2656,6l2668,6e" filled="false" stroked="true" strokeweight=".6pt" strokecolor="#000008">
                <v:path arrowok="t"/>
              </v:shape>
            </v:group>
            <v:group style="position:absolute;left:2675;top:6;width:12;height:2" coordorigin="2675,6" coordsize="12,2">
              <v:shape style="position:absolute;left:2675;top:6;width:12;height:2" coordorigin="2675,6" coordsize="12,0" path="m2675,6l2687,6e" filled="false" stroked="true" strokeweight=".6pt" strokecolor="#000008">
                <v:path arrowok="t"/>
              </v:shape>
            </v:group>
            <v:group style="position:absolute;left:2694;top:6;width:12;height:2" coordorigin="2694,6" coordsize="12,2">
              <v:shape style="position:absolute;left:2694;top:6;width:12;height:2" coordorigin="2694,6" coordsize="12,0" path="m2694,6l2706,6e" filled="false" stroked="true" strokeweight=".6pt" strokecolor="#000008">
                <v:path arrowok="t"/>
              </v:shape>
            </v:group>
            <v:group style="position:absolute;left:2713;top:6;width:12;height:2" coordorigin="2713,6" coordsize="12,2">
              <v:shape style="position:absolute;left:2713;top:6;width:12;height:2" coordorigin="2713,6" coordsize="12,0" path="m2713,6l2725,6e" filled="false" stroked="true" strokeweight=".6pt" strokecolor="#000008">
                <v:path arrowok="t"/>
              </v:shape>
            </v:group>
            <v:group style="position:absolute;left:2732;top:6;width:12;height:2" coordorigin="2732,6" coordsize="12,2">
              <v:shape style="position:absolute;left:2732;top:6;width:12;height:2" coordorigin="2732,6" coordsize="12,0" path="m2732,6l2744,6e" filled="false" stroked="true" strokeweight=".6pt" strokecolor="#000008">
                <v:path arrowok="t"/>
              </v:shape>
            </v:group>
            <v:group style="position:absolute;left:2752;top:6;width:12;height:2" coordorigin="2752,6" coordsize="12,2">
              <v:shape style="position:absolute;left:2752;top:6;width:12;height:2" coordorigin="2752,6" coordsize="12,0" path="m2752,6l2764,6e" filled="false" stroked="true" strokeweight=".6pt" strokecolor="#000008">
                <v:path arrowok="t"/>
              </v:shape>
            </v:group>
            <v:group style="position:absolute;left:2771;top:6;width:12;height:2" coordorigin="2771,6" coordsize="12,2">
              <v:shape style="position:absolute;left:2771;top:6;width:12;height:2" coordorigin="2771,6" coordsize="12,0" path="m2771,6l2783,6e" filled="false" stroked="true" strokeweight=".6pt" strokecolor="#000008">
                <v:path arrowok="t"/>
              </v:shape>
            </v:group>
            <v:group style="position:absolute;left:2790;top:6;width:12;height:2" coordorigin="2790,6" coordsize="12,2">
              <v:shape style="position:absolute;left:2790;top:6;width:12;height:2" coordorigin="2790,6" coordsize="12,0" path="m2790,6l2802,6e" filled="false" stroked="true" strokeweight=".6pt" strokecolor="#000008">
                <v:path arrowok="t"/>
              </v:shape>
            </v:group>
            <v:group style="position:absolute;left:2809;top:6;width:12;height:2" coordorigin="2809,6" coordsize="12,2">
              <v:shape style="position:absolute;left:2809;top:6;width:12;height:2" coordorigin="2809,6" coordsize="12,0" path="m2809,6l2821,6e" filled="false" stroked="true" strokeweight=".6pt" strokecolor="#000008">
                <v:path arrowok="t"/>
              </v:shape>
            </v:group>
            <v:group style="position:absolute;left:2828;top:6;width:12;height:2" coordorigin="2828,6" coordsize="12,2">
              <v:shape style="position:absolute;left:2828;top:6;width:12;height:2" coordorigin="2828,6" coordsize="12,0" path="m2828,6l2840,6e" filled="false" stroked="true" strokeweight=".6pt" strokecolor="#000008">
                <v:path arrowok="t"/>
              </v:shape>
            </v:group>
            <v:group style="position:absolute;left:2848;top:6;width:12;height:2" coordorigin="2848,6" coordsize="12,2">
              <v:shape style="position:absolute;left:2848;top:6;width:12;height:2" coordorigin="2848,6" coordsize="12,0" path="m2848,6l2860,6e" filled="false" stroked="true" strokeweight=".6pt" strokecolor="#000008">
                <v:path arrowok="t"/>
              </v:shape>
            </v:group>
            <v:group style="position:absolute;left:2867;top:6;width:12;height:2" coordorigin="2867,6" coordsize="12,2">
              <v:shape style="position:absolute;left:2867;top:6;width:12;height:2" coordorigin="2867,6" coordsize="12,0" path="m2867,6l2879,6e" filled="false" stroked="true" strokeweight=".6pt" strokecolor="#000008">
                <v:path arrowok="t"/>
              </v:shape>
            </v:group>
            <v:group style="position:absolute;left:2886;top:6;width:12;height:2" coordorigin="2886,6" coordsize="12,2">
              <v:shape style="position:absolute;left:2886;top:6;width:12;height:2" coordorigin="2886,6" coordsize="12,0" path="m2886,6l2898,6e" filled="false" stroked="true" strokeweight=".6pt" strokecolor="#000008">
                <v:path arrowok="t"/>
              </v:shape>
            </v:group>
            <v:group style="position:absolute;left:2905;top:6;width:12;height:2" coordorigin="2905,6" coordsize="12,2">
              <v:shape style="position:absolute;left:2905;top:6;width:12;height:2" coordorigin="2905,6" coordsize="12,0" path="m2905,6l2917,6e" filled="false" stroked="true" strokeweight=".6pt" strokecolor="#000008">
                <v:path arrowok="t"/>
              </v:shape>
            </v:group>
            <v:group style="position:absolute;left:2924;top:6;width:12;height:2" coordorigin="2924,6" coordsize="12,2">
              <v:shape style="position:absolute;left:2924;top:6;width:12;height:2" coordorigin="2924,6" coordsize="12,0" path="m2924,6l2936,6e" filled="false" stroked="true" strokeweight=".6pt" strokecolor="#000008">
                <v:path arrowok="t"/>
              </v:shape>
            </v:group>
            <v:group style="position:absolute;left:2944;top:6;width:12;height:2" coordorigin="2944,6" coordsize="12,2">
              <v:shape style="position:absolute;left:2944;top:6;width:12;height:2" coordorigin="2944,6" coordsize="12,0" path="m2944,6l2956,6e" filled="false" stroked="true" strokeweight=".6pt" strokecolor="#000008">
                <v:path arrowok="t"/>
              </v:shape>
            </v:group>
            <v:group style="position:absolute;left:2963;top:6;width:12;height:2" coordorigin="2963,6" coordsize="12,2">
              <v:shape style="position:absolute;left:2963;top:6;width:12;height:2" coordorigin="2963,6" coordsize="12,0" path="m2963,6l2975,6e" filled="false" stroked="true" strokeweight=".6pt" strokecolor="#000008">
                <v:path arrowok="t"/>
              </v:shape>
            </v:group>
            <v:group style="position:absolute;left:2982;top:6;width:12;height:2" coordorigin="2982,6" coordsize="12,2">
              <v:shape style="position:absolute;left:2982;top:6;width:12;height:2" coordorigin="2982,6" coordsize="12,0" path="m2982,6l2994,6e" filled="false" stroked="true" strokeweight=".6pt" strokecolor="#000008">
                <v:path arrowok="t"/>
              </v:shape>
            </v:group>
            <v:group style="position:absolute;left:3001;top:6;width:12;height:2" coordorigin="3001,6" coordsize="12,2">
              <v:shape style="position:absolute;left:3001;top:6;width:12;height:2" coordorigin="3001,6" coordsize="12,0" path="m3001,6l3013,6e" filled="false" stroked="true" strokeweight=".6pt" strokecolor="#000008">
                <v:path arrowok="t"/>
              </v:shape>
            </v:group>
            <v:group style="position:absolute;left:3020;top:6;width:12;height:2" coordorigin="3020,6" coordsize="12,2">
              <v:shape style="position:absolute;left:3020;top:6;width:12;height:2" coordorigin="3020,6" coordsize="12,0" path="m3020,6l3032,6e" filled="false" stroked="true" strokeweight=".6pt" strokecolor="#000008">
                <v:path arrowok="t"/>
              </v:shape>
            </v:group>
            <v:group style="position:absolute;left:3040;top:6;width:12;height:2" coordorigin="3040,6" coordsize="12,2">
              <v:shape style="position:absolute;left:3040;top:6;width:12;height:2" coordorigin="3040,6" coordsize="12,0" path="m3040,6l3052,6e" filled="false" stroked="true" strokeweight=".6pt" strokecolor="#000008">
                <v:path arrowok="t"/>
              </v:shape>
            </v:group>
            <v:group style="position:absolute;left:3059;top:6;width:12;height:2" coordorigin="3059,6" coordsize="12,2">
              <v:shape style="position:absolute;left:3059;top:6;width:12;height:2" coordorigin="3059,6" coordsize="12,0" path="m3059,6l3071,6e" filled="false" stroked="true" strokeweight=".6pt" strokecolor="#000008">
                <v:path arrowok="t"/>
              </v:shape>
            </v:group>
            <v:group style="position:absolute;left:3078;top:6;width:12;height:2" coordorigin="3078,6" coordsize="12,2">
              <v:shape style="position:absolute;left:3078;top:6;width:12;height:2" coordorigin="3078,6" coordsize="12,0" path="m3078,6l3090,6e" filled="false" stroked="true" strokeweight=".6pt" strokecolor="#000008">
                <v:path arrowok="t"/>
              </v:shape>
            </v:group>
            <v:group style="position:absolute;left:3097;top:6;width:12;height:2" coordorigin="3097,6" coordsize="12,2">
              <v:shape style="position:absolute;left:3097;top:6;width:12;height:2" coordorigin="3097,6" coordsize="12,0" path="m3097,6l3109,6e" filled="false" stroked="true" strokeweight=".6pt" strokecolor="#000008">
                <v:path arrowok="t"/>
              </v:shape>
            </v:group>
            <v:group style="position:absolute;left:3116;top:6;width:12;height:2" coordorigin="3116,6" coordsize="12,2">
              <v:shape style="position:absolute;left:3116;top:6;width:12;height:2" coordorigin="3116,6" coordsize="12,0" path="m3116,6l3128,6e" filled="false" stroked="true" strokeweight=".6pt" strokecolor="#000008">
                <v:path arrowok="t"/>
              </v:shape>
            </v:group>
            <v:group style="position:absolute;left:3136;top:6;width:12;height:2" coordorigin="3136,6" coordsize="12,2">
              <v:shape style="position:absolute;left:3136;top:6;width:12;height:2" coordorigin="3136,6" coordsize="12,0" path="m3136,6l3148,6e" filled="false" stroked="true" strokeweight=".6pt" strokecolor="#000008">
                <v:path arrowok="t"/>
              </v:shape>
            </v:group>
            <v:group style="position:absolute;left:3155;top:6;width:12;height:2" coordorigin="3155,6" coordsize="12,2">
              <v:shape style="position:absolute;left:3155;top:6;width:12;height:2" coordorigin="3155,6" coordsize="12,0" path="m3155,6l3167,6e" filled="false" stroked="true" strokeweight=".6pt" strokecolor="#000008">
                <v:path arrowok="t"/>
              </v:shape>
            </v:group>
            <v:group style="position:absolute;left:3174;top:6;width:12;height:2" coordorigin="3174,6" coordsize="12,2">
              <v:shape style="position:absolute;left:3174;top:6;width:12;height:2" coordorigin="3174,6" coordsize="12,0" path="m3174,6l3186,6e" filled="false" stroked="true" strokeweight=".6pt" strokecolor="#000008">
                <v:path arrowok="t"/>
              </v:shape>
            </v:group>
            <v:group style="position:absolute;left:3193;top:6;width:12;height:2" coordorigin="3193,6" coordsize="12,2">
              <v:shape style="position:absolute;left:3193;top:6;width:12;height:2" coordorigin="3193,6" coordsize="12,0" path="m3193,6l3205,6e" filled="false" stroked="true" strokeweight=".6pt" strokecolor="#000008">
                <v:path arrowok="t"/>
              </v:shape>
            </v:group>
            <v:group style="position:absolute;left:3212;top:6;width:12;height:2" coordorigin="3212,6" coordsize="12,2">
              <v:shape style="position:absolute;left:3212;top:6;width:12;height:2" coordorigin="3212,6" coordsize="12,0" path="m3212,6l3224,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096;top:6;width:12;height:2" coordorigin="4096,6" coordsize="12,2">
              <v:shape style="position:absolute;left:4096;top:6;width:12;height:2" coordorigin="4096,6" coordsize="12,0" path="m4096,6l410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12;height:2" coordorigin="4268,6" coordsize="12,2">
              <v:shape style="position:absolute;left:4268;top:6;width:12;height:2" coordorigin="4268,6" coordsize="12,0" path="m4268,6l4280,6e" filled="false" stroked="true" strokeweight=".6pt" strokecolor="#000008">
                <v:path arrowok="t"/>
              </v:shape>
            </v:group>
            <v:group style="position:absolute;left:4288;top:6;width:12;height:2" coordorigin="4288,6" coordsize="12,2">
              <v:shape style="position:absolute;left:4288;top:6;width:12;height:2" coordorigin="4288,6" coordsize="12,0" path="m4288,6l4300,6e" filled="false" stroked="true" strokeweight=".6pt" strokecolor="#000008">
                <v:path arrowok="t"/>
              </v:shape>
            </v:group>
            <v:group style="position:absolute;left:4307;top:6;width:12;height:2" coordorigin="4307,6" coordsize="12,2">
              <v:shape style="position:absolute;left:4307;top:6;width:12;height:2" coordorigin="4307,6" coordsize="12,0" path="m4307,6l4319,6e" filled="false" stroked="true" strokeweight=".6pt" strokecolor="#000008">
                <v:path arrowok="t"/>
              </v:shape>
            </v:group>
            <v:group style="position:absolute;left:4326;top:6;width:12;height:2" coordorigin="4326,6" coordsize="12,2">
              <v:shape style="position:absolute;left:4326;top:6;width:12;height:2" coordorigin="4326,6" coordsize="12,0" path="m4326,6l4338,6e" filled="false" stroked="true" strokeweight=".6pt" strokecolor="#000008">
                <v:path arrowok="t"/>
              </v:shape>
            </v:group>
            <v:group style="position:absolute;left:4345;top:6;width:12;height:2" coordorigin="4345,6" coordsize="12,2">
              <v:shape style="position:absolute;left:4345;top:6;width:12;height:2" coordorigin="4345,6" coordsize="12,0" path="m4345,6l4357,6e" filled="false" stroked="true" strokeweight=".6pt" strokecolor="#000008">
                <v:path arrowok="t"/>
              </v:shape>
            </v:group>
            <v:group style="position:absolute;left:4364;top:6;width:12;height:2" coordorigin="4364,6" coordsize="12,2">
              <v:shape style="position:absolute;left:4364;top:6;width:12;height:2" coordorigin="4364,6" coordsize="12,0" path="m4364,6l4376,6e" filled="false" stroked="true" strokeweight=".6pt" strokecolor="#000008">
                <v:path arrowok="t"/>
              </v:shape>
            </v:group>
            <v:group style="position:absolute;left:4384;top:6;width:12;height:2" coordorigin="4384,6" coordsize="12,2">
              <v:shape style="position:absolute;left:4384;top:6;width:12;height:2" coordorigin="4384,6" coordsize="12,0" path="m4384,6l4396,6e" filled="false" stroked="true" strokeweight=".6pt" strokecolor="#000008">
                <v:path arrowok="t"/>
              </v:shape>
            </v:group>
            <v:group style="position:absolute;left:4403;top:6;width:12;height:2" coordorigin="4403,6" coordsize="12,2">
              <v:shape style="position:absolute;left:4403;top:6;width:12;height:2" coordorigin="4403,6" coordsize="12,0" path="m4403,6l4415,6e" filled="false" stroked="true" strokeweight=".6pt" strokecolor="#000008">
                <v:path arrowok="t"/>
              </v:shape>
            </v:group>
            <v:group style="position:absolute;left:4422;top:6;width:12;height:2" coordorigin="4422,6" coordsize="12,2">
              <v:shape style="position:absolute;left:4422;top:6;width:12;height:2" coordorigin="4422,6" coordsize="12,0" path="m4422,6l4434,6e" filled="false" stroked="true" strokeweight=".6pt" strokecolor="#000008">
                <v:path arrowok="t"/>
              </v:shape>
            </v:group>
            <v:group style="position:absolute;left:4441;top:6;width:12;height:2" coordorigin="4441,6" coordsize="12,2">
              <v:shape style="position:absolute;left:4441;top:6;width:12;height:2" coordorigin="4441,6" coordsize="12,0" path="m4441,6l4453,6e" filled="false" stroked="true" strokeweight=".6pt" strokecolor="#000008">
                <v:path arrowok="t"/>
              </v:shape>
            </v:group>
            <v:group style="position:absolute;left:4460;top:6;width:12;height:2" coordorigin="4460,6" coordsize="12,2">
              <v:shape style="position:absolute;left:4460;top:6;width:12;height:2" coordorigin="4460,6" coordsize="12,0" path="m4460,6l4472,6e" filled="false" stroked="true" strokeweight=".6pt" strokecolor="#000008">
                <v:path arrowok="t"/>
              </v:shape>
            </v:group>
            <v:group style="position:absolute;left:4480;top:6;width:12;height:2" coordorigin="4480,6" coordsize="12,2">
              <v:shape style="position:absolute;left:4480;top:6;width:12;height:2" coordorigin="4480,6" coordsize="12,0" path="m4480,6l4492,6e" filled="false" stroked="true" strokeweight=".6pt" strokecolor="#000008">
                <v:path arrowok="t"/>
              </v:shape>
            </v:group>
            <v:group style="position:absolute;left:4499;top:6;width:12;height:2" coordorigin="4499,6" coordsize="12,2">
              <v:shape style="position:absolute;left:4499;top:6;width:12;height:2" coordorigin="4499,6" coordsize="12,0" path="m4499,6l4511,6e" filled="false" stroked="true" strokeweight=".6pt" strokecolor="#000008">
                <v:path arrowok="t"/>
              </v:shape>
            </v:group>
            <v:group style="position:absolute;left:4518;top:6;width:12;height:2" coordorigin="4518,6" coordsize="12,2">
              <v:shape style="position:absolute;left:4518;top:6;width:12;height:2" coordorigin="4518,6" coordsize="12,0" path="m4518,6l4530,6e" filled="false" stroked="true" strokeweight=".6pt" strokecolor="#000008">
                <v:path arrowok="t"/>
              </v:shape>
            </v:group>
            <v:group style="position:absolute;left:4537;top:6;width:12;height:2" coordorigin="4537,6" coordsize="12,2">
              <v:shape style="position:absolute;left:4537;top:6;width:12;height:2" coordorigin="4537,6" coordsize="12,0" path="m4537,6l4549,6e" filled="false" stroked="true" strokeweight=".6pt" strokecolor="#000008">
                <v:path arrowok="t"/>
              </v:shape>
            </v:group>
            <v:group style="position:absolute;left:4556;top:6;width:12;height:2" coordorigin="4556,6" coordsize="12,2">
              <v:shape style="position:absolute;left:4556;top:6;width:12;height:2" coordorigin="4556,6" coordsize="12,0" path="m4556,6l4568,6e" filled="false" stroked="true" strokeweight=".6pt" strokecolor="#000008">
                <v:path arrowok="t"/>
              </v:shape>
            </v:group>
            <v:group style="position:absolute;left:4576;top:6;width:12;height:2" coordorigin="4576,6" coordsize="12,2">
              <v:shape style="position:absolute;left:4576;top:6;width:12;height:2" coordorigin="4576,6" coordsize="12,0" path="m4576,6l4588,6e" filled="false" stroked="true" strokeweight=".6pt" strokecolor="#000008">
                <v:path arrowok="t"/>
              </v:shape>
            </v:group>
            <v:group style="position:absolute;left:4595;top:6;width:12;height:2" coordorigin="4595,6" coordsize="12,2">
              <v:shape style="position:absolute;left:4595;top:6;width:12;height:2" coordorigin="4595,6" coordsize="12,0" path="m4595,6l4607,6e" filled="false" stroked="true" strokeweight=".6pt" strokecolor="#000008">
                <v:path arrowok="t"/>
              </v:shape>
            </v:group>
            <v:group style="position:absolute;left:4614;top:6;width:12;height:2" coordorigin="4614,6" coordsize="12,2">
              <v:shape style="position:absolute;left:4614;top:6;width:12;height:2" coordorigin="4614,6" coordsize="12,0" path="m4614,6l4626,6e" filled="false" stroked="true" strokeweight=".6pt" strokecolor="#000008">
                <v:path arrowok="t"/>
              </v:shape>
            </v:group>
            <v:group style="position:absolute;left:4633;top:6;width:12;height:2" coordorigin="4633,6" coordsize="12,2">
              <v:shape style="position:absolute;left:4633;top:6;width:12;height:2" coordorigin="4633,6" coordsize="12,0" path="m4633,6l4645,6e" filled="false" stroked="true" strokeweight=".6pt" strokecolor="#000008">
                <v:path arrowok="t"/>
              </v:shape>
            </v:group>
            <v:group style="position:absolute;left:4652;top:6;width:12;height:2" coordorigin="4652,6" coordsize="12,2">
              <v:shape style="position:absolute;left:4652;top:6;width:12;height:2" coordorigin="4652,6" coordsize="12,0" path="m4652,6l4664,6e" filled="false" stroked="true" strokeweight=".6pt" strokecolor="#000008">
                <v:path arrowok="t"/>
              </v:shape>
            </v:group>
            <v:group style="position:absolute;left:4672;top:6;width:12;height:2" coordorigin="4672,6" coordsize="12,2">
              <v:shape style="position:absolute;left:4672;top:6;width:12;height:2" coordorigin="4672,6" coordsize="12,0" path="m4672,6l4684,6e" filled="false" stroked="true" strokeweight=".6pt" strokecolor="#000008">
                <v:path arrowok="t"/>
              </v:shape>
            </v:group>
            <v:group style="position:absolute;left:4691;top:6;width:12;height:2" coordorigin="4691,6" coordsize="12,2">
              <v:shape style="position:absolute;left:4691;top:6;width:12;height:2" coordorigin="4691,6" coordsize="12,0" path="m4691,6l4703,6e" filled="false" stroked="true" strokeweight=".6pt" strokecolor="#000008">
                <v:path arrowok="t"/>
              </v:shape>
            </v:group>
            <v:group style="position:absolute;left:4710;top:6;width:12;height:2" coordorigin="4710,6" coordsize="12,2">
              <v:shape style="position:absolute;left:4710;top:6;width:12;height:2" coordorigin="4710,6" coordsize="12,0" path="m4710,6l4722,6e" filled="false" stroked="true" strokeweight=".6pt" strokecolor="#000008">
                <v:path arrowok="t"/>
              </v:shape>
            </v:group>
            <v:group style="position:absolute;left:4729;top:6;width:12;height:2" coordorigin="4729,6" coordsize="12,2">
              <v:shape style="position:absolute;left:4729;top:6;width:12;height:2" coordorigin="4729,6" coordsize="12,0" path="m4729,6l4741,6e" filled="false" stroked="true" strokeweight=".6pt" strokecolor="#000008">
                <v:path arrowok="t"/>
              </v:shape>
            </v:group>
            <v:group style="position:absolute;left:4748;top:6;width:12;height:2" coordorigin="4748,6" coordsize="12,2">
              <v:shape style="position:absolute;left:4748;top:6;width:12;height:2" coordorigin="4748,6" coordsize="12,0" path="m4748,6l4760,6e" filled="false" stroked="true" strokeweight=".6pt" strokecolor="#000008">
                <v:path arrowok="t"/>
              </v:shape>
            </v:group>
            <v:group style="position:absolute;left:4768;top:6;width:12;height:2" coordorigin="4768,6" coordsize="12,2">
              <v:shape style="position:absolute;left:4768;top:6;width:12;height:2" coordorigin="4768,6" coordsize="12,0" path="m4768,6l4780,6e" filled="false" stroked="true" strokeweight=".6pt" strokecolor="#000008">
                <v:path arrowok="t"/>
              </v:shape>
            </v:group>
            <v:group style="position:absolute;left:4787;top:6;width:12;height:2" coordorigin="4787,6" coordsize="12,2">
              <v:shape style="position:absolute;left:4787;top:6;width:12;height:2" coordorigin="4787,6" coordsize="12,0" path="m4787,6l4799,6e" filled="false" stroked="true" strokeweight=".6pt" strokecolor="#000008">
                <v:path arrowok="t"/>
              </v:shape>
            </v:group>
            <v:group style="position:absolute;left:4806;top:6;width:12;height:2" coordorigin="4806,6" coordsize="12,2">
              <v:shape style="position:absolute;left:4806;top:6;width:12;height:2" coordorigin="4806,6" coordsize="12,0" path="m4806,6l4818,6e" filled="false" stroked="true" strokeweight=".6pt" strokecolor="#000008">
                <v:path arrowok="t"/>
              </v:shape>
            </v:group>
            <v:group style="position:absolute;left:4825;top:6;width:12;height:2" coordorigin="4825,6" coordsize="12,2">
              <v:shape style="position:absolute;left:4825;top:6;width:12;height:2" coordorigin="4825,6" coordsize="12,0" path="m4825,6l4837,6e" filled="false" stroked="true" strokeweight=".6pt" strokecolor="#000008">
                <v:path arrowok="t"/>
              </v:shape>
            </v:group>
            <v:group style="position:absolute;left:4844;top:6;width:12;height:2" coordorigin="4844,6" coordsize="12,2">
              <v:shape style="position:absolute;left:4844;top:6;width:12;height:2" coordorigin="4844,6" coordsize="12,0" path="m4844,6l4856,6e" filled="false" stroked="true" strokeweight=".6pt" strokecolor="#000008">
                <v:path arrowok="t"/>
              </v:shape>
            </v:group>
            <v:group style="position:absolute;left:4864;top:6;width:12;height:2" coordorigin="4864,6" coordsize="12,2">
              <v:shape style="position:absolute;left:4864;top:6;width:12;height:2" coordorigin="4864,6" coordsize="12,0" path="m4864,6l4876,6e" filled="false" stroked="true" strokeweight=".6pt" strokecolor="#000008">
                <v:path arrowok="t"/>
              </v:shape>
            </v:group>
            <v:group style="position:absolute;left:4883;top:6;width:12;height:2" coordorigin="4883,6" coordsize="12,2">
              <v:shape style="position:absolute;left:4883;top:6;width:12;height:2" coordorigin="4883,6" coordsize="12,0" path="m4883,6l4895,6e" filled="false" stroked="true" strokeweight=".6pt" strokecolor="#000008">
                <v:path arrowok="t"/>
              </v:shape>
            </v:group>
            <v:group style="position:absolute;left:4902;top:6;width:12;height:2" coordorigin="4902,6" coordsize="12,2">
              <v:shape style="position:absolute;left:4902;top:6;width:12;height:2" coordorigin="4902,6" coordsize="12,0" path="m4902,6l4914,6e" filled="false" stroked="true" strokeweight=".6pt" strokecolor="#000008">
                <v:path arrowok="t"/>
              </v:shape>
            </v:group>
            <v:group style="position:absolute;left:4921;top:6;width:12;height:2" coordorigin="4921,6" coordsize="12,2">
              <v:shape style="position:absolute;left:4921;top:6;width:12;height:2" coordorigin="4921,6" coordsize="12,0" path="m4921,6l4933,6e" filled="false" stroked="true" strokeweight=".6pt" strokecolor="#000008">
                <v:path arrowok="t"/>
              </v:shape>
            </v:group>
            <v:group style="position:absolute;left:4940;top:6;width:12;height:2" coordorigin="4940,6" coordsize="12,2">
              <v:shape style="position:absolute;left:4940;top:6;width:12;height:2" coordorigin="4940,6" coordsize="12,0" path="m4940,6l4952,6e" filled="false" stroked="true" strokeweight=".6pt" strokecolor="#000008">
                <v:path arrowok="t"/>
              </v:shape>
            </v:group>
            <v:group style="position:absolute;left:4960;top:6;width:12;height:2" coordorigin="4960,6" coordsize="12,2">
              <v:shape style="position:absolute;left:4960;top:6;width:12;height:2" coordorigin="4960,6" coordsize="12,0" path="m4960,6l4972,6e" filled="false" stroked="true" strokeweight=".6pt" strokecolor="#000008">
                <v:path arrowok="t"/>
              </v:shape>
            </v:group>
            <v:group style="position:absolute;left:4979;top:6;width:12;height:2" coordorigin="4979,6" coordsize="12,2">
              <v:shape style="position:absolute;left:4979;top:6;width:12;height:2" coordorigin="4979,6" coordsize="12,0" path="m4979,6l4991,6e" filled="false" stroked="true" strokeweight=".6pt" strokecolor="#000008">
                <v:path arrowok="t"/>
              </v:shape>
            </v:group>
            <v:group style="position:absolute;left:4998;top:6;width:12;height:2" coordorigin="4998,6" coordsize="12,2">
              <v:shape style="position:absolute;left:4998;top:6;width:12;height:2" coordorigin="4998,6" coordsize="12,0" path="m4998,6l5010,6e" filled="false" stroked="true" strokeweight=".6pt" strokecolor="#000008">
                <v:path arrowok="t"/>
              </v:shape>
            </v:group>
            <v:group style="position:absolute;left:5017;top:6;width:12;height:2" coordorigin="5017,6" coordsize="12,2">
              <v:shape style="position:absolute;left:5017;top:6;width:12;height:2" coordorigin="5017,6" coordsize="12,0" path="m5017,6l5029,6e" filled="false" stroked="true" strokeweight=".6pt" strokecolor="#000008">
                <v:path arrowok="t"/>
              </v:shape>
            </v:group>
            <v:group style="position:absolute;left:5036;top:6;width:12;height:2" coordorigin="5036,6" coordsize="12,2">
              <v:shape style="position:absolute;left:5036;top:6;width:12;height:2" coordorigin="5036,6" coordsize="12,0" path="m5036,6l5048,6e" filled="false" stroked="true" strokeweight=".6pt" strokecolor="#000008">
                <v:path arrowok="t"/>
              </v:shape>
            </v:group>
            <v:group style="position:absolute;left:5077;top:6;width:12;height:2" coordorigin="5077,6" coordsize="12,2">
              <v:shape style="position:absolute;left:5077;top:6;width:12;height:2" coordorigin="5077,6" coordsize="12,0" path="m5077,6l5089,6e" filled="false" stroked="true" strokeweight=".6pt" strokecolor="#000008">
                <v:path arrowok="t"/>
              </v:shape>
            </v:group>
            <v:group style="position:absolute;left:5096;top:6;width:12;height:2" coordorigin="5096,6" coordsize="12,2">
              <v:shape style="position:absolute;left:5096;top:6;width:12;height:2" coordorigin="5096,6" coordsize="12,0" path="m5096,6l5108,6e" filled="false" stroked="true" strokeweight=".6pt" strokecolor="#000008">
                <v:path arrowok="t"/>
              </v:shape>
            </v:group>
            <v:group style="position:absolute;left:5116;top:6;width:12;height:2" coordorigin="5116,6" coordsize="12,2">
              <v:shape style="position:absolute;left:5116;top:6;width:12;height:2" coordorigin="5116,6" coordsize="12,0" path="m5116,6l5128,6e" filled="false" stroked="true" strokeweight=".6pt" strokecolor="#000008">
                <v:path arrowok="t"/>
              </v:shape>
            </v:group>
            <v:group style="position:absolute;left:5135;top:6;width:12;height:2" coordorigin="5135,6" coordsize="12,2">
              <v:shape style="position:absolute;left:5135;top:6;width:12;height:2" coordorigin="5135,6" coordsize="12,0" path="m5135,6l5147,6e" filled="false" stroked="true" strokeweight=".6pt" strokecolor="#000008">
                <v:path arrowok="t"/>
              </v:shape>
            </v:group>
            <v:group style="position:absolute;left:5154;top:6;width:12;height:2" coordorigin="5154,6" coordsize="12,2">
              <v:shape style="position:absolute;left:5154;top:6;width:12;height:2" coordorigin="5154,6" coordsize="12,0" path="m5154,6l5166,6e" filled="false" stroked="true" strokeweight=".6pt" strokecolor="#000008">
                <v:path arrowok="t"/>
              </v:shape>
            </v:group>
            <v:group style="position:absolute;left:5173;top:6;width:12;height:2" coordorigin="5173,6" coordsize="12,2">
              <v:shape style="position:absolute;left:5173;top:6;width:12;height:2" coordorigin="5173,6" coordsize="12,0" path="m5173,6l5185,6e" filled="false" stroked="true" strokeweight=".6pt" strokecolor="#000008">
                <v:path arrowok="t"/>
              </v:shape>
            </v:group>
            <v:group style="position:absolute;left:5192;top:6;width:12;height:2" coordorigin="5192,6" coordsize="12,2">
              <v:shape style="position:absolute;left:5192;top:6;width:12;height:2" coordorigin="5192,6" coordsize="12,0" path="m5192,6l5204,6e" filled="false" stroked="true" strokeweight=".6pt" strokecolor="#000008">
                <v:path arrowok="t"/>
              </v:shape>
            </v:group>
            <v:group style="position:absolute;left:5212;top:6;width:12;height:2" coordorigin="5212,6" coordsize="12,2">
              <v:shape style="position:absolute;left:5212;top:6;width:12;height:2" coordorigin="5212,6" coordsize="12,0" path="m5212,6l5224,6e" filled="false" stroked="true" strokeweight=".6pt" strokecolor="#000008">
                <v:path arrowok="t"/>
              </v:shape>
            </v:group>
            <v:group style="position:absolute;left:5231;top:6;width:12;height:2" coordorigin="5231,6" coordsize="12,2">
              <v:shape style="position:absolute;left:5231;top:6;width:12;height:2" coordorigin="5231,6" coordsize="12,0" path="m5231,6l5243,6e" filled="false" stroked="true" strokeweight=".6pt" strokecolor="#000008">
                <v:path arrowok="t"/>
              </v:shape>
            </v:group>
            <v:group style="position:absolute;left:5250;top:6;width:12;height:2" coordorigin="5250,6" coordsize="12,2">
              <v:shape style="position:absolute;left:5250;top:6;width:12;height:2" coordorigin="5250,6" coordsize="12,0" path="m5250,6l5262,6e" filled="false" stroked="true" strokeweight=".6pt" strokecolor="#000008">
                <v:path arrowok="t"/>
              </v:shape>
            </v:group>
            <v:group style="position:absolute;left:5269;top:6;width:12;height:2" coordorigin="5269,6" coordsize="12,2">
              <v:shape style="position:absolute;left:5269;top:6;width:12;height:2" coordorigin="5269,6" coordsize="12,0" path="m5269,6l5281,6e" filled="false" stroked="true" strokeweight=".6pt" strokecolor="#000008">
                <v:path arrowok="t"/>
              </v:shape>
            </v:group>
            <v:group style="position:absolute;left:5288;top:6;width:12;height:2" coordorigin="5288,6" coordsize="12,2">
              <v:shape style="position:absolute;left:5288;top:6;width:12;height:2" coordorigin="5288,6" coordsize="12,0" path="m5288,6l5300,6e" filled="false" stroked="true" strokeweight=".6pt" strokecolor="#000008">
                <v:path arrowok="t"/>
              </v:shape>
            </v:group>
            <v:group style="position:absolute;left:5308;top:6;width:12;height:2" coordorigin="5308,6" coordsize="12,2">
              <v:shape style="position:absolute;left:5308;top:6;width:12;height:2" coordorigin="5308,6" coordsize="12,0" path="m5308,6l5320,6e" filled="false" stroked="true" strokeweight=".6pt" strokecolor="#000008">
                <v:path arrowok="t"/>
              </v:shape>
            </v:group>
            <v:group style="position:absolute;left:5327;top:6;width:12;height:2" coordorigin="5327,6" coordsize="12,2">
              <v:shape style="position:absolute;left:5327;top:6;width:12;height:2" coordorigin="5327,6" coordsize="12,0" path="m5327,6l5339,6e" filled="false" stroked="true" strokeweight=".6pt" strokecolor="#000008">
                <v:path arrowok="t"/>
              </v:shape>
            </v:group>
            <v:group style="position:absolute;left:5346;top:6;width:12;height:2" coordorigin="5346,6" coordsize="12,2">
              <v:shape style="position:absolute;left:5346;top:6;width:12;height:2" coordorigin="5346,6" coordsize="12,0" path="m5346,6l5358,6e" filled="false" stroked="true" strokeweight=".6pt" strokecolor="#000008">
                <v:path arrowok="t"/>
              </v:shape>
            </v:group>
            <v:group style="position:absolute;left:5365;top:6;width:12;height:2" coordorigin="5365,6" coordsize="12,2">
              <v:shape style="position:absolute;left:5365;top:6;width:12;height:2" coordorigin="5365,6" coordsize="12,0" path="m5365,6l5377,6e" filled="false" stroked="true" strokeweight=".6pt" strokecolor="#000008">
                <v:path arrowok="t"/>
              </v:shape>
            </v:group>
            <v:group style="position:absolute;left:5384;top:6;width:12;height:2" coordorigin="5384,6" coordsize="12,2">
              <v:shape style="position:absolute;left:5384;top:6;width:12;height:2" coordorigin="5384,6" coordsize="12,0" path="m5384,6l5396,6e" filled="false" stroked="true" strokeweight=".6pt" strokecolor="#000008">
                <v:path arrowok="t"/>
              </v:shape>
            </v:group>
            <v:group style="position:absolute;left:5404;top:6;width:12;height:2" coordorigin="5404,6" coordsize="12,2">
              <v:shape style="position:absolute;left:5404;top:6;width:12;height:2" coordorigin="5404,6" coordsize="12,0" path="m5404,6l5416,6e" filled="false" stroked="true" strokeweight=".6pt" strokecolor="#000008">
                <v:path arrowok="t"/>
              </v:shape>
            </v:group>
            <v:group style="position:absolute;left:5423;top:6;width:12;height:2" coordorigin="5423,6" coordsize="12,2">
              <v:shape style="position:absolute;left:5423;top:6;width:12;height:2" coordorigin="5423,6" coordsize="12,0" path="m5423,6l5435,6e" filled="false" stroked="true" strokeweight=".6pt" strokecolor="#000008">
                <v:path arrowok="t"/>
              </v:shape>
            </v:group>
            <v:group style="position:absolute;left:5442;top:6;width:12;height:2" coordorigin="5442,6" coordsize="12,2">
              <v:shape style="position:absolute;left:5442;top:6;width:12;height:2" coordorigin="5442,6" coordsize="12,0" path="m5442,6l5454,6e" filled="false" stroked="true" strokeweight=".6pt" strokecolor="#000008">
                <v:path arrowok="t"/>
              </v:shape>
            </v:group>
            <v:group style="position:absolute;left:5461;top:6;width:3;height:2" coordorigin="5461,6" coordsize="3,2">
              <v:shape style="position:absolute;left:5461;top:6;width:3;height:2" coordorigin="5461,6" coordsize="3,0" path="m5461,6l5464,6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4"/>
          <w:szCs w:val="14"/>
        </w:rPr>
      </w:pPr>
    </w:p>
    <w:p>
      <w:pPr>
        <w:spacing w:line="20" w:lineRule="exact"/>
        <w:ind w:left="39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73.45pt;height:.6pt;mso-position-horizontal-relative:char;mso-position-vertical-relative:line" coordorigin="0,0" coordsize="546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12;height:2" coordorigin="2521,6" coordsize="12,2">
              <v:shape style="position:absolute;left:2521;top:6;width:12;height:2" coordorigin="2521,6" coordsize="12,0" path="m2521,6l2533,6e" filled="false" stroked="true" strokeweight=".6pt" strokecolor="#000008">
                <v:path arrowok="t"/>
              </v:shape>
            </v:group>
            <v:group style="position:absolute;left:2540;top:6;width:12;height:2" coordorigin="2540,6" coordsize="12,2">
              <v:shape style="position:absolute;left:2540;top:6;width:12;height:2" coordorigin="2540,6" coordsize="12,0" path="m2540,6l2552,6e" filled="false" stroked="true" strokeweight=".6pt" strokecolor="#000008">
                <v:path arrowok="t"/>
              </v:shape>
            </v:group>
            <v:group style="position:absolute;left:2560;top:6;width:12;height:2" coordorigin="2560,6" coordsize="12,2">
              <v:shape style="position:absolute;left:2560;top:6;width:12;height:2" coordorigin="2560,6" coordsize="12,0" path="m2560,6l2572,6e" filled="false" stroked="true" strokeweight=".6pt" strokecolor="#000008">
                <v:path arrowok="t"/>
              </v:shape>
            </v:group>
            <v:group style="position:absolute;left:2579;top:6;width:12;height:2" coordorigin="2579,6" coordsize="12,2">
              <v:shape style="position:absolute;left:2579;top:6;width:12;height:2" coordorigin="2579,6" coordsize="12,0" path="m2579,6l2591,6e" filled="false" stroked="true" strokeweight=".6pt" strokecolor="#000008">
                <v:path arrowok="t"/>
              </v:shape>
            </v:group>
            <v:group style="position:absolute;left:2598;top:6;width:12;height:2" coordorigin="2598,6" coordsize="12,2">
              <v:shape style="position:absolute;left:2598;top:6;width:12;height:2" coordorigin="2598,6" coordsize="12,0" path="m2598,6l2610,6e" filled="false" stroked="true" strokeweight=".6pt" strokecolor="#000008">
                <v:path arrowok="t"/>
              </v:shape>
            </v:group>
            <v:group style="position:absolute;left:2617;top:6;width:12;height:2" coordorigin="2617,6" coordsize="12,2">
              <v:shape style="position:absolute;left:2617;top:6;width:12;height:2" coordorigin="2617,6" coordsize="12,0" path="m2617,6l2629,6e" filled="false" stroked="true" strokeweight=".6pt" strokecolor="#000008">
                <v:path arrowok="t"/>
              </v:shape>
            </v:group>
            <v:group style="position:absolute;left:2636;top:6;width:12;height:2" coordorigin="2636,6" coordsize="12,2">
              <v:shape style="position:absolute;left:2636;top:6;width:12;height:2" coordorigin="2636,6" coordsize="12,0" path="m2636,6l2648,6e" filled="false" stroked="true" strokeweight=".6pt" strokecolor="#000008">
                <v:path arrowok="t"/>
              </v:shape>
            </v:group>
            <v:group style="position:absolute;left:2656;top:6;width:12;height:2" coordorigin="2656,6" coordsize="12,2">
              <v:shape style="position:absolute;left:2656;top:6;width:12;height:2" coordorigin="2656,6" coordsize="12,0" path="m2656,6l2668,6e" filled="false" stroked="true" strokeweight=".6pt" strokecolor="#000008">
                <v:path arrowok="t"/>
              </v:shape>
            </v:group>
            <v:group style="position:absolute;left:2675;top:6;width:12;height:2" coordorigin="2675,6" coordsize="12,2">
              <v:shape style="position:absolute;left:2675;top:6;width:12;height:2" coordorigin="2675,6" coordsize="12,0" path="m2675,6l2687,6e" filled="false" stroked="true" strokeweight=".6pt" strokecolor="#000008">
                <v:path arrowok="t"/>
              </v:shape>
            </v:group>
            <v:group style="position:absolute;left:2694;top:6;width:12;height:2" coordorigin="2694,6" coordsize="12,2">
              <v:shape style="position:absolute;left:2694;top:6;width:12;height:2" coordorigin="2694,6" coordsize="12,0" path="m2694,6l2706,6e" filled="false" stroked="true" strokeweight=".6pt" strokecolor="#000008">
                <v:path arrowok="t"/>
              </v:shape>
            </v:group>
            <v:group style="position:absolute;left:2713;top:6;width:12;height:2" coordorigin="2713,6" coordsize="12,2">
              <v:shape style="position:absolute;left:2713;top:6;width:12;height:2" coordorigin="2713,6" coordsize="12,0" path="m2713,6l2725,6e" filled="false" stroked="true" strokeweight=".6pt" strokecolor="#000008">
                <v:path arrowok="t"/>
              </v:shape>
            </v:group>
            <v:group style="position:absolute;left:2732;top:6;width:12;height:2" coordorigin="2732,6" coordsize="12,2">
              <v:shape style="position:absolute;left:2732;top:6;width:12;height:2" coordorigin="2732,6" coordsize="12,0" path="m2732,6l2744,6e" filled="false" stroked="true" strokeweight=".6pt" strokecolor="#000008">
                <v:path arrowok="t"/>
              </v:shape>
            </v:group>
            <v:group style="position:absolute;left:2752;top:6;width:12;height:2" coordorigin="2752,6" coordsize="12,2">
              <v:shape style="position:absolute;left:2752;top:6;width:12;height:2" coordorigin="2752,6" coordsize="12,0" path="m2752,6l2764,6e" filled="false" stroked="true" strokeweight=".6pt" strokecolor="#000008">
                <v:path arrowok="t"/>
              </v:shape>
            </v:group>
            <v:group style="position:absolute;left:2771;top:6;width:12;height:2" coordorigin="2771,6" coordsize="12,2">
              <v:shape style="position:absolute;left:2771;top:6;width:12;height:2" coordorigin="2771,6" coordsize="12,0" path="m2771,6l2783,6e" filled="false" stroked="true" strokeweight=".6pt" strokecolor="#000008">
                <v:path arrowok="t"/>
              </v:shape>
            </v:group>
            <v:group style="position:absolute;left:2790;top:6;width:12;height:2" coordorigin="2790,6" coordsize="12,2">
              <v:shape style="position:absolute;left:2790;top:6;width:12;height:2" coordorigin="2790,6" coordsize="12,0" path="m2790,6l2802,6e" filled="false" stroked="true" strokeweight=".6pt" strokecolor="#000008">
                <v:path arrowok="t"/>
              </v:shape>
            </v:group>
            <v:group style="position:absolute;left:2809;top:6;width:12;height:2" coordorigin="2809,6" coordsize="12,2">
              <v:shape style="position:absolute;left:2809;top:6;width:12;height:2" coordorigin="2809,6" coordsize="12,0" path="m2809,6l2821,6e" filled="false" stroked="true" strokeweight=".6pt" strokecolor="#000008">
                <v:path arrowok="t"/>
              </v:shape>
            </v:group>
            <v:group style="position:absolute;left:2828;top:6;width:12;height:2" coordorigin="2828,6" coordsize="12,2">
              <v:shape style="position:absolute;left:2828;top:6;width:12;height:2" coordorigin="2828,6" coordsize="12,0" path="m2828,6l2840,6e" filled="false" stroked="true" strokeweight=".6pt" strokecolor="#000008">
                <v:path arrowok="t"/>
              </v:shape>
            </v:group>
            <v:group style="position:absolute;left:2848;top:6;width:12;height:2" coordorigin="2848,6" coordsize="12,2">
              <v:shape style="position:absolute;left:2848;top:6;width:12;height:2" coordorigin="2848,6" coordsize="12,0" path="m2848,6l2860,6e" filled="false" stroked="true" strokeweight=".6pt" strokecolor="#000008">
                <v:path arrowok="t"/>
              </v:shape>
            </v:group>
            <v:group style="position:absolute;left:2867;top:6;width:12;height:2" coordorigin="2867,6" coordsize="12,2">
              <v:shape style="position:absolute;left:2867;top:6;width:12;height:2" coordorigin="2867,6" coordsize="12,0" path="m2867,6l2879,6e" filled="false" stroked="true" strokeweight=".6pt" strokecolor="#000008">
                <v:path arrowok="t"/>
              </v:shape>
            </v:group>
            <v:group style="position:absolute;left:2886;top:6;width:12;height:2" coordorigin="2886,6" coordsize="12,2">
              <v:shape style="position:absolute;left:2886;top:6;width:12;height:2" coordorigin="2886,6" coordsize="12,0" path="m2886,6l2898,6e" filled="false" stroked="true" strokeweight=".6pt" strokecolor="#000008">
                <v:path arrowok="t"/>
              </v:shape>
            </v:group>
            <v:group style="position:absolute;left:2905;top:6;width:12;height:2" coordorigin="2905,6" coordsize="12,2">
              <v:shape style="position:absolute;left:2905;top:6;width:12;height:2" coordorigin="2905,6" coordsize="12,0" path="m2905,6l2917,6e" filled="false" stroked="true" strokeweight=".6pt" strokecolor="#000008">
                <v:path arrowok="t"/>
              </v:shape>
            </v:group>
            <v:group style="position:absolute;left:2924;top:6;width:12;height:2" coordorigin="2924,6" coordsize="12,2">
              <v:shape style="position:absolute;left:2924;top:6;width:12;height:2" coordorigin="2924,6" coordsize="12,0" path="m2924,6l2936,6e" filled="false" stroked="true" strokeweight=".6pt" strokecolor="#000008">
                <v:path arrowok="t"/>
              </v:shape>
            </v:group>
            <v:group style="position:absolute;left:2944;top:6;width:12;height:2" coordorigin="2944,6" coordsize="12,2">
              <v:shape style="position:absolute;left:2944;top:6;width:12;height:2" coordorigin="2944,6" coordsize="12,0" path="m2944,6l2956,6e" filled="false" stroked="true" strokeweight=".6pt" strokecolor="#000008">
                <v:path arrowok="t"/>
              </v:shape>
            </v:group>
            <v:group style="position:absolute;left:2963;top:6;width:12;height:2" coordorigin="2963,6" coordsize="12,2">
              <v:shape style="position:absolute;left:2963;top:6;width:12;height:2" coordorigin="2963,6" coordsize="12,0" path="m2963,6l2975,6e" filled="false" stroked="true" strokeweight=".6pt" strokecolor="#000008">
                <v:path arrowok="t"/>
              </v:shape>
            </v:group>
            <v:group style="position:absolute;left:2982;top:6;width:12;height:2" coordorigin="2982,6" coordsize="12,2">
              <v:shape style="position:absolute;left:2982;top:6;width:12;height:2" coordorigin="2982,6" coordsize="12,0" path="m2982,6l2994,6e" filled="false" stroked="true" strokeweight=".6pt" strokecolor="#000008">
                <v:path arrowok="t"/>
              </v:shape>
            </v:group>
            <v:group style="position:absolute;left:3001;top:6;width:12;height:2" coordorigin="3001,6" coordsize="12,2">
              <v:shape style="position:absolute;left:3001;top:6;width:12;height:2" coordorigin="3001,6" coordsize="12,0" path="m3001,6l3013,6e" filled="false" stroked="true" strokeweight=".6pt" strokecolor="#000008">
                <v:path arrowok="t"/>
              </v:shape>
            </v:group>
            <v:group style="position:absolute;left:3020;top:6;width:12;height:2" coordorigin="3020,6" coordsize="12,2">
              <v:shape style="position:absolute;left:3020;top:6;width:12;height:2" coordorigin="3020,6" coordsize="12,0" path="m3020,6l3032,6e" filled="false" stroked="true" strokeweight=".6pt" strokecolor="#000008">
                <v:path arrowok="t"/>
              </v:shape>
            </v:group>
            <v:group style="position:absolute;left:3040;top:6;width:12;height:2" coordorigin="3040,6" coordsize="12,2">
              <v:shape style="position:absolute;left:3040;top:6;width:12;height:2" coordorigin="3040,6" coordsize="12,0" path="m3040,6l3052,6e" filled="false" stroked="true" strokeweight=".6pt" strokecolor="#000008">
                <v:path arrowok="t"/>
              </v:shape>
            </v:group>
            <v:group style="position:absolute;left:3059;top:6;width:12;height:2" coordorigin="3059,6" coordsize="12,2">
              <v:shape style="position:absolute;left:3059;top:6;width:12;height:2" coordorigin="3059,6" coordsize="12,0" path="m3059,6l3071,6e" filled="false" stroked="true" strokeweight=".6pt" strokecolor="#000008">
                <v:path arrowok="t"/>
              </v:shape>
            </v:group>
            <v:group style="position:absolute;left:3078;top:6;width:12;height:2" coordorigin="3078,6" coordsize="12,2">
              <v:shape style="position:absolute;left:3078;top:6;width:12;height:2" coordorigin="3078,6" coordsize="12,0" path="m3078,6l3090,6e" filled="false" stroked="true" strokeweight=".6pt" strokecolor="#000008">
                <v:path arrowok="t"/>
              </v:shape>
            </v:group>
            <v:group style="position:absolute;left:3097;top:6;width:12;height:2" coordorigin="3097,6" coordsize="12,2">
              <v:shape style="position:absolute;left:3097;top:6;width:12;height:2" coordorigin="3097,6" coordsize="12,0" path="m3097,6l3109,6e" filled="false" stroked="true" strokeweight=".6pt" strokecolor="#000008">
                <v:path arrowok="t"/>
              </v:shape>
            </v:group>
            <v:group style="position:absolute;left:3116;top:6;width:12;height:2" coordorigin="3116,6" coordsize="12,2">
              <v:shape style="position:absolute;left:3116;top:6;width:12;height:2" coordorigin="3116,6" coordsize="12,0" path="m3116,6l3128,6e" filled="false" stroked="true" strokeweight=".6pt" strokecolor="#000008">
                <v:path arrowok="t"/>
              </v:shape>
            </v:group>
            <v:group style="position:absolute;left:3136;top:6;width:12;height:2" coordorigin="3136,6" coordsize="12,2">
              <v:shape style="position:absolute;left:3136;top:6;width:12;height:2" coordorigin="3136,6" coordsize="12,0" path="m3136,6l3148,6e" filled="false" stroked="true" strokeweight=".6pt" strokecolor="#000008">
                <v:path arrowok="t"/>
              </v:shape>
            </v:group>
            <v:group style="position:absolute;left:3155;top:6;width:12;height:2" coordorigin="3155,6" coordsize="12,2">
              <v:shape style="position:absolute;left:3155;top:6;width:12;height:2" coordorigin="3155,6" coordsize="12,0" path="m3155,6l3167,6e" filled="false" stroked="true" strokeweight=".6pt" strokecolor="#000008">
                <v:path arrowok="t"/>
              </v:shape>
            </v:group>
            <v:group style="position:absolute;left:3174;top:6;width:12;height:2" coordorigin="3174,6" coordsize="12,2">
              <v:shape style="position:absolute;left:3174;top:6;width:12;height:2" coordorigin="3174,6" coordsize="12,0" path="m3174,6l3186,6e" filled="false" stroked="true" strokeweight=".6pt" strokecolor="#000008">
                <v:path arrowok="t"/>
              </v:shape>
            </v:group>
            <v:group style="position:absolute;left:3193;top:6;width:12;height:2" coordorigin="3193,6" coordsize="12,2">
              <v:shape style="position:absolute;left:3193;top:6;width:12;height:2" coordorigin="3193,6" coordsize="12,0" path="m3193,6l3205,6e" filled="false" stroked="true" strokeweight=".6pt" strokecolor="#000008">
                <v:path arrowok="t"/>
              </v:shape>
            </v:group>
            <v:group style="position:absolute;left:3212;top:6;width:12;height:2" coordorigin="3212,6" coordsize="12,2">
              <v:shape style="position:absolute;left:3212;top:6;width:12;height:2" coordorigin="3212,6" coordsize="12,0" path="m3212,6l3224,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096;top:6;width:12;height:2" coordorigin="4096,6" coordsize="12,2">
              <v:shape style="position:absolute;left:4096;top:6;width:12;height:2" coordorigin="4096,6" coordsize="12,0" path="m4096,6l410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12;height:2" coordorigin="4268,6" coordsize="12,2">
              <v:shape style="position:absolute;left:4268;top:6;width:12;height:2" coordorigin="4268,6" coordsize="12,0" path="m4268,6l4280,6e" filled="false" stroked="true" strokeweight=".6pt" strokecolor="#000008">
                <v:path arrowok="t"/>
              </v:shape>
            </v:group>
            <v:group style="position:absolute;left:4288;top:6;width:12;height:2" coordorigin="4288,6" coordsize="12,2">
              <v:shape style="position:absolute;left:4288;top:6;width:12;height:2" coordorigin="4288,6" coordsize="12,0" path="m4288,6l4300,6e" filled="false" stroked="true" strokeweight=".6pt" strokecolor="#000008">
                <v:path arrowok="t"/>
              </v:shape>
            </v:group>
            <v:group style="position:absolute;left:4307;top:6;width:12;height:2" coordorigin="4307,6" coordsize="12,2">
              <v:shape style="position:absolute;left:4307;top:6;width:12;height:2" coordorigin="4307,6" coordsize="12,0" path="m4307,6l4319,6e" filled="false" stroked="true" strokeweight=".6pt" strokecolor="#000008">
                <v:path arrowok="t"/>
              </v:shape>
            </v:group>
            <v:group style="position:absolute;left:4326;top:6;width:12;height:2" coordorigin="4326,6" coordsize="12,2">
              <v:shape style="position:absolute;left:4326;top:6;width:12;height:2" coordorigin="4326,6" coordsize="12,0" path="m4326,6l4338,6e" filled="false" stroked="true" strokeweight=".6pt" strokecolor="#000008">
                <v:path arrowok="t"/>
              </v:shape>
            </v:group>
            <v:group style="position:absolute;left:4345;top:6;width:12;height:2" coordorigin="4345,6" coordsize="12,2">
              <v:shape style="position:absolute;left:4345;top:6;width:12;height:2" coordorigin="4345,6" coordsize="12,0" path="m4345,6l4357,6e" filled="false" stroked="true" strokeweight=".6pt" strokecolor="#000008">
                <v:path arrowok="t"/>
              </v:shape>
            </v:group>
            <v:group style="position:absolute;left:4364;top:6;width:12;height:2" coordorigin="4364,6" coordsize="12,2">
              <v:shape style="position:absolute;left:4364;top:6;width:12;height:2" coordorigin="4364,6" coordsize="12,0" path="m4364,6l4376,6e" filled="false" stroked="true" strokeweight=".6pt" strokecolor="#000008">
                <v:path arrowok="t"/>
              </v:shape>
            </v:group>
            <v:group style="position:absolute;left:4384;top:6;width:12;height:2" coordorigin="4384,6" coordsize="12,2">
              <v:shape style="position:absolute;left:4384;top:6;width:12;height:2" coordorigin="4384,6" coordsize="12,0" path="m4384,6l4396,6e" filled="false" stroked="true" strokeweight=".6pt" strokecolor="#000008">
                <v:path arrowok="t"/>
              </v:shape>
            </v:group>
            <v:group style="position:absolute;left:4403;top:6;width:12;height:2" coordorigin="4403,6" coordsize="12,2">
              <v:shape style="position:absolute;left:4403;top:6;width:12;height:2" coordorigin="4403,6" coordsize="12,0" path="m4403,6l4415,6e" filled="false" stroked="true" strokeweight=".6pt" strokecolor="#000008">
                <v:path arrowok="t"/>
              </v:shape>
            </v:group>
            <v:group style="position:absolute;left:4422;top:6;width:12;height:2" coordorigin="4422,6" coordsize="12,2">
              <v:shape style="position:absolute;left:4422;top:6;width:12;height:2" coordorigin="4422,6" coordsize="12,0" path="m4422,6l4434,6e" filled="false" stroked="true" strokeweight=".6pt" strokecolor="#000008">
                <v:path arrowok="t"/>
              </v:shape>
            </v:group>
            <v:group style="position:absolute;left:4441;top:6;width:12;height:2" coordorigin="4441,6" coordsize="12,2">
              <v:shape style="position:absolute;left:4441;top:6;width:12;height:2" coordorigin="4441,6" coordsize="12,0" path="m4441,6l4453,6e" filled="false" stroked="true" strokeweight=".6pt" strokecolor="#000008">
                <v:path arrowok="t"/>
              </v:shape>
            </v:group>
            <v:group style="position:absolute;left:4460;top:6;width:12;height:2" coordorigin="4460,6" coordsize="12,2">
              <v:shape style="position:absolute;left:4460;top:6;width:12;height:2" coordorigin="4460,6" coordsize="12,0" path="m4460,6l4472,6e" filled="false" stroked="true" strokeweight=".6pt" strokecolor="#000008">
                <v:path arrowok="t"/>
              </v:shape>
            </v:group>
            <v:group style="position:absolute;left:4480;top:6;width:12;height:2" coordorigin="4480,6" coordsize="12,2">
              <v:shape style="position:absolute;left:4480;top:6;width:12;height:2" coordorigin="4480,6" coordsize="12,0" path="m4480,6l4492,6e" filled="false" stroked="true" strokeweight=".6pt" strokecolor="#000008">
                <v:path arrowok="t"/>
              </v:shape>
            </v:group>
            <v:group style="position:absolute;left:4499;top:6;width:12;height:2" coordorigin="4499,6" coordsize="12,2">
              <v:shape style="position:absolute;left:4499;top:6;width:12;height:2" coordorigin="4499,6" coordsize="12,0" path="m4499,6l4511,6e" filled="false" stroked="true" strokeweight=".6pt" strokecolor="#000008">
                <v:path arrowok="t"/>
              </v:shape>
            </v:group>
            <v:group style="position:absolute;left:4518;top:6;width:12;height:2" coordorigin="4518,6" coordsize="12,2">
              <v:shape style="position:absolute;left:4518;top:6;width:12;height:2" coordorigin="4518,6" coordsize="12,0" path="m4518,6l4530,6e" filled="false" stroked="true" strokeweight=".6pt" strokecolor="#000008">
                <v:path arrowok="t"/>
              </v:shape>
            </v:group>
            <v:group style="position:absolute;left:4537;top:6;width:12;height:2" coordorigin="4537,6" coordsize="12,2">
              <v:shape style="position:absolute;left:4537;top:6;width:12;height:2" coordorigin="4537,6" coordsize="12,0" path="m4537,6l4549,6e" filled="false" stroked="true" strokeweight=".6pt" strokecolor="#000008">
                <v:path arrowok="t"/>
              </v:shape>
            </v:group>
            <v:group style="position:absolute;left:4556;top:6;width:12;height:2" coordorigin="4556,6" coordsize="12,2">
              <v:shape style="position:absolute;left:4556;top:6;width:12;height:2" coordorigin="4556,6" coordsize="12,0" path="m4556,6l4568,6e" filled="false" stroked="true" strokeweight=".6pt" strokecolor="#000008">
                <v:path arrowok="t"/>
              </v:shape>
            </v:group>
            <v:group style="position:absolute;left:4576;top:6;width:12;height:2" coordorigin="4576,6" coordsize="12,2">
              <v:shape style="position:absolute;left:4576;top:6;width:12;height:2" coordorigin="4576,6" coordsize="12,0" path="m4576,6l4588,6e" filled="false" stroked="true" strokeweight=".6pt" strokecolor="#000008">
                <v:path arrowok="t"/>
              </v:shape>
            </v:group>
            <v:group style="position:absolute;left:4595;top:6;width:12;height:2" coordorigin="4595,6" coordsize="12,2">
              <v:shape style="position:absolute;left:4595;top:6;width:12;height:2" coordorigin="4595,6" coordsize="12,0" path="m4595,6l4607,6e" filled="false" stroked="true" strokeweight=".6pt" strokecolor="#000008">
                <v:path arrowok="t"/>
              </v:shape>
            </v:group>
            <v:group style="position:absolute;left:4614;top:6;width:12;height:2" coordorigin="4614,6" coordsize="12,2">
              <v:shape style="position:absolute;left:4614;top:6;width:12;height:2" coordorigin="4614,6" coordsize="12,0" path="m4614,6l4626,6e" filled="false" stroked="true" strokeweight=".6pt" strokecolor="#000008">
                <v:path arrowok="t"/>
              </v:shape>
            </v:group>
            <v:group style="position:absolute;left:4633;top:6;width:12;height:2" coordorigin="4633,6" coordsize="12,2">
              <v:shape style="position:absolute;left:4633;top:6;width:12;height:2" coordorigin="4633,6" coordsize="12,0" path="m4633,6l4645,6e" filled="false" stroked="true" strokeweight=".6pt" strokecolor="#000008">
                <v:path arrowok="t"/>
              </v:shape>
            </v:group>
            <v:group style="position:absolute;left:4652;top:6;width:12;height:2" coordorigin="4652,6" coordsize="12,2">
              <v:shape style="position:absolute;left:4652;top:6;width:12;height:2" coordorigin="4652,6" coordsize="12,0" path="m4652,6l4664,6e" filled="false" stroked="true" strokeweight=".6pt" strokecolor="#000008">
                <v:path arrowok="t"/>
              </v:shape>
            </v:group>
            <v:group style="position:absolute;left:4672;top:6;width:12;height:2" coordorigin="4672,6" coordsize="12,2">
              <v:shape style="position:absolute;left:4672;top:6;width:12;height:2" coordorigin="4672,6" coordsize="12,0" path="m4672,6l4684,6e" filled="false" stroked="true" strokeweight=".6pt" strokecolor="#000008">
                <v:path arrowok="t"/>
              </v:shape>
            </v:group>
            <v:group style="position:absolute;left:4691;top:6;width:12;height:2" coordorigin="4691,6" coordsize="12,2">
              <v:shape style="position:absolute;left:4691;top:6;width:12;height:2" coordorigin="4691,6" coordsize="12,0" path="m4691,6l4703,6e" filled="false" stroked="true" strokeweight=".6pt" strokecolor="#000008">
                <v:path arrowok="t"/>
              </v:shape>
            </v:group>
            <v:group style="position:absolute;left:4710;top:6;width:12;height:2" coordorigin="4710,6" coordsize="12,2">
              <v:shape style="position:absolute;left:4710;top:6;width:12;height:2" coordorigin="4710,6" coordsize="12,0" path="m4710,6l4722,6e" filled="false" stroked="true" strokeweight=".6pt" strokecolor="#000008">
                <v:path arrowok="t"/>
              </v:shape>
            </v:group>
            <v:group style="position:absolute;left:4729;top:6;width:12;height:2" coordorigin="4729,6" coordsize="12,2">
              <v:shape style="position:absolute;left:4729;top:6;width:12;height:2" coordorigin="4729,6" coordsize="12,0" path="m4729,6l4741,6e" filled="false" stroked="true" strokeweight=".6pt" strokecolor="#000008">
                <v:path arrowok="t"/>
              </v:shape>
            </v:group>
            <v:group style="position:absolute;left:4748;top:6;width:12;height:2" coordorigin="4748,6" coordsize="12,2">
              <v:shape style="position:absolute;left:4748;top:6;width:12;height:2" coordorigin="4748,6" coordsize="12,0" path="m4748,6l4760,6e" filled="false" stroked="true" strokeweight=".6pt" strokecolor="#000008">
                <v:path arrowok="t"/>
              </v:shape>
            </v:group>
            <v:group style="position:absolute;left:4768;top:6;width:12;height:2" coordorigin="4768,6" coordsize="12,2">
              <v:shape style="position:absolute;left:4768;top:6;width:12;height:2" coordorigin="4768,6" coordsize="12,0" path="m4768,6l4780,6e" filled="false" stroked="true" strokeweight=".6pt" strokecolor="#000008">
                <v:path arrowok="t"/>
              </v:shape>
            </v:group>
            <v:group style="position:absolute;left:4787;top:6;width:12;height:2" coordorigin="4787,6" coordsize="12,2">
              <v:shape style="position:absolute;left:4787;top:6;width:12;height:2" coordorigin="4787,6" coordsize="12,0" path="m4787,6l4799,6e" filled="false" stroked="true" strokeweight=".6pt" strokecolor="#000008">
                <v:path arrowok="t"/>
              </v:shape>
            </v:group>
            <v:group style="position:absolute;left:4806;top:6;width:12;height:2" coordorigin="4806,6" coordsize="12,2">
              <v:shape style="position:absolute;left:4806;top:6;width:12;height:2" coordorigin="4806,6" coordsize="12,0" path="m4806,6l4818,6e" filled="false" stroked="true" strokeweight=".6pt" strokecolor="#000008">
                <v:path arrowok="t"/>
              </v:shape>
            </v:group>
            <v:group style="position:absolute;left:4825;top:6;width:12;height:2" coordorigin="4825,6" coordsize="12,2">
              <v:shape style="position:absolute;left:4825;top:6;width:12;height:2" coordorigin="4825,6" coordsize="12,0" path="m4825,6l4837,6e" filled="false" stroked="true" strokeweight=".6pt" strokecolor="#000008">
                <v:path arrowok="t"/>
              </v:shape>
            </v:group>
            <v:group style="position:absolute;left:4844;top:6;width:12;height:2" coordorigin="4844,6" coordsize="12,2">
              <v:shape style="position:absolute;left:4844;top:6;width:12;height:2" coordorigin="4844,6" coordsize="12,0" path="m4844,6l4856,6e" filled="false" stroked="true" strokeweight=".6pt" strokecolor="#000008">
                <v:path arrowok="t"/>
              </v:shape>
            </v:group>
            <v:group style="position:absolute;left:4864;top:6;width:12;height:2" coordorigin="4864,6" coordsize="12,2">
              <v:shape style="position:absolute;left:4864;top:6;width:12;height:2" coordorigin="4864,6" coordsize="12,0" path="m4864,6l4876,6e" filled="false" stroked="true" strokeweight=".6pt" strokecolor="#000008">
                <v:path arrowok="t"/>
              </v:shape>
            </v:group>
            <v:group style="position:absolute;left:4883;top:6;width:12;height:2" coordorigin="4883,6" coordsize="12,2">
              <v:shape style="position:absolute;left:4883;top:6;width:12;height:2" coordorigin="4883,6" coordsize="12,0" path="m4883,6l4895,6e" filled="false" stroked="true" strokeweight=".6pt" strokecolor="#000008">
                <v:path arrowok="t"/>
              </v:shape>
            </v:group>
            <v:group style="position:absolute;left:4902;top:6;width:12;height:2" coordorigin="4902,6" coordsize="12,2">
              <v:shape style="position:absolute;left:4902;top:6;width:12;height:2" coordorigin="4902,6" coordsize="12,0" path="m4902,6l4914,6e" filled="false" stroked="true" strokeweight=".6pt" strokecolor="#000008">
                <v:path arrowok="t"/>
              </v:shape>
            </v:group>
            <v:group style="position:absolute;left:4921;top:6;width:12;height:2" coordorigin="4921,6" coordsize="12,2">
              <v:shape style="position:absolute;left:4921;top:6;width:12;height:2" coordorigin="4921,6" coordsize="12,0" path="m4921,6l4933,6e" filled="false" stroked="true" strokeweight=".6pt" strokecolor="#000008">
                <v:path arrowok="t"/>
              </v:shape>
            </v:group>
            <v:group style="position:absolute;left:4940;top:6;width:12;height:2" coordorigin="4940,6" coordsize="12,2">
              <v:shape style="position:absolute;left:4940;top:6;width:12;height:2" coordorigin="4940,6" coordsize="12,0" path="m4940,6l4952,6e" filled="false" stroked="true" strokeweight=".6pt" strokecolor="#000008">
                <v:path arrowok="t"/>
              </v:shape>
            </v:group>
            <v:group style="position:absolute;left:4960;top:6;width:12;height:2" coordorigin="4960,6" coordsize="12,2">
              <v:shape style="position:absolute;left:4960;top:6;width:12;height:2" coordorigin="4960,6" coordsize="12,0" path="m4960,6l4972,6e" filled="false" stroked="true" strokeweight=".6pt" strokecolor="#000008">
                <v:path arrowok="t"/>
              </v:shape>
            </v:group>
            <v:group style="position:absolute;left:4979;top:6;width:12;height:2" coordorigin="4979,6" coordsize="12,2">
              <v:shape style="position:absolute;left:4979;top:6;width:12;height:2" coordorigin="4979,6" coordsize="12,0" path="m4979,6l4991,6e" filled="false" stroked="true" strokeweight=".6pt" strokecolor="#000008">
                <v:path arrowok="t"/>
              </v:shape>
            </v:group>
            <v:group style="position:absolute;left:4998;top:6;width:12;height:2" coordorigin="4998,6" coordsize="12,2">
              <v:shape style="position:absolute;left:4998;top:6;width:12;height:2" coordorigin="4998,6" coordsize="12,0" path="m4998,6l5010,6e" filled="false" stroked="true" strokeweight=".6pt" strokecolor="#000008">
                <v:path arrowok="t"/>
              </v:shape>
            </v:group>
            <v:group style="position:absolute;left:5017;top:6;width:12;height:2" coordorigin="5017,6" coordsize="12,2">
              <v:shape style="position:absolute;left:5017;top:6;width:12;height:2" coordorigin="5017,6" coordsize="12,0" path="m5017,6l5029,6e" filled="false" stroked="true" strokeweight=".6pt" strokecolor="#000008">
                <v:path arrowok="t"/>
              </v:shape>
            </v:group>
            <v:group style="position:absolute;left:5036;top:6;width:12;height:2" coordorigin="5036,6" coordsize="12,2">
              <v:shape style="position:absolute;left:5036;top:6;width:12;height:2" coordorigin="5036,6" coordsize="12,0" path="m5036,6l5048,6e" filled="false" stroked="true" strokeweight=".6pt" strokecolor="#000008">
                <v:path arrowok="t"/>
              </v:shape>
            </v:group>
            <v:group style="position:absolute;left:5077;top:6;width:12;height:2" coordorigin="5077,6" coordsize="12,2">
              <v:shape style="position:absolute;left:5077;top:6;width:12;height:2" coordorigin="5077,6" coordsize="12,0" path="m5077,6l5089,6e" filled="false" stroked="true" strokeweight=".6pt" strokecolor="#000008">
                <v:path arrowok="t"/>
              </v:shape>
            </v:group>
            <v:group style="position:absolute;left:5096;top:6;width:12;height:2" coordorigin="5096,6" coordsize="12,2">
              <v:shape style="position:absolute;left:5096;top:6;width:12;height:2" coordorigin="5096,6" coordsize="12,0" path="m5096,6l5108,6e" filled="false" stroked="true" strokeweight=".6pt" strokecolor="#000008">
                <v:path arrowok="t"/>
              </v:shape>
            </v:group>
            <v:group style="position:absolute;left:5116;top:6;width:12;height:2" coordorigin="5116,6" coordsize="12,2">
              <v:shape style="position:absolute;left:5116;top:6;width:12;height:2" coordorigin="5116,6" coordsize="12,0" path="m5116,6l5128,6e" filled="false" stroked="true" strokeweight=".6pt" strokecolor="#000008">
                <v:path arrowok="t"/>
              </v:shape>
            </v:group>
            <v:group style="position:absolute;left:5135;top:6;width:12;height:2" coordorigin="5135,6" coordsize="12,2">
              <v:shape style="position:absolute;left:5135;top:6;width:12;height:2" coordorigin="5135,6" coordsize="12,0" path="m5135,6l5147,6e" filled="false" stroked="true" strokeweight=".6pt" strokecolor="#000008">
                <v:path arrowok="t"/>
              </v:shape>
            </v:group>
            <v:group style="position:absolute;left:5154;top:6;width:12;height:2" coordorigin="5154,6" coordsize="12,2">
              <v:shape style="position:absolute;left:5154;top:6;width:12;height:2" coordorigin="5154,6" coordsize="12,0" path="m5154,6l5166,6e" filled="false" stroked="true" strokeweight=".6pt" strokecolor="#000008">
                <v:path arrowok="t"/>
              </v:shape>
            </v:group>
            <v:group style="position:absolute;left:5173;top:6;width:12;height:2" coordorigin="5173,6" coordsize="12,2">
              <v:shape style="position:absolute;left:5173;top:6;width:12;height:2" coordorigin="5173,6" coordsize="12,0" path="m5173,6l5185,6e" filled="false" stroked="true" strokeweight=".6pt" strokecolor="#000008">
                <v:path arrowok="t"/>
              </v:shape>
            </v:group>
            <v:group style="position:absolute;left:5192;top:6;width:12;height:2" coordorigin="5192,6" coordsize="12,2">
              <v:shape style="position:absolute;left:5192;top:6;width:12;height:2" coordorigin="5192,6" coordsize="12,0" path="m5192,6l5204,6e" filled="false" stroked="true" strokeweight=".6pt" strokecolor="#000008">
                <v:path arrowok="t"/>
              </v:shape>
            </v:group>
            <v:group style="position:absolute;left:5212;top:6;width:12;height:2" coordorigin="5212,6" coordsize="12,2">
              <v:shape style="position:absolute;left:5212;top:6;width:12;height:2" coordorigin="5212,6" coordsize="12,0" path="m5212,6l5224,6e" filled="false" stroked="true" strokeweight=".6pt" strokecolor="#000008">
                <v:path arrowok="t"/>
              </v:shape>
            </v:group>
            <v:group style="position:absolute;left:5231;top:6;width:12;height:2" coordorigin="5231,6" coordsize="12,2">
              <v:shape style="position:absolute;left:5231;top:6;width:12;height:2" coordorigin="5231,6" coordsize="12,0" path="m5231,6l5243,6e" filled="false" stroked="true" strokeweight=".6pt" strokecolor="#000008">
                <v:path arrowok="t"/>
              </v:shape>
            </v:group>
            <v:group style="position:absolute;left:5250;top:6;width:12;height:2" coordorigin="5250,6" coordsize="12,2">
              <v:shape style="position:absolute;left:5250;top:6;width:12;height:2" coordorigin="5250,6" coordsize="12,0" path="m5250,6l5262,6e" filled="false" stroked="true" strokeweight=".6pt" strokecolor="#000008">
                <v:path arrowok="t"/>
              </v:shape>
            </v:group>
            <v:group style="position:absolute;left:5269;top:6;width:12;height:2" coordorigin="5269,6" coordsize="12,2">
              <v:shape style="position:absolute;left:5269;top:6;width:12;height:2" coordorigin="5269,6" coordsize="12,0" path="m5269,6l5281,6e" filled="false" stroked="true" strokeweight=".6pt" strokecolor="#000008">
                <v:path arrowok="t"/>
              </v:shape>
            </v:group>
            <v:group style="position:absolute;left:5288;top:6;width:12;height:2" coordorigin="5288,6" coordsize="12,2">
              <v:shape style="position:absolute;left:5288;top:6;width:12;height:2" coordorigin="5288,6" coordsize="12,0" path="m5288,6l5300,6e" filled="false" stroked="true" strokeweight=".6pt" strokecolor="#000008">
                <v:path arrowok="t"/>
              </v:shape>
            </v:group>
            <v:group style="position:absolute;left:5308;top:6;width:12;height:2" coordorigin="5308,6" coordsize="12,2">
              <v:shape style="position:absolute;left:5308;top:6;width:12;height:2" coordorigin="5308,6" coordsize="12,0" path="m5308,6l5320,6e" filled="false" stroked="true" strokeweight=".6pt" strokecolor="#000008">
                <v:path arrowok="t"/>
              </v:shape>
            </v:group>
            <v:group style="position:absolute;left:5327;top:6;width:12;height:2" coordorigin="5327,6" coordsize="12,2">
              <v:shape style="position:absolute;left:5327;top:6;width:12;height:2" coordorigin="5327,6" coordsize="12,0" path="m5327,6l5339,6e" filled="false" stroked="true" strokeweight=".6pt" strokecolor="#000008">
                <v:path arrowok="t"/>
              </v:shape>
            </v:group>
            <v:group style="position:absolute;left:5346;top:6;width:12;height:2" coordorigin="5346,6" coordsize="12,2">
              <v:shape style="position:absolute;left:5346;top:6;width:12;height:2" coordorigin="5346,6" coordsize="12,0" path="m5346,6l5358,6e" filled="false" stroked="true" strokeweight=".6pt" strokecolor="#000008">
                <v:path arrowok="t"/>
              </v:shape>
            </v:group>
            <v:group style="position:absolute;left:5365;top:6;width:12;height:2" coordorigin="5365,6" coordsize="12,2">
              <v:shape style="position:absolute;left:5365;top:6;width:12;height:2" coordorigin="5365,6" coordsize="12,0" path="m5365,6l5377,6e" filled="false" stroked="true" strokeweight=".6pt" strokecolor="#000008">
                <v:path arrowok="t"/>
              </v:shape>
            </v:group>
            <v:group style="position:absolute;left:5384;top:6;width:12;height:2" coordorigin="5384,6" coordsize="12,2">
              <v:shape style="position:absolute;left:5384;top:6;width:12;height:2" coordorigin="5384,6" coordsize="12,0" path="m5384,6l5396,6e" filled="false" stroked="true" strokeweight=".6pt" strokecolor="#000008">
                <v:path arrowok="t"/>
              </v:shape>
            </v:group>
            <v:group style="position:absolute;left:5404;top:6;width:12;height:2" coordorigin="5404,6" coordsize="12,2">
              <v:shape style="position:absolute;left:5404;top:6;width:12;height:2" coordorigin="5404,6" coordsize="12,0" path="m5404,6l5416,6e" filled="false" stroked="true" strokeweight=".6pt" strokecolor="#000008">
                <v:path arrowok="t"/>
              </v:shape>
            </v:group>
            <v:group style="position:absolute;left:5423;top:6;width:12;height:2" coordorigin="5423,6" coordsize="12,2">
              <v:shape style="position:absolute;left:5423;top:6;width:12;height:2" coordorigin="5423,6" coordsize="12,0" path="m5423,6l5435,6e" filled="false" stroked="true" strokeweight=".6pt" strokecolor="#000008">
                <v:path arrowok="t"/>
              </v:shape>
            </v:group>
            <v:group style="position:absolute;left:5442;top:6;width:12;height:2" coordorigin="5442,6" coordsize="12,2">
              <v:shape style="position:absolute;left:5442;top:6;width:12;height:2" coordorigin="5442,6" coordsize="12,0" path="m5442,6l5454,6e" filled="false" stroked="true" strokeweight=".6pt" strokecolor="#000008">
                <v:path arrowok="t"/>
              </v:shape>
            </v:group>
            <v:group style="position:absolute;left:5461;top:6;width:3;height:2" coordorigin="5461,6" coordsize="3,2">
              <v:shape style="position:absolute;left:5461;top:6;width:3;height:2" coordorigin="5461,6" coordsize="3,0" path="m5461,6l5464,6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7"/>
          <w:szCs w:val="17"/>
        </w:rPr>
      </w:pPr>
    </w:p>
    <w:p>
      <w:pPr>
        <w:spacing w:line="20" w:lineRule="exact"/>
        <w:ind w:left="13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2.25pt;height:.5pt;mso-position-horizontal-relative:char;mso-position-vertical-relative:line" coordorigin="0,0" coordsize="9245,10">
            <v:group style="position:absolute;left:5;top:5;width:9236;height:2" coordorigin="5,5" coordsize="9236,2">
              <v:shape style="position:absolute;left:5;top:5;width:9236;height:2" coordorigin="5,5" coordsize="9236,0" path="m5,5l9240,5e" filled="false" stroked="true" strokeweight=".48pt" strokecolor="#000008">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859" w:footer="835" w:top="1420" w:bottom="1020" w:left="1560" w:right="860"/>
        </w:sectPr>
      </w:pPr>
    </w:p>
    <w:p>
      <w:pPr>
        <w:spacing w:line="240" w:lineRule="auto" w:before="10"/>
        <w:rPr>
          <w:rFonts w:ascii="Microsoft JhengHei" w:hAnsi="Microsoft JhengHei" w:cs="Microsoft JhengHei" w:eastAsia="Microsoft JhengHei" w:hint="default"/>
          <w:b/>
          <w:bCs/>
          <w:sz w:val="11"/>
          <w:szCs w:val="11"/>
        </w:rPr>
      </w:pPr>
    </w:p>
    <w:p>
      <w:pPr>
        <w:spacing w:line="20" w:lineRule="exact"/>
        <w:ind w:left="1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8.05pt;height:.75pt;mso-position-horizontal-relative:char;mso-position-vertical-relative:line" coordorigin="0,0" coordsize="8561,15">
            <v:group style="position:absolute;left:7;top:7;width:8547;height:2" coordorigin="7,7" coordsize="8547,2">
              <v:shape style="position:absolute;left:7;top:7;width:8547;height:2" coordorigin="7,7" coordsize="8547,0" path="m7,7l8554,7e" filled="false" stroked="true" strokeweight=".72pt" strokecolor="#000008">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22"/>
          <w:szCs w:val="22"/>
        </w:rPr>
      </w:pPr>
    </w:p>
    <w:p>
      <w:pPr>
        <w:pStyle w:val="Heading2"/>
        <w:spacing w:line="240" w:lineRule="auto"/>
        <w:ind w:left="62" w:right="38"/>
        <w:jc w:val="center"/>
      </w:pPr>
      <w:r>
        <w:rPr/>
        <w:t>合并利润表</w:t>
      </w:r>
    </w:p>
    <w:p>
      <w:pPr>
        <w:spacing w:before="46"/>
        <w:ind w:left="168" w:right="38"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7137" w:val="left" w:leader="none"/>
        </w:tabs>
        <w:spacing w:before="48"/>
        <w:ind w:left="0" w:right="38" w:firstLine="0"/>
        <w:jc w:val="center"/>
        <w:rPr>
          <w:rFonts w:ascii="Microsoft JhengHei" w:hAnsi="Microsoft JhengHei" w:cs="Microsoft JhengHei" w:eastAsia="Microsoft JhengHei" w:hint="default"/>
          <w:sz w:val="20"/>
          <w:szCs w:val="20"/>
        </w:rPr>
      </w:pPr>
      <w:r>
        <w:rPr/>
        <w:pict>
          <v:group style="position:absolute;margin-left:84.959999pt;margin-top:23.861353pt;width:461.8pt;height:.1pt;mso-position-horizontal-relative:page;mso-position-vertical-relative:paragraph;z-index:2344" coordorigin="1699,477" coordsize="9236,2">
            <v:shape style="position:absolute;left:1699;top:477;width:9236;height:2" coordorigin="1699,477" coordsize="9236,0" path="m1699,477l10934,477e" filled="false" stroked="true" strokeweight=".48pt" strokecolor="#000008">
              <v:path arrowok="t"/>
            </v:shape>
            <w10:wrap type="none"/>
          </v:group>
        </w:pict>
      </w:r>
      <w:r>
        <w:rPr>
          <w:rFonts w:ascii="Microsoft JhengHei" w:hAnsi="Microsoft JhengHei" w:cs="Microsoft JhengHei" w:eastAsia="Microsoft JhengHei" w:hint="default"/>
          <w:b/>
          <w:bCs/>
          <w:sz w:val="20"/>
          <w:szCs w:val="20"/>
        </w:rPr>
        <w:t>编制单位：深圳市农产品股份有限公司</w:t>
        <w:tab/>
        <w:t>金额单位：人民币元</w:t>
      </w:r>
      <w:r>
        <w:rPr>
          <w:rFonts w:ascii="Microsoft JhengHei" w:hAnsi="Microsoft JhengHei" w:cs="Microsoft JhengHei" w:eastAsia="Microsoft JhengHei" w:hint="default"/>
          <w:sz w:val="20"/>
          <w:szCs w:val="20"/>
        </w:rPr>
      </w:r>
    </w:p>
    <w:p>
      <w:pPr>
        <w:spacing w:line="240" w:lineRule="auto" w:before="12"/>
        <w:rPr>
          <w:rFonts w:ascii="Microsoft JhengHei" w:hAnsi="Microsoft JhengHei" w:cs="Microsoft JhengHei" w:eastAsia="Microsoft JhengHei"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4320"/>
        <w:gridCol w:w="238"/>
        <w:gridCol w:w="883"/>
        <w:gridCol w:w="235"/>
        <w:gridCol w:w="1704"/>
        <w:gridCol w:w="238"/>
        <w:gridCol w:w="1618"/>
      </w:tblGrid>
      <w:tr>
        <w:trPr>
          <w:trHeight w:val="398" w:hRule="exact"/>
        </w:trPr>
        <w:tc>
          <w:tcPr>
            <w:tcW w:w="4320" w:type="dxa"/>
            <w:tcBorders>
              <w:top w:val="nil" w:sz="6" w:space="0" w:color="auto"/>
              <w:left w:val="nil" w:sz="6" w:space="0" w:color="auto"/>
              <w:bottom w:val="single" w:sz="4" w:space="0" w:color="000008"/>
              <w:right w:val="nil" w:sz="6" w:space="0" w:color="auto"/>
            </w:tcBorders>
          </w:tcPr>
          <w:p>
            <w:pPr>
              <w:pStyle w:val="TableParagraph"/>
              <w:tabs>
                <w:tab w:pos="602" w:val="left" w:leader="none"/>
              </w:tabs>
              <w:spacing w:line="322"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single" w:sz="4" w:space="0" w:color="000008"/>
              <w:right w:val="nil" w:sz="6" w:space="0" w:color="auto"/>
            </w:tcBorders>
          </w:tcPr>
          <w:p>
            <w:pPr>
              <w:pStyle w:val="TableParagraph"/>
              <w:spacing w:line="322"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附注五</w:t>
            </w:r>
            <w:r>
              <w:rPr>
                <w:rFonts w:ascii="Microsoft JhengHei" w:hAnsi="Microsoft JhengHei" w:cs="Microsoft JhengHei" w:eastAsia="Microsoft JhengHei"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8"/>
              <w:right w:val="nil" w:sz="6" w:space="0" w:color="auto"/>
            </w:tcBorders>
          </w:tcPr>
          <w:p>
            <w:pPr>
              <w:pStyle w:val="TableParagraph"/>
              <w:spacing w:line="322" w:lineRule="exact"/>
              <w:ind w:right="106"/>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single" w:sz="4" w:space="0" w:color="000008"/>
              <w:right w:val="nil" w:sz="6" w:space="0" w:color="auto"/>
            </w:tcBorders>
          </w:tcPr>
          <w:p>
            <w:pPr>
              <w:pStyle w:val="TableParagraph"/>
              <w:spacing w:line="322" w:lineRule="exact"/>
              <w:ind w:right="180"/>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r>
      <w:tr>
        <w:trPr>
          <w:trHeight w:val="401" w:hRule="exact"/>
        </w:trPr>
        <w:tc>
          <w:tcPr>
            <w:tcW w:w="4320" w:type="dxa"/>
            <w:tcBorders>
              <w:top w:val="single" w:sz="4" w:space="0" w:color="000008"/>
              <w:left w:val="nil" w:sz="6" w:space="0" w:color="auto"/>
              <w:bottom w:val="nil" w:sz="6" w:space="0" w:color="auto"/>
              <w:right w:val="nil" w:sz="6" w:space="0" w:color="auto"/>
            </w:tcBorders>
          </w:tcPr>
          <w:p>
            <w:pPr>
              <w:pStyle w:val="TableParagraph"/>
              <w:spacing w:line="315"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8"/>
              <w:left w:val="nil" w:sz="6" w:space="0" w:color="auto"/>
              <w:bottom w:val="nil" w:sz="6" w:space="0" w:color="auto"/>
              <w:right w:val="nil" w:sz="6" w:space="0" w:color="auto"/>
            </w:tcBorders>
          </w:tcPr>
          <w:p>
            <w:pPr>
              <w:pStyle w:val="TableParagraph"/>
              <w:spacing w:line="240" w:lineRule="auto" w:before="82"/>
              <w:ind w:right="2"/>
              <w:jc w:val="center"/>
              <w:rPr>
                <w:rFonts w:ascii="Garamond" w:hAnsi="Garamond" w:cs="Garamond" w:eastAsia="Garamond" w:hint="default"/>
                <w:sz w:val="20"/>
                <w:szCs w:val="20"/>
              </w:rPr>
            </w:pPr>
            <w:r>
              <w:rPr>
                <w:rFonts w:ascii="Garamond"/>
                <w:sz w:val="20"/>
              </w:rPr>
              <w:t>38</w:t>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8"/>
              <w:left w:val="nil" w:sz="6" w:space="0" w:color="auto"/>
              <w:bottom w:val="nil" w:sz="6" w:space="0" w:color="auto"/>
              <w:right w:val="nil" w:sz="6" w:space="0" w:color="auto"/>
            </w:tcBorders>
          </w:tcPr>
          <w:p>
            <w:pPr>
              <w:pStyle w:val="TableParagraph"/>
              <w:spacing w:line="240" w:lineRule="auto" w:before="79"/>
              <w:ind w:right="150"/>
              <w:jc w:val="right"/>
              <w:rPr>
                <w:rFonts w:ascii="Times New Roman" w:hAnsi="Times New Roman" w:cs="Times New Roman" w:eastAsia="Times New Roman" w:hint="default"/>
                <w:sz w:val="20"/>
                <w:szCs w:val="20"/>
              </w:rPr>
            </w:pPr>
            <w:r>
              <w:rPr>
                <w:rFonts w:ascii="Times New Roman"/>
                <w:w w:val="95"/>
                <w:sz w:val="20"/>
              </w:rPr>
              <w:t>1,245,954,899.83</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8"/>
              <w:left w:val="nil" w:sz="6" w:space="0" w:color="auto"/>
              <w:bottom w:val="nil" w:sz="6" w:space="0" w:color="auto"/>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20"/>
                <w:szCs w:val="20"/>
              </w:rPr>
            </w:pPr>
            <w:r>
              <w:rPr>
                <w:rFonts w:ascii="Times New Roman"/>
                <w:w w:val="95"/>
                <w:sz w:val="20"/>
              </w:rPr>
              <w:t>1,231,895,952.77</w:t>
            </w:r>
            <w:r>
              <w:rPr>
                <w:rFonts w:ascii="Times New Roman"/>
                <w:sz w:val="20"/>
              </w:rPr>
            </w:r>
          </w:p>
        </w:tc>
      </w:tr>
      <w:tr>
        <w:trPr>
          <w:trHeight w:val="394"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9"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
              <w:jc w:val="center"/>
              <w:rPr>
                <w:rFonts w:ascii="Garamond" w:hAnsi="Garamond" w:cs="Garamond" w:eastAsia="Garamond" w:hint="default"/>
                <w:sz w:val="20"/>
                <w:szCs w:val="20"/>
              </w:rPr>
            </w:pPr>
            <w:r>
              <w:rPr>
                <w:rFonts w:ascii="Garamond"/>
                <w:sz w:val="20"/>
              </w:rPr>
              <w:t>38</w:t>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28" w:right="0"/>
              <w:jc w:val="left"/>
              <w:rPr>
                <w:rFonts w:ascii="Times New Roman" w:hAnsi="Times New Roman" w:cs="Times New Roman" w:eastAsia="Times New Roman" w:hint="default"/>
                <w:sz w:val="20"/>
                <w:szCs w:val="20"/>
              </w:rPr>
            </w:pPr>
            <w:r>
              <w:rPr>
                <w:rFonts w:ascii="Times New Roman"/>
                <w:sz w:val="20"/>
              </w:rPr>
              <w:t>620,988,959.64</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2" w:right="0"/>
              <w:jc w:val="left"/>
              <w:rPr>
                <w:rFonts w:ascii="Times New Roman" w:hAnsi="Times New Roman" w:cs="Times New Roman" w:eastAsia="Times New Roman" w:hint="default"/>
                <w:sz w:val="20"/>
                <w:szCs w:val="20"/>
              </w:rPr>
            </w:pPr>
            <w:r>
              <w:rPr>
                <w:rFonts w:ascii="Times New Roman"/>
                <w:sz w:val="20"/>
              </w:rPr>
              <w:t>618,216,670.32</w:t>
            </w:r>
          </w:p>
        </w:tc>
      </w:tr>
      <w:tr>
        <w:trPr>
          <w:trHeight w:val="397"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8"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
              <w:jc w:val="center"/>
              <w:rPr>
                <w:rFonts w:ascii="Garamond" w:hAnsi="Garamond" w:cs="Garamond" w:eastAsia="Garamond" w:hint="default"/>
                <w:sz w:val="20"/>
                <w:szCs w:val="20"/>
              </w:rPr>
            </w:pPr>
            <w:r>
              <w:rPr>
                <w:rFonts w:ascii="Garamond"/>
                <w:sz w:val="20"/>
              </w:rPr>
              <w:t>39</w:t>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6" w:right="0"/>
              <w:jc w:val="left"/>
              <w:rPr>
                <w:rFonts w:ascii="Times New Roman" w:hAnsi="Times New Roman" w:cs="Times New Roman" w:eastAsia="Times New Roman" w:hint="default"/>
                <w:sz w:val="20"/>
                <w:szCs w:val="20"/>
              </w:rPr>
            </w:pPr>
            <w:r>
              <w:rPr>
                <w:rFonts w:ascii="Times New Roman"/>
                <w:sz w:val="20"/>
              </w:rPr>
              <w:t>35,330,599.64</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32" w:right="0"/>
              <w:jc w:val="left"/>
              <w:rPr>
                <w:rFonts w:ascii="Times New Roman" w:hAnsi="Times New Roman" w:cs="Times New Roman" w:eastAsia="Times New Roman" w:hint="default"/>
                <w:sz w:val="20"/>
                <w:szCs w:val="20"/>
              </w:rPr>
            </w:pPr>
            <w:r>
              <w:rPr>
                <w:rFonts w:ascii="Times New Roman"/>
                <w:sz w:val="20"/>
              </w:rPr>
              <w:t>34,159,168.95</w:t>
            </w:r>
          </w:p>
        </w:tc>
      </w:tr>
      <w:tr>
        <w:trPr>
          <w:trHeight w:val="397"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08"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28" w:right="0"/>
              <w:jc w:val="left"/>
              <w:rPr>
                <w:rFonts w:ascii="Times New Roman" w:hAnsi="Times New Roman" w:cs="Times New Roman" w:eastAsia="Times New Roman" w:hint="default"/>
                <w:sz w:val="20"/>
                <w:szCs w:val="20"/>
              </w:rPr>
            </w:pPr>
            <w:r>
              <w:rPr>
                <w:rFonts w:ascii="Times New Roman"/>
                <w:sz w:val="20"/>
              </w:rPr>
              <w:t>171,105,799.46</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2" w:right="0"/>
              <w:jc w:val="left"/>
              <w:rPr>
                <w:rFonts w:ascii="Times New Roman" w:hAnsi="Times New Roman" w:cs="Times New Roman" w:eastAsia="Times New Roman" w:hint="default"/>
                <w:sz w:val="20"/>
                <w:szCs w:val="20"/>
              </w:rPr>
            </w:pPr>
            <w:r>
              <w:rPr>
                <w:rFonts w:ascii="Times New Roman"/>
                <w:sz w:val="20"/>
              </w:rPr>
              <w:t>145,176,906.75</w:t>
            </w:r>
          </w:p>
        </w:tc>
      </w:tr>
      <w:tr>
        <w:trPr>
          <w:trHeight w:val="39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0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28" w:right="0"/>
              <w:jc w:val="left"/>
              <w:rPr>
                <w:rFonts w:ascii="Times New Roman" w:hAnsi="Times New Roman" w:cs="Times New Roman" w:eastAsia="Times New Roman" w:hint="default"/>
                <w:sz w:val="20"/>
                <w:szCs w:val="20"/>
              </w:rPr>
            </w:pPr>
            <w:r>
              <w:rPr>
                <w:rFonts w:ascii="Times New Roman"/>
                <w:sz w:val="20"/>
              </w:rPr>
              <w:t>292,236,518.51</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2" w:right="0"/>
              <w:jc w:val="left"/>
              <w:rPr>
                <w:rFonts w:ascii="Times New Roman" w:hAnsi="Times New Roman" w:cs="Times New Roman" w:eastAsia="Times New Roman" w:hint="default"/>
                <w:sz w:val="20"/>
                <w:szCs w:val="20"/>
              </w:rPr>
            </w:pPr>
            <w:r>
              <w:rPr>
                <w:rFonts w:ascii="Times New Roman"/>
                <w:sz w:val="20"/>
              </w:rPr>
              <w:t>292,618,256.90</w:t>
            </w:r>
          </w:p>
        </w:tc>
      </w:tr>
      <w:tr>
        <w:trPr>
          <w:trHeight w:val="398"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8"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
              <w:jc w:val="center"/>
              <w:rPr>
                <w:rFonts w:ascii="Garamond" w:hAnsi="Garamond" w:cs="Garamond" w:eastAsia="Garamond" w:hint="default"/>
                <w:sz w:val="20"/>
                <w:szCs w:val="20"/>
              </w:rPr>
            </w:pPr>
            <w:r>
              <w:rPr>
                <w:rFonts w:ascii="Garamond"/>
                <w:sz w:val="20"/>
              </w:rPr>
              <w:t>40</w:t>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76" w:right="0"/>
              <w:jc w:val="left"/>
              <w:rPr>
                <w:rFonts w:ascii="Times New Roman" w:hAnsi="Times New Roman" w:cs="Times New Roman" w:eastAsia="Times New Roman" w:hint="default"/>
                <w:sz w:val="20"/>
                <w:szCs w:val="20"/>
              </w:rPr>
            </w:pPr>
            <w:r>
              <w:rPr>
                <w:rFonts w:ascii="Times New Roman"/>
                <w:sz w:val="20"/>
              </w:rPr>
              <w:t>40,107,916.77</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32" w:right="0"/>
              <w:jc w:val="left"/>
              <w:rPr>
                <w:rFonts w:ascii="Times New Roman" w:hAnsi="Times New Roman" w:cs="Times New Roman" w:eastAsia="Times New Roman" w:hint="default"/>
                <w:sz w:val="20"/>
                <w:szCs w:val="20"/>
              </w:rPr>
            </w:pPr>
            <w:r>
              <w:rPr>
                <w:rFonts w:ascii="Times New Roman"/>
                <w:sz w:val="20"/>
              </w:rPr>
              <w:t>62,790,224.02</w:t>
            </w:r>
          </w:p>
        </w:tc>
      </w:tr>
      <w:tr>
        <w:trPr>
          <w:trHeight w:val="39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8"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
              <w:jc w:val="center"/>
              <w:rPr>
                <w:rFonts w:ascii="Garamond" w:hAnsi="Garamond" w:cs="Garamond" w:eastAsia="Garamond" w:hint="default"/>
                <w:sz w:val="20"/>
                <w:szCs w:val="20"/>
              </w:rPr>
            </w:pPr>
            <w:r>
              <w:rPr>
                <w:rFonts w:ascii="Garamond"/>
                <w:sz w:val="20"/>
              </w:rPr>
              <w:t>41</w:t>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6" w:right="0"/>
              <w:jc w:val="left"/>
              <w:rPr>
                <w:rFonts w:ascii="Times New Roman" w:hAnsi="Times New Roman" w:cs="Times New Roman" w:eastAsia="Times New Roman" w:hint="default"/>
                <w:sz w:val="20"/>
                <w:szCs w:val="20"/>
              </w:rPr>
            </w:pPr>
            <w:r>
              <w:rPr>
                <w:rFonts w:ascii="Times New Roman"/>
                <w:sz w:val="20"/>
              </w:rPr>
              <w:t>94,703,417.03</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32" w:right="0"/>
              <w:jc w:val="left"/>
              <w:rPr>
                <w:rFonts w:ascii="Times New Roman" w:hAnsi="Times New Roman" w:cs="Times New Roman" w:eastAsia="Times New Roman" w:hint="default"/>
                <w:sz w:val="20"/>
                <w:szCs w:val="20"/>
              </w:rPr>
            </w:pPr>
            <w:r>
              <w:rPr>
                <w:rFonts w:ascii="Times New Roman"/>
                <w:sz w:val="20"/>
              </w:rPr>
              <w:t>73,416,653.81</w:t>
            </w:r>
          </w:p>
        </w:tc>
      </w:tr>
      <w:tr>
        <w:trPr>
          <w:trHeight w:val="397"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7"/>
              <w:jc w:val="right"/>
              <w:rPr>
                <w:rFonts w:ascii="宋体" w:hAnsi="宋体" w:cs="宋体" w:eastAsia="宋体" w:hint="default"/>
                <w:sz w:val="20"/>
                <w:szCs w:val="20"/>
              </w:rPr>
            </w:pPr>
            <w:r>
              <w:rPr>
                <w:rFonts w:ascii="宋体" w:hAnsi="宋体" w:cs="宋体" w:eastAsia="宋体" w:hint="default"/>
                <w:w w:val="95"/>
                <w:sz w:val="20"/>
                <w:szCs w:val="20"/>
              </w:rPr>
              <w:t>加：公允价值变动收益（损失以</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号填列）</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97"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10"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
              <w:jc w:val="center"/>
              <w:rPr>
                <w:rFonts w:ascii="Garamond" w:hAnsi="Garamond" w:cs="Garamond" w:eastAsia="Garamond" w:hint="default"/>
                <w:sz w:val="20"/>
                <w:szCs w:val="20"/>
              </w:rPr>
            </w:pPr>
            <w:r>
              <w:rPr>
                <w:rFonts w:ascii="Garamond"/>
                <w:sz w:val="20"/>
              </w:rPr>
              <w:t>42</w:t>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28" w:right="0"/>
              <w:jc w:val="left"/>
              <w:rPr>
                <w:rFonts w:ascii="Times New Roman" w:hAnsi="Times New Roman" w:cs="Times New Roman" w:eastAsia="Times New Roman" w:hint="default"/>
                <w:sz w:val="20"/>
                <w:szCs w:val="20"/>
              </w:rPr>
            </w:pPr>
            <w:r>
              <w:rPr>
                <w:rFonts w:ascii="Times New Roman"/>
                <w:sz w:val="20"/>
              </w:rPr>
              <w:t>204,377,984.22</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32" w:right="0"/>
              <w:jc w:val="left"/>
              <w:rPr>
                <w:rFonts w:ascii="Times New Roman" w:hAnsi="Times New Roman" w:cs="Times New Roman" w:eastAsia="Times New Roman" w:hint="default"/>
                <w:sz w:val="20"/>
                <w:szCs w:val="20"/>
              </w:rPr>
            </w:pPr>
            <w:r>
              <w:rPr>
                <w:rFonts w:ascii="Times New Roman"/>
                <w:sz w:val="20"/>
              </w:rPr>
              <w:t>40,091,086.20</w:t>
            </w:r>
          </w:p>
        </w:tc>
      </w:tr>
      <w:tr>
        <w:trPr>
          <w:trHeight w:val="39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宋体" w:hAnsi="宋体" w:cs="宋体" w:eastAsia="宋体" w:hint="default"/>
                <w:sz w:val="20"/>
                <w:szCs w:val="20"/>
              </w:rPr>
            </w:pPr>
            <w:r>
              <w:rPr>
                <w:rFonts w:ascii="宋体" w:hAnsi="宋体" w:cs="宋体" w:eastAsia="宋体" w:hint="default"/>
                <w:w w:val="99"/>
                <w:sz w:val="20"/>
                <w:szCs w:val="20"/>
              </w:rPr>
              <w:t>其中</w:t>
            </w:r>
            <w:r>
              <w:rPr>
                <w:rFonts w:ascii="宋体" w:hAnsi="宋体" w:cs="宋体" w:eastAsia="宋体" w:hint="default"/>
                <w:spacing w:val="-89"/>
                <w:w w:val="99"/>
                <w:sz w:val="20"/>
                <w:szCs w:val="20"/>
              </w:rPr>
              <w:t>：</w:t>
            </w:r>
            <w:r>
              <w:rPr>
                <w:rFonts w:ascii="宋体" w:hAnsi="宋体" w:cs="宋体" w:eastAsia="宋体" w:hint="default"/>
                <w:spacing w:val="-3"/>
                <w:w w:val="99"/>
                <w:sz w:val="20"/>
                <w:szCs w:val="20"/>
              </w:rPr>
              <w:t>对</w:t>
            </w:r>
            <w:r>
              <w:rPr>
                <w:rFonts w:ascii="宋体" w:hAnsi="宋体" w:cs="宋体" w:eastAsia="宋体" w:hint="default"/>
                <w:w w:val="99"/>
                <w:sz w:val="20"/>
                <w:szCs w:val="20"/>
              </w:rPr>
              <w:t>联营企业和合营企业的投资</w:t>
            </w:r>
            <w:r>
              <w:rPr>
                <w:rFonts w:ascii="宋体" w:hAnsi="宋体" w:cs="宋体" w:eastAsia="宋体" w:hint="default"/>
                <w:spacing w:val="7"/>
                <w:w w:val="99"/>
                <w:sz w:val="20"/>
                <w:szCs w:val="20"/>
              </w:rPr>
              <w:t>收</w:t>
            </w:r>
            <w:r>
              <w:rPr>
                <w:rFonts w:ascii="宋体" w:hAnsi="宋体" w:cs="宋体" w:eastAsia="宋体" w:hint="default"/>
                <w:w w:val="99"/>
                <w:sz w:val="20"/>
                <w:szCs w:val="20"/>
              </w:rPr>
              <w:t>益</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8"/>
              <w:right w:val="nil" w:sz="6" w:space="0" w:color="auto"/>
            </w:tcBorders>
          </w:tcPr>
          <w:p>
            <w:pPr>
              <w:pStyle w:val="TableParagraph"/>
              <w:spacing w:line="240" w:lineRule="auto" w:before="77"/>
              <w:ind w:left="276" w:right="0"/>
              <w:jc w:val="left"/>
              <w:rPr>
                <w:rFonts w:ascii="Times New Roman" w:hAnsi="Times New Roman" w:cs="Times New Roman" w:eastAsia="Times New Roman" w:hint="default"/>
                <w:sz w:val="20"/>
                <w:szCs w:val="20"/>
              </w:rPr>
            </w:pPr>
            <w:r>
              <w:rPr>
                <w:rFonts w:ascii="Times New Roman"/>
                <w:sz w:val="20"/>
              </w:rPr>
              <w:t>48,358,439.87</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single" w:sz="4" w:space="0" w:color="000008"/>
              <w:right w:val="nil" w:sz="6" w:space="0" w:color="auto"/>
            </w:tcBorders>
          </w:tcPr>
          <w:p>
            <w:pPr>
              <w:pStyle w:val="TableParagraph"/>
              <w:spacing w:line="240" w:lineRule="auto" w:before="77"/>
              <w:ind w:left="232" w:right="0"/>
              <w:jc w:val="left"/>
              <w:rPr>
                <w:rFonts w:ascii="Times New Roman" w:hAnsi="Times New Roman" w:cs="Times New Roman" w:eastAsia="Times New Roman" w:hint="default"/>
                <w:sz w:val="20"/>
                <w:szCs w:val="20"/>
              </w:rPr>
            </w:pPr>
            <w:r>
              <w:rPr>
                <w:rFonts w:ascii="Times New Roman"/>
                <w:sz w:val="20"/>
              </w:rPr>
              <w:t>12,292,858.43</w:t>
            </w:r>
          </w:p>
        </w:tc>
      </w:tr>
      <w:tr>
        <w:trPr>
          <w:trHeight w:val="39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32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二、营业利润（亏损以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1"/>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0"/>
              <w:ind w:left="233" w:right="0"/>
              <w:jc w:val="left"/>
              <w:rPr>
                <w:rFonts w:ascii="Times New Roman" w:hAnsi="Times New Roman" w:cs="Times New Roman" w:eastAsia="Times New Roman" w:hint="default"/>
                <w:sz w:val="20"/>
                <w:szCs w:val="20"/>
              </w:rPr>
            </w:pPr>
            <w:r>
              <w:rPr>
                <w:rFonts w:ascii="Times New Roman"/>
                <w:b/>
                <w:sz w:val="20"/>
              </w:rPr>
              <w:t>195,859,673.00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1.6pt;height:.6pt;mso-position-horizontal-relative:char;mso-position-vertical-relative:line" coordorigin="0,0" coordsize="163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8;height:2" coordorigin="1619,6" coordsize="8,2">
                    <v:shape style="position:absolute;left:1619;top:6;width:8;height:2" coordorigin="1619,6" coordsize="8,0" path="m1619,6l1626,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0"/>
              <w:ind w:left="238" w:right="0"/>
              <w:jc w:val="left"/>
              <w:rPr>
                <w:rFonts w:ascii="Times New Roman" w:hAnsi="Times New Roman" w:cs="Times New Roman" w:eastAsia="Times New Roman" w:hint="default"/>
                <w:sz w:val="20"/>
                <w:szCs w:val="20"/>
              </w:rPr>
            </w:pPr>
            <w:r>
              <w:rPr>
                <w:rFonts w:ascii="Times New Roman"/>
                <w:b/>
                <w:sz w:val="20"/>
              </w:rPr>
              <w:t>45,609,158.22</w:t>
            </w:r>
            <w:r>
              <w:rPr>
                <w:rFonts w:ascii="Times New Roman"/>
                <w:sz w:val="20"/>
              </w:rPr>
            </w:r>
          </w:p>
        </w:tc>
      </w:tr>
      <w:tr>
        <w:trPr>
          <w:trHeight w:val="401"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9"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
              <w:jc w:val="center"/>
              <w:rPr>
                <w:rFonts w:ascii="Garamond" w:hAnsi="Garamond" w:cs="Garamond" w:eastAsia="Garamond" w:hint="default"/>
                <w:sz w:val="20"/>
                <w:szCs w:val="20"/>
              </w:rPr>
            </w:pPr>
            <w:r>
              <w:rPr>
                <w:rFonts w:ascii="Garamond"/>
                <w:sz w:val="20"/>
              </w:rPr>
              <w:t>43</w:t>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8"/>
              <w:left w:val="nil" w:sz="6" w:space="0" w:color="auto"/>
              <w:bottom w:val="nil" w:sz="6" w:space="0" w:color="auto"/>
              <w:right w:val="nil" w:sz="6" w:space="0" w:color="auto"/>
            </w:tcBorders>
          </w:tcPr>
          <w:p>
            <w:pPr>
              <w:pStyle w:val="TableParagraph"/>
              <w:spacing w:line="240" w:lineRule="auto" w:before="79"/>
              <w:ind w:left="276" w:right="0"/>
              <w:jc w:val="left"/>
              <w:rPr>
                <w:rFonts w:ascii="Times New Roman" w:hAnsi="Times New Roman" w:cs="Times New Roman" w:eastAsia="Times New Roman" w:hint="default"/>
                <w:sz w:val="20"/>
                <w:szCs w:val="20"/>
              </w:rPr>
            </w:pPr>
            <w:r>
              <w:rPr>
                <w:rFonts w:ascii="Times New Roman"/>
                <w:sz w:val="20"/>
              </w:rPr>
              <w:t>79,951,615.34</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8"/>
              <w:left w:val="nil" w:sz="6" w:space="0" w:color="auto"/>
              <w:bottom w:val="nil" w:sz="6" w:space="0" w:color="auto"/>
              <w:right w:val="nil" w:sz="6" w:space="0" w:color="auto"/>
            </w:tcBorders>
          </w:tcPr>
          <w:p>
            <w:pPr>
              <w:pStyle w:val="TableParagraph"/>
              <w:spacing w:line="240" w:lineRule="auto" w:before="79"/>
              <w:ind w:left="232" w:right="0"/>
              <w:jc w:val="left"/>
              <w:rPr>
                <w:rFonts w:ascii="Times New Roman" w:hAnsi="Times New Roman" w:cs="Times New Roman" w:eastAsia="Times New Roman" w:hint="default"/>
                <w:sz w:val="20"/>
                <w:szCs w:val="20"/>
              </w:rPr>
            </w:pPr>
            <w:r>
              <w:rPr>
                <w:rFonts w:ascii="Times New Roman"/>
                <w:sz w:val="20"/>
              </w:rPr>
              <w:t>97,030,824.75</w:t>
            </w:r>
          </w:p>
        </w:tc>
      </w:tr>
      <w:tr>
        <w:trPr>
          <w:trHeight w:val="39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9"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
              <w:jc w:val="center"/>
              <w:rPr>
                <w:rFonts w:ascii="Garamond" w:hAnsi="Garamond" w:cs="Garamond" w:eastAsia="Garamond" w:hint="default"/>
                <w:sz w:val="20"/>
                <w:szCs w:val="20"/>
              </w:rPr>
            </w:pPr>
            <w:r>
              <w:rPr>
                <w:rFonts w:ascii="Garamond"/>
                <w:sz w:val="20"/>
              </w:rPr>
              <w:t>44</w:t>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6" w:right="0"/>
              <w:jc w:val="left"/>
              <w:rPr>
                <w:rFonts w:ascii="Times New Roman" w:hAnsi="Times New Roman" w:cs="Times New Roman" w:eastAsia="Times New Roman" w:hint="default"/>
                <w:sz w:val="20"/>
                <w:szCs w:val="20"/>
              </w:rPr>
            </w:pPr>
            <w:r>
              <w:rPr>
                <w:rFonts w:ascii="Times New Roman"/>
                <w:sz w:val="20"/>
              </w:rPr>
              <w:t>68,160,011.23</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3" w:right="0"/>
              <w:jc w:val="left"/>
              <w:rPr>
                <w:rFonts w:ascii="Times New Roman" w:hAnsi="Times New Roman" w:cs="Times New Roman" w:eastAsia="Times New Roman" w:hint="default"/>
                <w:sz w:val="20"/>
                <w:szCs w:val="20"/>
              </w:rPr>
            </w:pPr>
            <w:r>
              <w:rPr>
                <w:rFonts w:ascii="Times New Roman"/>
                <w:sz w:val="20"/>
              </w:rPr>
              <w:t>5,006,250.65</w:t>
            </w:r>
          </w:p>
        </w:tc>
      </w:tr>
      <w:tr>
        <w:trPr>
          <w:trHeight w:val="394"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10"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8"/>
              <w:right w:val="nil" w:sz="6" w:space="0" w:color="auto"/>
            </w:tcBorders>
          </w:tcPr>
          <w:p>
            <w:pPr>
              <w:pStyle w:val="TableParagraph"/>
              <w:spacing w:line="240" w:lineRule="auto" w:before="77"/>
              <w:ind w:left="326" w:right="0"/>
              <w:jc w:val="left"/>
              <w:rPr>
                <w:rFonts w:ascii="Times New Roman" w:hAnsi="Times New Roman" w:cs="Times New Roman" w:eastAsia="Times New Roman" w:hint="default"/>
                <w:sz w:val="20"/>
                <w:szCs w:val="20"/>
              </w:rPr>
            </w:pPr>
            <w:r>
              <w:rPr>
                <w:rFonts w:ascii="Times New Roman"/>
                <w:sz w:val="20"/>
              </w:rPr>
              <w:t>1,187,093.86</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single" w:sz="4" w:space="0" w:color="000008"/>
              <w:right w:val="nil" w:sz="6" w:space="0" w:color="auto"/>
            </w:tcBorders>
          </w:tcPr>
          <w:p>
            <w:pPr>
              <w:pStyle w:val="TableParagraph"/>
              <w:spacing w:line="240" w:lineRule="auto" w:before="77"/>
              <w:ind w:left="357" w:right="0"/>
              <w:jc w:val="left"/>
              <w:rPr>
                <w:rFonts w:ascii="Times New Roman" w:hAnsi="Times New Roman" w:cs="Times New Roman" w:eastAsia="Times New Roman" w:hint="default"/>
                <w:sz w:val="20"/>
                <w:szCs w:val="20"/>
              </w:rPr>
            </w:pPr>
            <w:r>
              <w:rPr>
                <w:rFonts w:ascii="Times New Roman"/>
                <w:sz w:val="20"/>
              </w:rPr>
              <w:t>635,038.99</w:t>
            </w:r>
          </w:p>
        </w:tc>
      </w:tr>
      <w:tr>
        <w:trPr>
          <w:trHeight w:val="398"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32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三、利润总额（亏损总额以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1"/>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0"/>
              <w:ind w:left="233" w:right="0"/>
              <w:jc w:val="left"/>
              <w:rPr>
                <w:rFonts w:ascii="Times New Roman" w:hAnsi="Times New Roman" w:cs="Times New Roman" w:eastAsia="Times New Roman" w:hint="default"/>
                <w:sz w:val="20"/>
                <w:szCs w:val="20"/>
              </w:rPr>
            </w:pPr>
            <w:r>
              <w:rPr>
                <w:rFonts w:ascii="Times New Roman"/>
                <w:b/>
                <w:sz w:val="20"/>
              </w:rPr>
              <w:t>207,651,277.11</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1.6pt;height:.6pt;mso-position-horizontal-relative:char;mso-position-vertical-relative:line" coordorigin="0,0" coordsize="163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8;height:2" coordorigin="1619,6" coordsize="8,2">
                    <v:shape style="position:absolute;left:1619;top:6;width:8;height:2" coordorigin="1619,6" coordsize="8,0" path="m1619,6l1626,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0"/>
              <w:ind w:left="188" w:right="0"/>
              <w:jc w:val="left"/>
              <w:rPr>
                <w:rFonts w:ascii="Times New Roman" w:hAnsi="Times New Roman" w:cs="Times New Roman" w:eastAsia="Times New Roman" w:hint="default"/>
                <w:sz w:val="20"/>
                <w:szCs w:val="20"/>
              </w:rPr>
            </w:pPr>
            <w:r>
              <w:rPr>
                <w:rFonts w:ascii="Times New Roman"/>
                <w:b/>
                <w:sz w:val="20"/>
              </w:rPr>
              <w:t>137,633,732.32</w:t>
            </w:r>
            <w:r>
              <w:rPr>
                <w:rFonts w:ascii="Times New Roman"/>
                <w:sz w:val="20"/>
              </w:rPr>
            </w:r>
          </w:p>
        </w:tc>
      </w:tr>
      <w:tr>
        <w:trPr>
          <w:trHeight w:val="39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9"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
              <w:jc w:val="center"/>
              <w:rPr>
                <w:rFonts w:ascii="Garamond" w:hAnsi="Garamond" w:cs="Garamond" w:eastAsia="Garamond" w:hint="default"/>
                <w:sz w:val="20"/>
                <w:szCs w:val="20"/>
              </w:rPr>
            </w:pPr>
            <w:r>
              <w:rPr>
                <w:rFonts w:ascii="Garamond"/>
                <w:sz w:val="20"/>
              </w:rPr>
              <w:t>45</w:t>
            </w: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8"/>
              <w:left w:val="nil" w:sz="6" w:space="0" w:color="auto"/>
              <w:bottom w:val="single" w:sz="4" w:space="0" w:color="000008"/>
              <w:right w:val="nil" w:sz="6" w:space="0" w:color="auto"/>
            </w:tcBorders>
          </w:tcPr>
          <w:p>
            <w:pPr>
              <w:pStyle w:val="TableParagraph"/>
              <w:spacing w:line="240" w:lineRule="auto" w:before="79"/>
              <w:ind w:left="276" w:right="0"/>
              <w:jc w:val="left"/>
              <w:rPr>
                <w:rFonts w:ascii="Times New Roman" w:hAnsi="Times New Roman" w:cs="Times New Roman" w:eastAsia="Times New Roman" w:hint="default"/>
                <w:sz w:val="20"/>
                <w:szCs w:val="20"/>
              </w:rPr>
            </w:pPr>
            <w:r>
              <w:rPr>
                <w:rFonts w:ascii="Times New Roman"/>
                <w:sz w:val="20"/>
              </w:rPr>
              <w:t>51,167,874.76</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8"/>
              <w:left w:val="nil" w:sz="6" w:space="0" w:color="auto"/>
              <w:bottom w:val="single" w:sz="4" w:space="0" w:color="000008"/>
              <w:right w:val="nil" w:sz="6" w:space="0" w:color="auto"/>
            </w:tcBorders>
          </w:tcPr>
          <w:p>
            <w:pPr>
              <w:pStyle w:val="TableParagraph"/>
              <w:spacing w:line="240" w:lineRule="auto" w:before="79"/>
              <w:ind w:left="232" w:right="0"/>
              <w:jc w:val="left"/>
              <w:rPr>
                <w:rFonts w:ascii="Times New Roman" w:hAnsi="Times New Roman" w:cs="Times New Roman" w:eastAsia="Times New Roman" w:hint="default"/>
                <w:sz w:val="20"/>
                <w:szCs w:val="20"/>
              </w:rPr>
            </w:pPr>
            <w:r>
              <w:rPr>
                <w:rFonts w:ascii="Times New Roman"/>
                <w:sz w:val="20"/>
              </w:rPr>
              <w:t>11,965,353.94</w:t>
            </w:r>
          </w:p>
        </w:tc>
      </w:tr>
      <w:tr>
        <w:trPr>
          <w:trHeight w:val="415"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32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四、净利润（净亏损以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8"/>
              <w:left w:val="nil" w:sz="6" w:space="0" w:color="auto"/>
              <w:bottom w:val="single" w:sz="17" w:space="0" w:color="333333"/>
              <w:right w:val="nil" w:sz="6" w:space="0" w:color="auto"/>
            </w:tcBorders>
          </w:tcPr>
          <w:p>
            <w:pPr>
              <w:pStyle w:val="TableParagraph"/>
              <w:spacing w:line="20" w:lineRule="exact"/>
              <w:ind w:left="-8" w:right="-51"/>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0"/>
              <w:ind w:left="233" w:right="0"/>
              <w:jc w:val="left"/>
              <w:rPr>
                <w:rFonts w:ascii="Times New Roman" w:hAnsi="Times New Roman" w:cs="Times New Roman" w:eastAsia="Times New Roman" w:hint="default"/>
                <w:sz w:val="20"/>
                <w:szCs w:val="20"/>
              </w:rPr>
            </w:pPr>
            <w:r>
              <w:rPr>
                <w:rFonts w:ascii="Times New Roman"/>
                <w:b/>
                <w:sz w:val="20"/>
              </w:rPr>
              <w:t>156,483,402.35</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8"/>
              <w:left w:val="nil" w:sz="6" w:space="0" w:color="auto"/>
              <w:bottom w:val="single" w:sz="17" w:space="0" w:color="333333"/>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1.6pt;height:.6pt;mso-position-horizontal-relative:char;mso-position-vertical-relative:line" coordorigin="0,0" coordsize="163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8;height:2" coordorigin="1619,6" coordsize="8,2">
                    <v:shape style="position:absolute;left:1619;top:6;width:8;height:2" coordorigin="1619,6" coordsize="8,0" path="m1619,6l1626,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0"/>
              <w:ind w:left="188" w:right="0"/>
              <w:jc w:val="left"/>
              <w:rPr>
                <w:rFonts w:ascii="Times New Roman" w:hAnsi="Times New Roman" w:cs="Times New Roman" w:eastAsia="Times New Roman" w:hint="default"/>
                <w:sz w:val="20"/>
                <w:szCs w:val="20"/>
              </w:rPr>
            </w:pPr>
            <w:r>
              <w:rPr>
                <w:rFonts w:ascii="Times New Roman"/>
                <w:b/>
                <w:sz w:val="20"/>
              </w:rPr>
              <w:t>125,668,378.38</w:t>
            </w:r>
            <w:r>
              <w:rPr>
                <w:rFonts w:ascii="Times New Roman"/>
                <w:sz w:val="20"/>
              </w:rPr>
            </w:r>
          </w:p>
        </w:tc>
      </w:tr>
      <w:tr>
        <w:trPr>
          <w:trHeight w:val="392"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08"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single" w:sz="17" w:space="0" w:color="333333"/>
              <w:left w:val="nil" w:sz="6" w:space="0" w:color="auto"/>
              <w:bottom w:val="nil" w:sz="6" w:space="0" w:color="auto"/>
              <w:right w:val="nil" w:sz="6" w:space="0" w:color="auto"/>
            </w:tcBorders>
          </w:tcPr>
          <w:p>
            <w:pPr>
              <w:pStyle w:val="TableParagraph"/>
              <w:spacing w:line="240" w:lineRule="auto" w:before="63"/>
              <w:ind w:left="281" w:right="0"/>
              <w:jc w:val="left"/>
              <w:rPr>
                <w:rFonts w:ascii="Times New Roman" w:hAnsi="Times New Roman" w:cs="Times New Roman" w:eastAsia="Times New Roman" w:hint="default"/>
                <w:sz w:val="20"/>
                <w:szCs w:val="20"/>
              </w:rPr>
            </w:pPr>
            <w:r>
              <w:rPr>
                <w:rFonts w:ascii="Times New Roman"/>
                <w:b/>
                <w:sz w:val="20"/>
              </w:rPr>
              <w:t>85,187,634.00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17" w:space="0" w:color="333333"/>
              <w:left w:val="nil" w:sz="6" w:space="0" w:color="auto"/>
              <w:bottom w:val="nil" w:sz="6" w:space="0" w:color="auto"/>
              <w:right w:val="nil" w:sz="6" w:space="0" w:color="auto"/>
            </w:tcBorders>
          </w:tcPr>
          <w:p>
            <w:pPr>
              <w:pStyle w:val="TableParagraph"/>
              <w:spacing w:line="240" w:lineRule="auto" w:before="63"/>
              <w:ind w:left="238" w:right="0"/>
              <w:jc w:val="left"/>
              <w:rPr>
                <w:rFonts w:ascii="Times New Roman" w:hAnsi="Times New Roman" w:cs="Times New Roman" w:eastAsia="Times New Roman" w:hint="default"/>
                <w:sz w:val="20"/>
                <w:szCs w:val="20"/>
              </w:rPr>
            </w:pPr>
            <w:r>
              <w:rPr>
                <w:rFonts w:ascii="Times New Roman"/>
                <w:b/>
                <w:sz w:val="20"/>
              </w:rPr>
              <w:t>53,067,901.84</w:t>
            </w:r>
            <w:r>
              <w:rPr>
                <w:rFonts w:ascii="Times New Roman"/>
                <w:sz w:val="20"/>
              </w:rPr>
            </w:r>
          </w:p>
        </w:tc>
      </w:tr>
      <w:tr>
        <w:trPr>
          <w:trHeight w:val="777"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304" w:lineRule="auto" w:before="19"/>
              <w:ind w:left="110" w:right="2615" w:firstLine="398"/>
              <w:jc w:val="left"/>
              <w:rPr>
                <w:rFonts w:ascii="Microsoft JhengHei" w:hAnsi="Microsoft JhengHei" w:cs="Microsoft JhengHei" w:eastAsia="Microsoft JhengHei" w:hint="default"/>
                <w:sz w:val="20"/>
                <w:szCs w:val="20"/>
              </w:rPr>
            </w:pPr>
            <w:r>
              <w:rPr>
                <w:rFonts w:ascii="宋体" w:hAnsi="宋体" w:cs="宋体" w:eastAsia="宋体" w:hint="default"/>
                <w:w w:val="95"/>
                <w:sz w:val="20"/>
                <w:szCs w:val="20"/>
              </w:rPr>
              <w:t>少数股东损益</w:t>
            </w:r>
            <w:r>
              <w:rPr>
                <w:rFonts w:ascii="宋体" w:hAnsi="宋体" w:cs="宋体" w:eastAsia="宋体" w:hint="default"/>
                <w:w w:val="99"/>
                <w:sz w:val="20"/>
                <w:szCs w:val="20"/>
              </w:rPr>
              <w:t> </w:t>
            </w:r>
            <w:r>
              <w:rPr>
                <w:rFonts w:ascii="Microsoft JhengHei" w:hAnsi="Microsoft JhengHei" w:cs="Microsoft JhengHei" w:eastAsia="Microsoft JhengHei" w:hint="default"/>
                <w:b/>
                <w:bCs/>
                <w:sz w:val="20"/>
                <w:szCs w:val="20"/>
              </w:rPr>
              <w:t>五、每股收益</w:t>
            </w:r>
            <w:r>
              <w:rPr>
                <w:rFonts w:ascii="Microsoft JhengHei" w:hAnsi="Microsoft JhengHei" w:cs="Microsoft JhengHei" w:eastAsia="Microsoft JhengHei"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81" w:right="0"/>
              <w:jc w:val="left"/>
              <w:rPr>
                <w:rFonts w:ascii="Times New Roman" w:hAnsi="Times New Roman" w:cs="Times New Roman" w:eastAsia="Times New Roman" w:hint="default"/>
                <w:sz w:val="20"/>
                <w:szCs w:val="20"/>
              </w:rPr>
            </w:pPr>
            <w:r>
              <w:rPr>
                <w:rFonts w:ascii="Times New Roman"/>
                <w:b/>
                <w:sz w:val="20"/>
              </w:rPr>
              <w:t>71,295,768.35</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38" w:right="0"/>
              <w:jc w:val="left"/>
              <w:rPr>
                <w:rFonts w:ascii="Times New Roman" w:hAnsi="Times New Roman" w:cs="Times New Roman" w:eastAsia="Times New Roman" w:hint="default"/>
                <w:sz w:val="20"/>
                <w:szCs w:val="20"/>
              </w:rPr>
            </w:pPr>
            <w:r>
              <w:rPr>
                <w:rFonts w:ascii="Times New Roman"/>
                <w:b/>
                <w:sz w:val="20"/>
              </w:rPr>
              <w:t>72,600,476.54</w:t>
            </w:r>
            <w:r>
              <w:rPr>
                <w:rFonts w:ascii="Times New Roman"/>
                <w:sz w:val="20"/>
              </w:rPr>
            </w:r>
          </w:p>
        </w:tc>
      </w:tr>
      <w:tr>
        <w:trPr>
          <w:trHeight w:val="403"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基本每股收益</w:t>
            </w:r>
          </w:p>
        </w:tc>
        <w:tc>
          <w:tcPr>
            <w:tcW w:w="13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Garamond" w:hAnsi="Garamond" w:cs="Garamond" w:eastAsia="Garamond" w:hint="default"/>
                <w:sz w:val="20"/>
                <w:szCs w:val="20"/>
              </w:rPr>
            </w:pPr>
            <w:r>
              <w:rPr>
                <w:rFonts w:ascii="Garamond"/>
                <w:sz w:val="20"/>
              </w:rPr>
              <w:t>46</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center"/>
              <w:rPr>
                <w:rFonts w:ascii="Times New Roman" w:hAnsi="Times New Roman" w:cs="Times New Roman" w:eastAsia="Times New Roman" w:hint="default"/>
                <w:sz w:val="20"/>
                <w:szCs w:val="20"/>
              </w:rPr>
            </w:pPr>
            <w:r>
              <w:rPr>
                <w:rFonts w:ascii="Times New Roman"/>
                <w:sz w:val="20"/>
              </w:rPr>
              <w:t>0.11</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
              <w:jc w:val="center"/>
              <w:rPr>
                <w:rFonts w:ascii="Times New Roman" w:hAnsi="Times New Roman" w:cs="Times New Roman" w:eastAsia="Times New Roman" w:hint="default"/>
                <w:sz w:val="20"/>
                <w:szCs w:val="20"/>
              </w:rPr>
            </w:pPr>
            <w:r>
              <w:rPr>
                <w:rFonts w:ascii="Times New Roman"/>
                <w:sz w:val="20"/>
              </w:rPr>
              <w:t>0.13</w:t>
            </w:r>
          </w:p>
        </w:tc>
      </w:tr>
      <w:tr>
        <w:trPr>
          <w:trHeight w:val="39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宋体" w:hAnsi="宋体" w:cs="宋体" w:eastAsia="宋体" w:hint="default"/>
                <w:sz w:val="20"/>
                <w:szCs w:val="20"/>
              </w:rPr>
              <w:t>稀释每股收益</w:t>
            </w:r>
          </w:p>
        </w:tc>
        <w:tc>
          <w:tcPr>
            <w:tcW w:w="13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Garamond" w:hAnsi="Garamond" w:cs="Garamond" w:eastAsia="Garamond" w:hint="default"/>
                <w:sz w:val="20"/>
                <w:szCs w:val="20"/>
              </w:rPr>
            </w:pPr>
            <w:r>
              <w:rPr>
                <w:rFonts w:ascii="Garamond"/>
                <w:sz w:val="20"/>
              </w:rPr>
              <w:t>46</w:t>
            </w:r>
          </w:p>
        </w:tc>
        <w:tc>
          <w:tcPr>
            <w:tcW w:w="1704" w:type="dxa"/>
            <w:tcBorders>
              <w:top w:val="nil" w:sz="6" w:space="0" w:color="auto"/>
              <w:left w:val="nil" w:sz="6" w:space="0" w:color="auto"/>
              <w:bottom w:val="single" w:sz="4" w:space="0" w:color="000008"/>
              <w:right w:val="nil" w:sz="6" w:space="0" w:color="auto"/>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0.11</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single" w:sz="4" w:space="0" w:color="000008"/>
              <w:right w:val="nil" w:sz="6" w:space="0" w:color="auto"/>
            </w:tcBorders>
          </w:tcPr>
          <w:p>
            <w:pPr>
              <w:pStyle w:val="TableParagraph"/>
              <w:spacing w:line="240" w:lineRule="auto" w:before="77"/>
              <w:ind w:right="4"/>
              <w:jc w:val="center"/>
              <w:rPr>
                <w:rFonts w:ascii="Times New Roman" w:hAnsi="Times New Roman" w:cs="Times New Roman" w:eastAsia="Times New Roman" w:hint="default"/>
                <w:sz w:val="20"/>
                <w:szCs w:val="20"/>
              </w:rPr>
            </w:pPr>
            <w:r>
              <w:rPr>
                <w:rFonts w:ascii="Times New Roman"/>
                <w:sz w:val="20"/>
              </w:rPr>
              <w:t>0.13</w:t>
            </w:r>
          </w:p>
        </w:tc>
      </w:tr>
      <w:tr>
        <w:trPr>
          <w:trHeight w:val="39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32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六、其他综合收益</w:t>
            </w:r>
            <w:r>
              <w:rPr>
                <w:rFonts w:ascii="Microsoft JhengHei" w:hAnsi="Microsoft JhengHei" w:cs="Microsoft JhengHei" w:eastAsia="Microsoft JhengHei" w:hint="default"/>
                <w:sz w:val="20"/>
                <w:szCs w:val="20"/>
              </w:rPr>
            </w:r>
          </w:p>
        </w:tc>
        <w:tc>
          <w:tcPr>
            <w:tcW w:w="13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Garamond" w:hAnsi="Garamond" w:cs="Garamond" w:eastAsia="Garamond" w:hint="default"/>
                <w:sz w:val="20"/>
                <w:szCs w:val="20"/>
              </w:rPr>
            </w:pPr>
            <w:r>
              <w:rPr>
                <w:rFonts w:ascii="Garamond"/>
                <w:sz w:val="20"/>
              </w:rPr>
              <w:t>47</w:t>
            </w:r>
          </w:p>
        </w:tc>
        <w:tc>
          <w:tcPr>
            <w:tcW w:w="170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1"/>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0"/>
              <w:ind w:left="281" w:right="0"/>
              <w:jc w:val="left"/>
              <w:rPr>
                <w:rFonts w:ascii="Times New Roman" w:hAnsi="Times New Roman" w:cs="Times New Roman" w:eastAsia="Times New Roman" w:hint="default"/>
                <w:sz w:val="20"/>
                <w:szCs w:val="20"/>
              </w:rPr>
            </w:pPr>
            <w:r>
              <w:rPr>
                <w:rFonts w:ascii="Times New Roman"/>
                <w:b/>
                <w:sz w:val="20"/>
              </w:rPr>
              <w:t>23,307,055.36</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1.6pt;height:.6pt;mso-position-horizontal-relative:char;mso-position-vertical-relative:line" coordorigin="0,0" coordsize="163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8;height:2" coordorigin="1619,6" coordsize="8,2">
                    <v:shape style="position:absolute;left:1619;top:6;width:8;height:2" coordorigin="1619,6" coordsize="8,0" path="m1619,6l1626,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0"/>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15"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32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七、综合收益总额</w:t>
            </w:r>
            <w:r>
              <w:rPr>
                <w:rFonts w:ascii="Microsoft JhengHei" w:hAnsi="Microsoft JhengHei" w:cs="Microsoft JhengHei" w:eastAsia="Microsoft JhengHei" w:hint="default"/>
                <w:sz w:val="20"/>
                <w:szCs w:val="20"/>
              </w:rPr>
            </w:r>
          </w:p>
        </w:tc>
        <w:tc>
          <w:tcPr>
            <w:tcW w:w="1356" w:type="dxa"/>
            <w:gridSpan w:val="3"/>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8"/>
              <w:left w:val="nil" w:sz="6" w:space="0" w:color="auto"/>
              <w:bottom w:val="single" w:sz="17" w:space="0" w:color="000008"/>
              <w:right w:val="nil" w:sz="6" w:space="0" w:color="auto"/>
            </w:tcBorders>
          </w:tcPr>
          <w:p>
            <w:pPr>
              <w:pStyle w:val="TableParagraph"/>
              <w:spacing w:line="240" w:lineRule="auto" w:before="79"/>
              <w:ind w:left="233" w:right="0"/>
              <w:jc w:val="left"/>
              <w:rPr>
                <w:rFonts w:ascii="Times New Roman" w:hAnsi="Times New Roman" w:cs="Times New Roman" w:eastAsia="Times New Roman" w:hint="default"/>
                <w:sz w:val="20"/>
                <w:szCs w:val="20"/>
              </w:rPr>
            </w:pPr>
            <w:r>
              <w:rPr>
                <w:rFonts w:ascii="Times New Roman"/>
                <w:b/>
                <w:sz w:val="20"/>
              </w:rPr>
              <w:t>179,790,457.71</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8"/>
              <w:left w:val="nil" w:sz="6" w:space="0" w:color="auto"/>
              <w:bottom w:val="single" w:sz="17" w:space="0" w:color="000008"/>
              <w:right w:val="nil" w:sz="6" w:space="0" w:color="auto"/>
            </w:tcBorders>
          </w:tcPr>
          <w:p>
            <w:pPr>
              <w:pStyle w:val="TableParagraph"/>
              <w:spacing w:line="240" w:lineRule="auto" w:before="79"/>
              <w:ind w:left="188" w:right="0"/>
              <w:jc w:val="left"/>
              <w:rPr>
                <w:rFonts w:ascii="Times New Roman" w:hAnsi="Times New Roman" w:cs="Times New Roman" w:eastAsia="Times New Roman" w:hint="default"/>
                <w:sz w:val="20"/>
                <w:szCs w:val="20"/>
              </w:rPr>
            </w:pPr>
            <w:r>
              <w:rPr>
                <w:rFonts w:ascii="Times New Roman"/>
                <w:b/>
                <w:sz w:val="20"/>
              </w:rPr>
              <w:t>125,668,378.38</w:t>
            </w:r>
            <w:r>
              <w:rPr>
                <w:rFonts w:ascii="Times New Roman"/>
                <w:sz w:val="20"/>
              </w:rPr>
            </w:r>
          </w:p>
        </w:tc>
      </w:tr>
      <w:tr>
        <w:trPr>
          <w:trHeight w:val="392"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08"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1356" w:type="dxa"/>
            <w:gridSpan w:val="3"/>
            <w:tcBorders>
              <w:top w:val="nil" w:sz="6" w:space="0" w:color="auto"/>
              <w:left w:val="nil" w:sz="6" w:space="0" w:color="auto"/>
              <w:bottom w:val="nil" w:sz="6" w:space="0" w:color="auto"/>
              <w:right w:val="nil" w:sz="6" w:space="0" w:color="auto"/>
            </w:tcBorders>
          </w:tcPr>
          <w:p>
            <w:pPr/>
          </w:p>
        </w:tc>
        <w:tc>
          <w:tcPr>
            <w:tcW w:w="1704" w:type="dxa"/>
            <w:tcBorders>
              <w:top w:val="single" w:sz="17" w:space="0" w:color="000008"/>
              <w:left w:val="nil" w:sz="6" w:space="0" w:color="auto"/>
              <w:bottom w:val="nil" w:sz="6" w:space="0" w:color="auto"/>
              <w:right w:val="nil" w:sz="6" w:space="0" w:color="auto"/>
            </w:tcBorders>
          </w:tcPr>
          <w:p>
            <w:pPr>
              <w:pStyle w:val="TableParagraph"/>
              <w:spacing w:line="240" w:lineRule="auto" w:before="63"/>
              <w:ind w:left="233" w:right="0"/>
              <w:jc w:val="left"/>
              <w:rPr>
                <w:rFonts w:ascii="Times New Roman" w:hAnsi="Times New Roman" w:cs="Times New Roman" w:eastAsia="Times New Roman" w:hint="default"/>
                <w:sz w:val="20"/>
                <w:szCs w:val="20"/>
              </w:rPr>
            </w:pPr>
            <w:r>
              <w:rPr>
                <w:rFonts w:ascii="Times New Roman"/>
                <w:b/>
                <w:sz w:val="20"/>
              </w:rPr>
              <w:t>108,494,689.36</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single" w:sz="17" w:space="0" w:color="000008"/>
              <w:left w:val="nil" w:sz="6" w:space="0" w:color="auto"/>
              <w:bottom w:val="nil" w:sz="6" w:space="0" w:color="auto"/>
              <w:right w:val="nil" w:sz="6" w:space="0" w:color="auto"/>
            </w:tcBorders>
          </w:tcPr>
          <w:p>
            <w:pPr>
              <w:pStyle w:val="TableParagraph"/>
              <w:spacing w:line="240" w:lineRule="auto" w:before="63"/>
              <w:ind w:left="238" w:right="0"/>
              <w:jc w:val="left"/>
              <w:rPr>
                <w:rFonts w:ascii="Times New Roman" w:hAnsi="Times New Roman" w:cs="Times New Roman" w:eastAsia="Times New Roman" w:hint="default"/>
                <w:sz w:val="20"/>
                <w:szCs w:val="20"/>
              </w:rPr>
            </w:pPr>
            <w:r>
              <w:rPr>
                <w:rFonts w:ascii="Times New Roman"/>
                <w:b/>
                <w:sz w:val="20"/>
              </w:rPr>
              <w:t>53,067,901.84</w:t>
            </w:r>
            <w:r>
              <w:rPr>
                <w:rFonts w:ascii="Times New Roman"/>
                <w:sz w:val="20"/>
              </w:rPr>
            </w:r>
          </w:p>
        </w:tc>
      </w:tr>
      <w:tr>
        <w:trPr>
          <w:trHeight w:val="392"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08"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1356" w:type="dxa"/>
            <w:gridSpan w:val="3"/>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6" w:right="0"/>
              <w:jc w:val="left"/>
              <w:rPr>
                <w:rFonts w:ascii="Times New Roman" w:hAnsi="Times New Roman" w:cs="Times New Roman" w:eastAsia="Times New Roman" w:hint="default"/>
                <w:sz w:val="20"/>
                <w:szCs w:val="20"/>
              </w:rPr>
            </w:pPr>
            <w:r>
              <w:rPr>
                <w:rFonts w:ascii="Times New Roman"/>
                <w:sz w:val="20"/>
              </w:rPr>
              <w:t>71,295,768.35</w:t>
            </w:r>
          </w:p>
        </w:tc>
        <w:tc>
          <w:tcPr>
            <w:tcW w:w="238"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32" w:right="0"/>
              <w:jc w:val="left"/>
              <w:rPr>
                <w:rFonts w:ascii="Times New Roman" w:hAnsi="Times New Roman" w:cs="Times New Roman" w:eastAsia="Times New Roman" w:hint="default"/>
                <w:sz w:val="20"/>
                <w:szCs w:val="20"/>
              </w:rPr>
            </w:pPr>
            <w:r>
              <w:rPr>
                <w:rFonts w:ascii="Times New Roman"/>
                <w:sz w:val="20"/>
              </w:rPr>
              <w:t>72,600,476.54</w:t>
            </w:r>
          </w:p>
        </w:tc>
      </w:tr>
    </w:tbl>
    <w:p>
      <w:pPr>
        <w:spacing w:after="0" w:line="240" w:lineRule="auto"/>
        <w:jc w:val="left"/>
        <w:rPr>
          <w:rFonts w:ascii="Times New Roman" w:hAnsi="Times New Roman" w:cs="Times New Roman" w:eastAsia="Times New Roman" w:hint="default"/>
          <w:sz w:val="20"/>
          <w:szCs w:val="20"/>
        </w:rPr>
        <w:sectPr>
          <w:footerReference w:type="default" r:id="rId141"/>
          <w:pgSz w:w="11910" w:h="16840"/>
          <w:pgMar w:footer="897" w:header="859" w:top="1420" w:bottom="1080" w:left="1560" w:right="860"/>
          <w:pgNumType w:start="100"/>
        </w:sectPr>
      </w:pPr>
    </w:p>
    <w:p>
      <w:pPr>
        <w:spacing w:line="240" w:lineRule="auto" w:before="3"/>
        <w:rPr>
          <w:rFonts w:ascii="Microsoft JhengHei" w:hAnsi="Microsoft JhengHei" w:cs="Microsoft JhengHei" w:eastAsia="Microsoft JhengHei" w:hint="default"/>
          <w:b/>
          <w:bCs/>
          <w:sz w:val="19"/>
          <w:szCs w:val="19"/>
        </w:rPr>
      </w:pPr>
    </w:p>
    <w:p>
      <w:pPr>
        <w:pStyle w:val="Heading2"/>
        <w:spacing w:line="240" w:lineRule="auto"/>
        <w:ind w:left="187" w:right="38"/>
        <w:jc w:val="center"/>
      </w:pPr>
      <w:r>
        <w:rPr/>
        <w:t>合并现金流量表</w:t>
      </w:r>
    </w:p>
    <w:p>
      <w:pPr>
        <w:spacing w:before="133"/>
        <w:ind w:left="20" w:right="38"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2459" w:val="left" w:leader="none"/>
          <w:tab w:pos="4339" w:val="left" w:leader="none"/>
          <w:tab w:pos="5931" w:val="left" w:leader="none"/>
          <w:tab w:pos="7442" w:val="left" w:leader="none"/>
          <w:tab w:pos="7921" w:val="left" w:leader="none"/>
        </w:tabs>
        <w:spacing w:line="256" w:lineRule="auto" w:before="122"/>
        <w:ind w:left="1759" w:right="233" w:hanging="1618"/>
        <w:jc w:val="left"/>
        <w:rPr>
          <w:rFonts w:ascii="Microsoft JhengHei" w:hAnsi="Microsoft JhengHei" w:cs="Microsoft JhengHei" w:eastAsia="Microsoft JhengHei" w:hint="default"/>
          <w:sz w:val="20"/>
          <w:szCs w:val="20"/>
        </w:rPr>
      </w:pPr>
      <w:r>
        <w:rPr/>
        <w:pict>
          <v:group style="position:absolute;margin-left:84.959999pt;margin-top:29.841379pt;width:459pt;height:.1pt;mso-position-horizontal-relative:page;mso-position-vertical-relative:paragraph;z-index:-1140112" coordorigin="1699,597" coordsize="9180,2">
            <v:shape style="position:absolute;left:1699;top:597;width:9180;height:2" coordorigin="1699,597" coordsize="9180,0" path="m1699,597l10879,597e" filled="false" stroked="true" strokeweight=".48pt" strokecolor="#000008">
              <v:path arrowok="t"/>
            </v:shape>
            <w10:wrap type="none"/>
          </v:group>
        </w:pict>
      </w:r>
      <w:r>
        <w:rPr>
          <w:rFonts w:ascii="Microsoft JhengHei" w:hAnsi="Microsoft JhengHei" w:cs="Microsoft JhengHei" w:eastAsia="Microsoft JhengHei" w:hint="default"/>
          <w:b/>
          <w:bCs/>
          <w:sz w:val="20"/>
          <w:szCs w:val="20"/>
        </w:rPr>
        <w:t>编制单位：深圳市农产品股份有限公司</w:t>
        <w:tab/>
        <w:tab/>
        <w:tab/>
      </w:r>
      <w:r>
        <w:rPr>
          <w:rFonts w:ascii="Microsoft JhengHei" w:hAnsi="Microsoft JhengHei" w:cs="Microsoft JhengHei" w:eastAsia="Microsoft JhengHei" w:hint="default"/>
          <w:b/>
          <w:bCs/>
          <w:position w:val="-11"/>
          <w:sz w:val="20"/>
          <w:szCs w:val="20"/>
        </w:rPr>
        <w:t>金额单位：人民币元</w:t>
      </w:r>
      <w:r>
        <w:rPr>
          <w:rFonts w:ascii="Microsoft JhengHei" w:hAnsi="Microsoft JhengHei" w:cs="Microsoft JhengHei" w:eastAsia="Microsoft JhengHei" w:hint="default"/>
          <w:b/>
          <w:bCs/>
          <w:spacing w:val="-44"/>
          <w:position w:val="-11"/>
          <w:sz w:val="20"/>
          <w:szCs w:val="20"/>
        </w:rPr>
        <w:t> </w:t>
      </w:r>
      <w:r>
        <w:rPr>
          <w:rFonts w:ascii="Microsoft JhengHei" w:hAnsi="Microsoft JhengHei" w:cs="Microsoft JhengHei" w:eastAsia="Microsoft JhengHei" w:hint="default"/>
          <w:b/>
          <w:bCs/>
          <w:spacing w:val="-44"/>
          <w:position w:val="-11"/>
          <w:sz w:val="20"/>
          <w:szCs w:val="20"/>
        </w:rPr>
      </w:r>
      <w:r>
        <w:rPr>
          <w:rFonts w:ascii="Microsoft JhengHei" w:hAnsi="Microsoft JhengHei" w:cs="Microsoft JhengHei" w:eastAsia="Microsoft JhengHei" w:hint="default"/>
          <w:b/>
          <w:bCs/>
          <w:w w:val="95"/>
          <w:sz w:val="20"/>
          <w:szCs w:val="20"/>
        </w:rPr>
        <w:t>项</w:t>
        <w:tab/>
        <w:t>目</w:t>
        <w:tab/>
      </w:r>
      <w:r>
        <w:rPr>
          <w:rFonts w:ascii="Microsoft JhengHei" w:hAnsi="Microsoft JhengHei" w:cs="Microsoft JhengHei" w:eastAsia="Microsoft JhengHei" w:hint="default"/>
          <w:b/>
          <w:bCs/>
          <w:position w:val="-11"/>
          <w:sz w:val="20"/>
          <w:szCs w:val="20"/>
        </w:rPr>
        <w:t>附注五</w:t>
        <w:tab/>
      </w: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tab/>
        <w:tab/>
      </w: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spacing w:line="278" w:lineRule="exact" w:before="0"/>
        <w:ind w:left="141" w:right="233"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p>
      <w:pPr>
        <w:spacing w:line="422" w:lineRule="auto" w:before="126"/>
        <w:ind w:left="520" w:right="4927" w:firstLine="0"/>
        <w:jc w:val="left"/>
        <w:rPr>
          <w:rFonts w:ascii="宋体" w:hAnsi="宋体" w:cs="宋体" w:eastAsia="宋体" w:hint="default"/>
          <w:sz w:val="20"/>
          <w:szCs w:val="20"/>
        </w:rPr>
      </w:pPr>
      <w:r>
        <w:rPr/>
        <w:pict>
          <v:shape style="position:absolute;margin-left:373.25pt;margin-top:15.845116pt;width:172.95pt;height:222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9"/>
                    <w:gridCol w:w="1729"/>
                  </w:tblGrid>
                  <w:tr>
                    <w:trPr>
                      <w:trHeight w:val="329"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04" w:lineRule="exact"/>
                          <w:ind w:right="293"/>
                          <w:jc w:val="right"/>
                          <w:rPr>
                            <w:rFonts w:ascii="Times New Roman" w:hAnsi="Times New Roman" w:cs="Times New Roman" w:eastAsia="Times New Roman" w:hint="default"/>
                            <w:sz w:val="20"/>
                            <w:szCs w:val="20"/>
                          </w:rPr>
                        </w:pPr>
                        <w:r>
                          <w:rPr>
                            <w:rFonts w:ascii="Times New Roman"/>
                            <w:w w:val="95"/>
                            <w:sz w:val="20"/>
                          </w:rPr>
                          <w:t>1,286,383,828.52</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04" w:lineRule="exact"/>
                          <w:ind w:right="41"/>
                          <w:jc w:val="right"/>
                          <w:rPr>
                            <w:rFonts w:ascii="Times New Roman" w:hAnsi="Times New Roman" w:cs="Times New Roman" w:eastAsia="Times New Roman" w:hint="default"/>
                            <w:sz w:val="20"/>
                            <w:szCs w:val="20"/>
                          </w:rPr>
                        </w:pPr>
                        <w:r>
                          <w:rPr>
                            <w:rFonts w:ascii="Times New Roman"/>
                            <w:w w:val="95"/>
                            <w:sz w:val="20"/>
                          </w:rPr>
                          <w:t>1,262,726,247.17</w:t>
                        </w:r>
                        <w:r>
                          <w:rPr>
                            <w:rFonts w:ascii="Times New Roman"/>
                            <w:sz w:val="20"/>
                          </w:rPr>
                        </w:r>
                      </w:p>
                    </w:tc>
                  </w:tr>
                  <w:tr>
                    <w:trPr>
                      <w:trHeight w:val="460"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93"/>
                          <w:jc w:val="right"/>
                          <w:rPr>
                            <w:rFonts w:ascii="Times New Roman" w:hAnsi="Times New Roman" w:cs="Times New Roman" w:eastAsia="Times New Roman" w:hint="default"/>
                            <w:sz w:val="20"/>
                            <w:szCs w:val="20"/>
                          </w:rPr>
                        </w:pPr>
                        <w:r>
                          <w:rPr>
                            <w:rFonts w:ascii="Times New Roman"/>
                            <w:w w:val="95"/>
                            <w:sz w:val="20"/>
                          </w:rPr>
                          <w:t>3,895,445.86</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1"/>
                          <w:jc w:val="right"/>
                          <w:rPr>
                            <w:rFonts w:ascii="Times New Roman" w:hAnsi="Times New Roman" w:cs="Times New Roman" w:eastAsia="Times New Roman" w:hint="default"/>
                            <w:sz w:val="20"/>
                            <w:szCs w:val="20"/>
                          </w:rPr>
                        </w:pPr>
                        <w:r>
                          <w:rPr>
                            <w:rFonts w:ascii="Times New Roman"/>
                            <w:w w:val="95"/>
                            <w:sz w:val="20"/>
                          </w:rPr>
                          <w:t>8,519,960.65</w:t>
                        </w:r>
                        <w:r>
                          <w:rPr>
                            <w:rFonts w:ascii="Times New Roman"/>
                            <w:sz w:val="20"/>
                          </w:rPr>
                        </w:r>
                      </w:p>
                    </w:tc>
                  </w:tr>
                  <w:tr>
                    <w:trPr>
                      <w:trHeight w:val="461"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89"/>
                          <w:jc w:val="right"/>
                          <w:rPr>
                            <w:rFonts w:ascii="Times New Roman" w:hAnsi="Times New Roman" w:cs="Times New Roman" w:eastAsia="Times New Roman" w:hint="default"/>
                            <w:sz w:val="20"/>
                            <w:szCs w:val="20"/>
                          </w:rPr>
                        </w:pPr>
                        <w:r>
                          <w:rPr>
                            <w:rFonts w:ascii="Times New Roman"/>
                            <w:w w:val="95"/>
                            <w:sz w:val="20"/>
                          </w:rPr>
                          <w:t>732,780,781.14</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Times New Roman" w:hAnsi="Times New Roman" w:cs="Times New Roman" w:eastAsia="Times New Roman" w:hint="default"/>
                            <w:sz w:val="20"/>
                            <w:szCs w:val="20"/>
                          </w:rPr>
                        </w:pPr>
                        <w:r>
                          <w:rPr>
                            <w:rFonts w:ascii="Times New Roman"/>
                            <w:w w:val="95"/>
                            <w:sz w:val="20"/>
                          </w:rPr>
                          <w:t>177,479,473.65</w:t>
                        </w:r>
                        <w:r>
                          <w:rPr>
                            <w:rFonts w:ascii="Times New Roman"/>
                            <w:sz w:val="20"/>
                          </w:rPr>
                        </w:r>
                      </w:p>
                    </w:tc>
                  </w:tr>
                  <w:tr>
                    <w:trPr>
                      <w:trHeight w:val="460"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86"/>
                          <w:jc w:val="right"/>
                          <w:rPr>
                            <w:rFonts w:ascii="Times New Roman" w:hAnsi="Times New Roman" w:cs="Times New Roman" w:eastAsia="Times New Roman" w:hint="default"/>
                            <w:sz w:val="20"/>
                            <w:szCs w:val="20"/>
                          </w:rPr>
                        </w:pPr>
                        <w:r>
                          <w:rPr>
                            <w:rFonts w:ascii="Times New Roman"/>
                            <w:b/>
                            <w:w w:val="95"/>
                            <w:sz w:val="20"/>
                          </w:rPr>
                          <w:t>2,023,060,055.52</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Times New Roman" w:hAnsi="Times New Roman" w:cs="Times New Roman" w:eastAsia="Times New Roman" w:hint="default"/>
                            <w:sz w:val="20"/>
                            <w:szCs w:val="20"/>
                          </w:rPr>
                        </w:pPr>
                        <w:r>
                          <w:rPr>
                            <w:rFonts w:ascii="Times New Roman"/>
                            <w:b/>
                            <w:w w:val="95"/>
                            <w:sz w:val="20"/>
                          </w:rPr>
                          <w:t>1,448,725,681.47</w:t>
                        </w:r>
                        <w:r>
                          <w:rPr>
                            <w:rFonts w:ascii="Times New Roman"/>
                            <w:sz w:val="20"/>
                          </w:rPr>
                        </w:r>
                      </w:p>
                    </w:tc>
                  </w:tr>
                  <w:tr>
                    <w:trPr>
                      <w:trHeight w:val="460"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89"/>
                          <w:jc w:val="right"/>
                          <w:rPr>
                            <w:rFonts w:ascii="Times New Roman" w:hAnsi="Times New Roman" w:cs="Times New Roman" w:eastAsia="Times New Roman" w:hint="default"/>
                            <w:sz w:val="20"/>
                            <w:szCs w:val="20"/>
                          </w:rPr>
                        </w:pPr>
                        <w:r>
                          <w:rPr>
                            <w:rFonts w:ascii="Times New Roman"/>
                            <w:w w:val="95"/>
                            <w:sz w:val="20"/>
                          </w:rPr>
                          <w:t>557,370,307.02</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Times New Roman" w:hAnsi="Times New Roman" w:cs="Times New Roman" w:eastAsia="Times New Roman" w:hint="default"/>
                            <w:sz w:val="20"/>
                            <w:szCs w:val="20"/>
                          </w:rPr>
                        </w:pPr>
                        <w:r>
                          <w:rPr>
                            <w:rFonts w:ascii="Times New Roman"/>
                            <w:w w:val="95"/>
                            <w:sz w:val="20"/>
                          </w:rPr>
                          <w:t>595,221,795.92</w:t>
                        </w:r>
                        <w:r>
                          <w:rPr>
                            <w:rFonts w:ascii="Times New Roman"/>
                            <w:sz w:val="20"/>
                          </w:rPr>
                        </w:r>
                      </w:p>
                    </w:tc>
                  </w:tr>
                  <w:tr>
                    <w:trPr>
                      <w:trHeight w:val="461"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89"/>
                          <w:jc w:val="right"/>
                          <w:rPr>
                            <w:rFonts w:ascii="Times New Roman" w:hAnsi="Times New Roman" w:cs="Times New Roman" w:eastAsia="Times New Roman" w:hint="default"/>
                            <w:sz w:val="20"/>
                            <w:szCs w:val="20"/>
                          </w:rPr>
                        </w:pPr>
                        <w:r>
                          <w:rPr>
                            <w:rFonts w:ascii="Times New Roman"/>
                            <w:w w:val="95"/>
                            <w:sz w:val="20"/>
                          </w:rPr>
                          <w:t>218,495,537.51</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Times New Roman" w:hAnsi="Times New Roman" w:cs="Times New Roman" w:eastAsia="Times New Roman" w:hint="default"/>
                            <w:sz w:val="20"/>
                            <w:szCs w:val="20"/>
                          </w:rPr>
                        </w:pPr>
                        <w:r>
                          <w:rPr>
                            <w:rFonts w:ascii="Times New Roman"/>
                            <w:w w:val="95"/>
                            <w:sz w:val="20"/>
                          </w:rPr>
                          <w:t>194,235,092.86</w:t>
                        </w:r>
                        <w:r>
                          <w:rPr>
                            <w:rFonts w:ascii="Times New Roman"/>
                            <w:sz w:val="20"/>
                          </w:rPr>
                        </w:r>
                      </w:p>
                    </w:tc>
                  </w:tr>
                  <w:tr>
                    <w:trPr>
                      <w:trHeight w:val="460"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89"/>
                          <w:jc w:val="right"/>
                          <w:rPr>
                            <w:rFonts w:ascii="Times New Roman" w:hAnsi="Times New Roman" w:cs="Times New Roman" w:eastAsia="Times New Roman" w:hint="default"/>
                            <w:sz w:val="20"/>
                            <w:szCs w:val="20"/>
                          </w:rPr>
                        </w:pPr>
                        <w:r>
                          <w:rPr>
                            <w:rFonts w:ascii="Times New Roman"/>
                            <w:w w:val="95"/>
                            <w:sz w:val="20"/>
                          </w:rPr>
                          <w:t>124,664,352.70</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Times New Roman" w:hAnsi="Times New Roman" w:cs="Times New Roman" w:eastAsia="Times New Roman" w:hint="default"/>
                            <w:sz w:val="20"/>
                            <w:szCs w:val="20"/>
                          </w:rPr>
                        </w:pPr>
                        <w:r>
                          <w:rPr>
                            <w:rFonts w:ascii="Times New Roman"/>
                            <w:w w:val="95"/>
                            <w:sz w:val="20"/>
                          </w:rPr>
                          <w:t>120,097,875.51</w:t>
                        </w:r>
                        <w:r>
                          <w:rPr>
                            <w:rFonts w:ascii="Times New Roman"/>
                            <w:sz w:val="20"/>
                          </w:rPr>
                        </w:r>
                      </w:p>
                    </w:tc>
                  </w:tr>
                  <w:tr>
                    <w:trPr>
                      <w:trHeight w:val="460"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89"/>
                          <w:jc w:val="right"/>
                          <w:rPr>
                            <w:rFonts w:ascii="Times New Roman" w:hAnsi="Times New Roman" w:cs="Times New Roman" w:eastAsia="Times New Roman" w:hint="default"/>
                            <w:sz w:val="20"/>
                            <w:szCs w:val="20"/>
                          </w:rPr>
                        </w:pPr>
                        <w:r>
                          <w:rPr>
                            <w:rFonts w:ascii="Times New Roman"/>
                            <w:w w:val="95"/>
                            <w:sz w:val="20"/>
                          </w:rPr>
                          <w:t>606,016,970.62</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Times New Roman" w:hAnsi="Times New Roman" w:cs="Times New Roman" w:eastAsia="Times New Roman" w:hint="default"/>
                            <w:sz w:val="20"/>
                            <w:szCs w:val="20"/>
                          </w:rPr>
                        </w:pPr>
                        <w:r>
                          <w:rPr>
                            <w:rFonts w:ascii="Times New Roman"/>
                            <w:w w:val="95"/>
                            <w:sz w:val="20"/>
                          </w:rPr>
                          <w:t>260,342,310.15</w:t>
                        </w:r>
                        <w:r>
                          <w:rPr>
                            <w:rFonts w:ascii="Times New Roman"/>
                            <w:sz w:val="20"/>
                          </w:rPr>
                        </w:r>
                      </w:p>
                    </w:tc>
                  </w:tr>
                  <w:tr>
                    <w:trPr>
                      <w:trHeight w:val="461"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86"/>
                          <w:jc w:val="right"/>
                          <w:rPr>
                            <w:rFonts w:ascii="Times New Roman" w:hAnsi="Times New Roman" w:cs="Times New Roman" w:eastAsia="Times New Roman" w:hint="default"/>
                            <w:sz w:val="20"/>
                            <w:szCs w:val="20"/>
                          </w:rPr>
                        </w:pPr>
                        <w:r>
                          <w:rPr>
                            <w:rFonts w:ascii="Times New Roman"/>
                            <w:b/>
                            <w:w w:val="95"/>
                            <w:sz w:val="20"/>
                          </w:rPr>
                          <w:t>1,506,547,167.85</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Times New Roman" w:hAnsi="Times New Roman" w:cs="Times New Roman" w:eastAsia="Times New Roman" w:hint="default"/>
                            <w:sz w:val="20"/>
                            <w:szCs w:val="20"/>
                          </w:rPr>
                        </w:pPr>
                        <w:r>
                          <w:rPr>
                            <w:rFonts w:ascii="Times New Roman"/>
                            <w:b/>
                            <w:w w:val="95"/>
                            <w:sz w:val="20"/>
                          </w:rPr>
                          <w:t>1,169,897,074.44</w:t>
                        </w:r>
                        <w:r>
                          <w:rPr>
                            <w:rFonts w:ascii="Times New Roman"/>
                            <w:sz w:val="20"/>
                          </w:rPr>
                        </w:r>
                      </w:p>
                    </w:tc>
                  </w:tr>
                  <w:tr>
                    <w:trPr>
                      <w:trHeight w:val="430"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83"/>
                          <w:jc w:val="right"/>
                          <w:rPr>
                            <w:rFonts w:ascii="Times New Roman" w:hAnsi="Times New Roman" w:cs="Times New Roman" w:eastAsia="Times New Roman" w:hint="default"/>
                            <w:sz w:val="20"/>
                            <w:szCs w:val="20"/>
                          </w:rPr>
                        </w:pPr>
                        <w:r>
                          <w:rPr>
                            <w:rFonts w:ascii="Times New Roman"/>
                            <w:b/>
                            <w:w w:val="95"/>
                            <w:sz w:val="20"/>
                          </w:rPr>
                          <w:t>516,512,887.67</w:t>
                        </w:r>
                        <w:r>
                          <w:rPr>
                            <w:rFonts w:ascii="Times New Roman"/>
                            <w:sz w:val="20"/>
                          </w:rPr>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20"/>
                            <w:szCs w:val="20"/>
                          </w:rPr>
                        </w:pPr>
                        <w:r>
                          <w:rPr>
                            <w:rFonts w:ascii="Times New Roman"/>
                            <w:b/>
                            <w:w w:val="95"/>
                            <w:sz w:val="20"/>
                          </w:rPr>
                          <w:t>278,828,607.03</w:t>
                        </w:r>
                        <w:r>
                          <w:rPr>
                            <w:rFonts w:ascii="Times New Roman"/>
                            <w:sz w:val="20"/>
                          </w:rPr>
                        </w:r>
                      </w:p>
                    </w:tc>
                  </w:tr>
                </w:tbl>
                <w:p>
                  <w:pPr/>
                </w:p>
              </w:txbxContent>
            </v:textbox>
            <w10:wrap type="none"/>
          </v:shape>
        </w:pict>
      </w:r>
      <w:r>
        <w:rPr>
          <w:rFonts w:ascii="宋体" w:hAnsi="宋体" w:cs="宋体" w:eastAsia="宋体" w:hint="default"/>
          <w:w w:val="95"/>
          <w:sz w:val="20"/>
          <w:szCs w:val="20"/>
        </w:rPr>
        <w:t>销售商品、提供劳务收到的现金</w:t>
      </w:r>
      <w:r>
        <w:rPr>
          <w:rFonts w:ascii="宋体" w:hAnsi="宋体" w:cs="宋体" w:eastAsia="宋体" w:hint="default"/>
          <w:spacing w:val="33"/>
          <w:w w:val="95"/>
          <w:sz w:val="20"/>
          <w:szCs w:val="20"/>
        </w:rPr>
        <w:t> </w:t>
      </w:r>
      <w:r>
        <w:rPr>
          <w:rFonts w:ascii="宋体" w:hAnsi="宋体" w:cs="宋体" w:eastAsia="宋体" w:hint="default"/>
          <w:sz w:val="20"/>
          <w:szCs w:val="20"/>
        </w:rPr>
        <w:t>收到的税费返还</w:t>
      </w:r>
    </w:p>
    <w:p>
      <w:pPr>
        <w:tabs>
          <w:tab w:pos="4461" w:val="left" w:leader="none"/>
        </w:tabs>
        <w:spacing w:line="331" w:lineRule="auto" w:before="47"/>
        <w:ind w:left="1207" w:right="4480" w:hanging="687"/>
        <w:jc w:val="left"/>
        <w:rPr>
          <w:rFonts w:ascii="Microsoft JhengHei" w:hAnsi="Microsoft JhengHei" w:cs="Microsoft JhengHei" w:eastAsia="Microsoft JhengHei" w:hint="default"/>
          <w:sz w:val="20"/>
          <w:szCs w:val="20"/>
        </w:rPr>
      </w:pPr>
      <w:r>
        <w:rPr>
          <w:rFonts w:ascii="宋体" w:hAnsi="宋体" w:cs="宋体" w:eastAsia="宋体" w:hint="default"/>
          <w:w w:val="95"/>
          <w:sz w:val="20"/>
          <w:szCs w:val="20"/>
        </w:rPr>
        <w:t>收到其他与经营活动有关的现金</w:t>
        <w:tab/>
      </w:r>
      <w:r>
        <w:rPr>
          <w:rFonts w:ascii="Garamond" w:hAnsi="Garamond" w:cs="Garamond" w:eastAsia="Garamond" w:hint="default"/>
          <w:w w:val="80"/>
          <w:sz w:val="20"/>
          <w:szCs w:val="20"/>
        </w:rPr>
        <w:t>4</w:t>
      </w:r>
      <w:r>
        <w:rPr>
          <w:rFonts w:ascii="Garamond" w:hAnsi="Garamond" w:cs="Garamond" w:eastAsia="Garamond" w:hint="default"/>
          <w:spacing w:val="-16"/>
          <w:w w:val="80"/>
          <w:sz w:val="20"/>
          <w:szCs w:val="20"/>
        </w:rPr>
        <w:t> </w:t>
      </w:r>
      <w:r>
        <w:rPr>
          <w:rFonts w:ascii="Garamond" w:hAnsi="Garamond" w:cs="Garamond" w:eastAsia="Garamond" w:hint="default"/>
          <w:spacing w:val="-7"/>
          <w:w w:val="80"/>
          <w:sz w:val="20"/>
          <w:szCs w:val="20"/>
        </w:rPr>
        <w:t>8</w:t>
      </w:r>
      <w:r>
        <w:rPr>
          <w:rFonts w:ascii="宋体" w:hAnsi="宋体" w:cs="宋体" w:eastAsia="宋体" w:hint="default"/>
          <w:spacing w:val="-7"/>
          <w:w w:val="80"/>
          <w:sz w:val="20"/>
          <w:szCs w:val="20"/>
        </w:rPr>
        <w:t>（</w:t>
      </w:r>
      <w:r>
        <w:rPr>
          <w:rFonts w:ascii="Garamond" w:hAnsi="Garamond" w:cs="Garamond" w:eastAsia="Garamond" w:hint="default"/>
          <w:spacing w:val="-7"/>
          <w:w w:val="80"/>
          <w:sz w:val="20"/>
          <w:szCs w:val="20"/>
        </w:rPr>
        <w:t>1</w:t>
      </w:r>
      <w:r>
        <w:rPr>
          <w:rFonts w:ascii="宋体" w:hAnsi="宋体" w:cs="宋体" w:eastAsia="宋体" w:hint="default"/>
          <w:spacing w:val="-7"/>
          <w:w w:val="80"/>
          <w:sz w:val="20"/>
          <w:szCs w:val="20"/>
        </w:rPr>
        <w:t>）</w:t>
      </w:r>
      <w:r>
        <w:rPr>
          <w:rFonts w:ascii="宋体" w:hAnsi="宋体" w:cs="宋体" w:eastAsia="宋体" w:hint="default"/>
          <w:w w:val="50"/>
          <w:sz w:val="20"/>
          <w:szCs w:val="20"/>
        </w:rPr>
        <w:t> </w:t>
      </w: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p>
      <w:pPr>
        <w:spacing w:line="422" w:lineRule="auto" w:before="75"/>
        <w:ind w:left="520" w:right="4927" w:firstLine="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r>
        <w:rPr>
          <w:rFonts w:ascii="宋体" w:hAnsi="宋体" w:cs="宋体" w:eastAsia="宋体" w:hint="default"/>
          <w:w w:val="99"/>
          <w:sz w:val="20"/>
          <w:szCs w:val="20"/>
        </w:rPr>
        <w:t> </w:t>
      </w:r>
      <w:r>
        <w:rPr>
          <w:rFonts w:ascii="宋体" w:hAnsi="宋体" w:cs="宋体" w:eastAsia="宋体" w:hint="default"/>
          <w:w w:val="95"/>
          <w:sz w:val="20"/>
          <w:szCs w:val="20"/>
        </w:rPr>
        <w:t>支付给职工以及为职工支付的现金</w:t>
      </w:r>
      <w:r>
        <w:rPr>
          <w:rFonts w:ascii="宋体" w:hAnsi="宋体" w:cs="宋体" w:eastAsia="宋体" w:hint="default"/>
          <w:spacing w:val="43"/>
          <w:w w:val="95"/>
          <w:sz w:val="20"/>
          <w:szCs w:val="20"/>
        </w:rPr>
        <w:t> </w:t>
      </w:r>
      <w:r>
        <w:rPr>
          <w:rFonts w:ascii="宋体" w:hAnsi="宋体" w:cs="宋体" w:eastAsia="宋体" w:hint="default"/>
          <w:sz w:val="20"/>
          <w:szCs w:val="20"/>
        </w:rPr>
        <w:t>支付的各项税费</w:t>
      </w:r>
    </w:p>
    <w:p>
      <w:pPr>
        <w:tabs>
          <w:tab w:pos="4461" w:val="left" w:leader="none"/>
        </w:tabs>
        <w:spacing w:line="333" w:lineRule="auto" w:before="47"/>
        <w:ind w:left="1207" w:right="4480" w:hanging="687"/>
        <w:jc w:val="left"/>
        <w:rPr>
          <w:rFonts w:ascii="Microsoft JhengHei" w:hAnsi="Microsoft JhengHei" w:cs="Microsoft JhengHei" w:eastAsia="Microsoft JhengHei" w:hint="default"/>
          <w:sz w:val="20"/>
          <w:szCs w:val="20"/>
        </w:rPr>
      </w:pPr>
      <w:r>
        <w:rPr>
          <w:rFonts w:ascii="宋体" w:hAnsi="宋体" w:cs="宋体" w:eastAsia="宋体" w:hint="default"/>
          <w:w w:val="95"/>
          <w:sz w:val="20"/>
          <w:szCs w:val="20"/>
        </w:rPr>
        <w:t>支付其他与经营活动有关的现金</w:t>
        <w:tab/>
      </w:r>
      <w:r>
        <w:rPr>
          <w:rFonts w:ascii="Garamond" w:hAnsi="Garamond" w:cs="Garamond" w:eastAsia="Garamond" w:hint="default"/>
          <w:w w:val="80"/>
          <w:sz w:val="20"/>
          <w:szCs w:val="20"/>
        </w:rPr>
        <w:t>4</w:t>
      </w:r>
      <w:r>
        <w:rPr>
          <w:rFonts w:ascii="Garamond" w:hAnsi="Garamond" w:cs="Garamond" w:eastAsia="Garamond" w:hint="default"/>
          <w:spacing w:val="-16"/>
          <w:w w:val="80"/>
          <w:sz w:val="20"/>
          <w:szCs w:val="20"/>
        </w:rPr>
        <w:t> </w:t>
      </w:r>
      <w:r>
        <w:rPr>
          <w:rFonts w:ascii="Garamond" w:hAnsi="Garamond" w:cs="Garamond" w:eastAsia="Garamond" w:hint="default"/>
          <w:spacing w:val="-7"/>
          <w:w w:val="80"/>
          <w:sz w:val="20"/>
          <w:szCs w:val="20"/>
        </w:rPr>
        <w:t>8</w:t>
      </w:r>
      <w:r>
        <w:rPr>
          <w:rFonts w:ascii="宋体" w:hAnsi="宋体" w:cs="宋体" w:eastAsia="宋体" w:hint="default"/>
          <w:spacing w:val="-7"/>
          <w:w w:val="80"/>
          <w:sz w:val="20"/>
          <w:szCs w:val="20"/>
        </w:rPr>
        <w:t>（</w:t>
      </w:r>
      <w:r>
        <w:rPr>
          <w:rFonts w:ascii="Garamond" w:hAnsi="Garamond" w:cs="Garamond" w:eastAsia="Garamond" w:hint="default"/>
          <w:spacing w:val="-7"/>
          <w:w w:val="80"/>
          <w:sz w:val="20"/>
          <w:szCs w:val="20"/>
        </w:rPr>
        <w:t>2</w:t>
      </w:r>
      <w:r>
        <w:rPr>
          <w:rFonts w:ascii="宋体" w:hAnsi="宋体" w:cs="宋体" w:eastAsia="宋体" w:hint="default"/>
          <w:spacing w:val="-7"/>
          <w:w w:val="80"/>
          <w:sz w:val="20"/>
          <w:szCs w:val="20"/>
        </w:rPr>
        <w:t>）</w:t>
      </w:r>
      <w:r>
        <w:rPr>
          <w:rFonts w:ascii="宋体" w:hAnsi="宋体" w:cs="宋体" w:eastAsia="宋体" w:hint="default"/>
          <w:w w:val="50"/>
          <w:sz w:val="20"/>
          <w:szCs w:val="20"/>
        </w:rPr>
        <w:t> </w:t>
      </w: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p>
      <w:pPr>
        <w:spacing w:line="283" w:lineRule="auto" w:before="6"/>
        <w:ind w:left="141" w:right="4927" w:firstLine="76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p>
      <w:pPr>
        <w:tabs>
          <w:tab w:pos="6091" w:val="left" w:leader="none"/>
          <w:tab w:pos="8169" w:val="left" w:leader="none"/>
        </w:tabs>
        <w:spacing w:before="73"/>
        <w:ind w:left="520"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收回投资收到的现金</w:t>
        <w:tab/>
      </w:r>
      <w:r>
        <w:rPr>
          <w:rFonts w:ascii="Times New Roman" w:hAnsi="Times New Roman" w:cs="Times New Roman" w:eastAsia="Times New Roman" w:hint="default"/>
          <w:w w:val="95"/>
          <w:sz w:val="20"/>
          <w:szCs w:val="20"/>
        </w:rPr>
        <w:t>180,419,412.08</w:t>
        <w:tab/>
      </w:r>
      <w:r>
        <w:rPr>
          <w:rFonts w:ascii="Times New Roman" w:hAnsi="Times New Roman" w:cs="Times New Roman" w:eastAsia="Times New Roman" w:hint="default"/>
          <w:sz w:val="20"/>
          <w:szCs w:val="20"/>
        </w:rPr>
        <w:t>15,280,567.77</w:t>
      </w:r>
    </w:p>
    <w:p>
      <w:pPr>
        <w:spacing w:before="68"/>
        <w:ind w:left="520" w:right="233" w:firstLine="0"/>
        <w:jc w:val="left"/>
        <w:rPr>
          <w:rFonts w:ascii="宋体" w:hAnsi="宋体" w:cs="宋体" w:eastAsia="宋体" w:hint="default"/>
          <w:sz w:val="20"/>
          <w:szCs w:val="20"/>
        </w:rPr>
      </w:pPr>
      <w:r>
        <w:rPr/>
        <w:pict>
          <v:shape style="position:absolute;margin-left:92.330002pt;margin-top:12.825129pt;width:453.45pt;height:35.6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49"/>
                    <w:gridCol w:w="2521"/>
                    <w:gridCol w:w="1599"/>
                  </w:tblGrid>
                  <w:tr>
                    <w:trPr>
                      <w:trHeight w:val="461"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23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w:t>
                        </w:r>
                      </w:p>
                    </w:tc>
                    <w:tc>
                      <w:tcPr>
                        <w:tcW w:w="2521" w:type="dxa"/>
                        <w:tcBorders>
                          <w:top w:val="nil" w:sz="6" w:space="0" w:color="auto"/>
                          <w:left w:val="nil" w:sz="6" w:space="0" w:color="auto"/>
                          <w:bottom w:val="nil" w:sz="6" w:space="0" w:color="auto"/>
                          <w:right w:val="nil" w:sz="6" w:space="0" w:color="auto"/>
                        </w:tcBorders>
                      </w:tcPr>
                      <w:p>
                        <w:pPr>
                          <w:pStyle w:val="TableParagraph"/>
                          <w:spacing w:line="204" w:lineRule="exact"/>
                          <w:ind w:right="411"/>
                          <w:jc w:val="right"/>
                          <w:rPr>
                            <w:rFonts w:ascii="Times New Roman" w:hAnsi="Times New Roman" w:cs="Times New Roman" w:eastAsia="Times New Roman" w:hint="default"/>
                            <w:sz w:val="20"/>
                            <w:szCs w:val="20"/>
                          </w:rPr>
                        </w:pPr>
                        <w:r>
                          <w:rPr>
                            <w:rFonts w:ascii="Times New Roman"/>
                            <w:w w:val="95"/>
                            <w:sz w:val="20"/>
                          </w:rPr>
                          <w:t>25,440,004.23</w:t>
                        </w:r>
                        <w:r>
                          <w:rPr>
                            <w:rFonts w:ascii="Times New Roman"/>
                            <w:sz w:val="20"/>
                          </w:rPr>
                        </w:r>
                      </w:p>
                    </w:tc>
                    <w:tc>
                      <w:tcPr>
                        <w:tcW w:w="1599" w:type="dxa"/>
                        <w:tcBorders>
                          <w:top w:val="nil" w:sz="6" w:space="0" w:color="auto"/>
                          <w:left w:val="nil" w:sz="6" w:space="0" w:color="auto"/>
                          <w:bottom w:val="nil" w:sz="6" w:space="0" w:color="auto"/>
                          <w:right w:val="nil" w:sz="6" w:space="0" w:color="auto"/>
                        </w:tcBorders>
                      </w:tcPr>
                      <w:p>
                        <w:pPr>
                          <w:pStyle w:val="TableParagraph"/>
                          <w:spacing w:line="204" w:lineRule="exact"/>
                          <w:ind w:right="33"/>
                          <w:jc w:val="right"/>
                          <w:rPr>
                            <w:rFonts w:ascii="Times New Roman" w:hAnsi="Times New Roman" w:cs="Times New Roman" w:eastAsia="Times New Roman" w:hint="default"/>
                            <w:sz w:val="20"/>
                            <w:szCs w:val="20"/>
                          </w:rPr>
                        </w:pPr>
                        <w:r>
                          <w:rPr>
                            <w:rFonts w:ascii="Times New Roman"/>
                            <w:w w:val="95"/>
                            <w:sz w:val="20"/>
                          </w:rPr>
                          <w:t>36,865,944.38</w:t>
                        </w:r>
                        <w:r>
                          <w:rPr>
                            <w:rFonts w:ascii="Times New Roman"/>
                            <w:sz w:val="20"/>
                          </w:rPr>
                        </w:r>
                      </w:p>
                    </w:tc>
                  </w:tr>
                  <w:tr>
                    <w:trPr>
                      <w:trHeight w:val="251" w:hRule="exact"/>
                    </w:trPr>
                    <w:tc>
                      <w:tcPr>
                        <w:tcW w:w="4949"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收回的现金净额</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11"/>
                          <w:jc w:val="right"/>
                          <w:rPr>
                            <w:rFonts w:ascii="Times New Roman" w:hAnsi="Times New Roman" w:cs="Times New Roman" w:eastAsia="Times New Roman" w:hint="default"/>
                            <w:sz w:val="20"/>
                            <w:szCs w:val="20"/>
                          </w:rPr>
                        </w:pPr>
                        <w:r>
                          <w:rPr>
                            <w:rFonts w:ascii="Times New Roman"/>
                            <w:w w:val="95"/>
                            <w:sz w:val="20"/>
                          </w:rPr>
                          <w:t>18,247,843.70</w:t>
                        </w:r>
                        <w:r>
                          <w:rPr>
                            <w:rFonts w:ascii="Times New Roman"/>
                            <w:sz w:val="20"/>
                          </w:rPr>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Times New Roman" w:hAnsi="Times New Roman" w:cs="Times New Roman" w:eastAsia="Times New Roman" w:hint="default"/>
                            <w:sz w:val="20"/>
                            <w:szCs w:val="20"/>
                          </w:rPr>
                        </w:pPr>
                        <w:r>
                          <w:rPr>
                            <w:rFonts w:ascii="Times New Roman"/>
                            <w:w w:val="95"/>
                            <w:sz w:val="20"/>
                          </w:rPr>
                          <w:t>1,900,135.80</w:t>
                        </w:r>
                        <w:r>
                          <w:rPr>
                            <w:rFonts w:ascii="Times New Roman"/>
                            <w:sz w:val="20"/>
                          </w:rPr>
                        </w:r>
                      </w:p>
                    </w:tc>
                  </w:tr>
                </w:tbl>
                <w:p>
                  <w:pPr/>
                </w:p>
              </w:txbxContent>
            </v:textbox>
            <w10:wrap type="none"/>
          </v:shape>
        </w:pict>
      </w:r>
      <w:r>
        <w:rPr>
          <w:rFonts w:ascii="宋体" w:hAnsi="宋体" w:cs="宋体" w:eastAsia="宋体" w:hint="default"/>
          <w:sz w:val="20"/>
          <w:szCs w:val="20"/>
        </w:rPr>
        <w:t>取得投资收益所收到的现金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260" w:lineRule="exact" w:before="37"/>
        <w:ind w:left="520" w:right="233" w:firstLine="0"/>
        <w:jc w:val="left"/>
        <w:rPr>
          <w:rFonts w:ascii="宋体" w:hAnsi="宋体" w:cs="宋体" w:eastAsia="宋体" w:hint="default"/>
          <w:sz w:val="20"/>
          <w:szCs w:val="20"/>
        </w:rPr>
      </w:pPr>
      <w:r>
        <w:rPr>
          <w:rFonts w:ascii="宋体" w:hAnsi="宋体" w:cs="宋体" w:eastAsia="宋体" w:hint="default"/>
          <w:spacing w:val="8"/>
          <w:sz w:val="20"/>
          <w:szCs w:val="20"/>
        </w:rPr>
        <w:t>处置子公司及其他营业单位收到的现金净</w:t>
      </w:r>
    </w:p>
    <w:p>
      <w:pPr>
        <w:tabs>
          <w:tab w:pos="6191" w:val="left" w:leader="none"/>
          <w:tab w:pos="9251" w:val="left" w:leader="none"/>
        </w:tabs>
        <w:spacing w:line="266" w:lineRule="exact" w:before="0"/>
        <w:ind w:left="321"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额</w:t>
        <w:tab/>
      </w:r>
      <w:r>
        <w:rPr>
          <w:rFonts w:ascii="Times New Roman" w:hAnsi="Times New Roman" w:cs="Times New Roman" w:eastAsia="Times New Roman" w:hint="default"/>
          <w:w w:val="95"/>
          <w:position w:val="1"/>
          <w:sz w:val="20"/>
          <w:szCs w:val="20"/>
        </w:rPr>
        <w:t>57,753,153.82</w:t>
        <w:tab/>
      </w:r>
      <w:r>
        <w:rPr>
          <w:rFonts w:ascii="Times New Roman" w:hAnsi="Times New Roman" w:cs="Times New Roman" w:eastAsia="Times New Roman" w:hint="default"/>
          <w:position w:val="1"/>
          <w:sz w:val="20"/>
          <w:szCs w:val="20"/>
        </w:rPr>
        <w:t>-</w:t>
      </w:r>
      <w:r>
        <w:rPr>
          <w:rFonts w:ascii="Times New Roman" w:hAnsi="Times New Roman" w:cs="Times New Roman" w:eastAsia="Times New Roman" w:hint="default"/>
          <w:sz w:val="20"/>
          <w:szCs w:val="20"/>
        </w:rPr>
      </w:r>
    </w:p>
    <w:p>
      <w:pPr>
        <w:tabs>
          <w:tab w:pos="4461" w:val="left" w:leader="none"/>
          <w:tab w:pos="6191" w:val="left" w:leader="none"/>
          <w:tab w:pos="8075" w:val="left" w:leader="none"/>
        </w:tabs>
        <w:spacing w:before="90"/>
        <w:ind w:left="520"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收到其他与投资活动有关的现金</w:t>
        <w:tab/>
      </w:r>
      <w:r>
        <w:rPr>
          <w:rFonts w:ascii="Garamond" w:hAnsi="Garamond" w:cs="Garamond" w:eastAsia="Garamond" w:hint="default"/>
          <w:w w:val="80"/>
          <w:position w:val="12"/>
          <w:sz w:val="20"/>
          <w:szCs w:val="20"/>
        </w:rPr>
        <w:t>4</w:t>
      </w:r>
      <w:r>
        <w:rPr>
          <w:rFonts w:ascii="Garamond" w:hAnsi="Garamond" w:cs="Garamond" w:eastAsia="Garamond" w:hint="default"/>
          <w:spacing w:val="-16"/>
          <w:w w:val="80"/>
          <w:position w:val="12"/>
          <w:sz w:val="20"/>
          <w:szCs w:val="20"/>
        </w:rPr>
        <w:t> </w:t>
      </w:r>
      <w:r>
        <w:rPr>
          <w:rFonts w:ascii="Garamond" w:hAnsi="Garamond" w:cs="Garamond" w:eastAsia="Garamond" w:hint="default"/>
          <w:spacing w:val="-7"/>
          <w:w w:val="80"/>
          <w:position w:val="12"/>
          <w:sz w:val="20"/>
          <w:szCs w:val="20"/>
        </w:rPr>
        <w:t>8</w:t>
      </w:r>
      <w:r>
        <w:rPr>
          <w:rFonts w:ascii="宋体" w:hAnsi="宋体" w:cs="宋体" w:eastAsia="宋体" w:hint="default"/>
          <w:spacing w:val="-7"/>
          <w:w w:val="80"/>
          <w:position w:val="12"/>
          <w:sz w:val="20"/>
          <w:szCs w:val="20"/>
        </w:rPr>
        <w:t>（</w:t>
      </w:r>
      <w:r>
        <w:rPr>
          <w:rFonts w:ascii="Garamond" w:hAnsi="Garamond" w:cs="Garamond" w:eastAsia="Garamond" w:hint="default"/>
          <w:spacing w:val="-7"/>
          <w:w w:val="80"/>
          <w:position w:val="12"/>
          <w:sz w:val="20"/>
          <w:szCs w:val="20"/>
        </w:rPr>
        <w:t>3</w:t>
      </w:r>
      <w:r>
        <w:rPr>
          <w:rFonts w:ascii="宋体" w:hAnsi="宋体" w:cs="宋体" w:eastAsia="宋体" w:hint="default"/>
          <w:spacing w:val="-7"/>
          <w:w w:val="80"/>
          <w:position w:val="12"/>
          <w:sz w:val="20"/>
          <w:szCs w:val="20"/>
        </w:rPr>
        <w:t>）</w:t>
        <w:tab/>
      </w:r>
      <w:r>
        <w:rPr>
          <w:rFonts w:ascii="Times New Roman" w:hAnsi="Times New Roman" w:cs="Times New Roman" w:eastAsia="Times New Roman" w:hint="default"/>
          <w:w w:val="95"/>
          <w:sz w:val="20"/>
          <w:szCs w:val="20"/>
        </w:rPr>
        <w:t>16,990,449.00</w:t>
        <w:tab/>
      </w:r>
      <w:r>
        <w:rPr>
          <w:rFonts w:ascii="Times New Roman" w:hAnsi="Times New Roman" w:cs="Times New Roman" w:eastAsia="Times New Roman" w:hint="default"/>
          <w:sz w:val="20"/>
          <w:szCs w:val="20"/>
        </w:rPr>
        <w:t>115,785,905.50</w:t>
      </w:r>
    </w:p>
    <w:p>
      <w:pPr>
        <w:tabs>
          <w:tab w:pos="6097" w:val="left" w:leader="none"/>
          <w:tab w:pos="8077" w:val="left" w:leader="none"/>
        </w:tabs>
        <w:spacing w:before="0"/>
        <w:ind w:left="1207" w:right="0" w:firstLine="0"/>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position w:val="12"/>
          <w:sz w:val="20"/>
          <w:szCs w:val="20"/>
        </w:rPr>
        <w:t>投资活动现金流入小计</w:t>
        <w:tab/>
      </w:r>
      <w:r>
        <w:rPr>
          <w:rFonts w:ascii="Times New Roman" w:hAnsi="Times New Roman" w:cs="Times New Roman" w:eastAsia="Times New Roman" w:hint="default"/>
          <w:b/>
          <w:bCs/>
          <w:w w:val="95"/>
          <w:sz w:val="20"/>
          <w:szCs w:val="20"/>
        </w:rPr>
        <w:t>298,850,862.83</w:t>
        <w:tab/>
      </w:r>
      <w:r>
        <w:rPr>
          <w:rFonts w:ascii="Times New Roman" w:hAnsi="Times New Roman" w:cs="Times New Roman" w:eastAsia="Times New Roman" w:hint="default"/>
          <w:b/>
          <w:bCs/>
          <w:sz w:val="20"/>
          <w:szCs w:val="20"/>
        </w:rPr>
        <w:t>169,832,553.45</w:t>
      </w:r>
      <w:r>
        <w:rPr>
          <w:rFonts w:ascii="Times New Roman" w:hAnsi="Times New Roman" w:cs="Times New Roman" w:eastAsia="Times New Roman" w:hint="default"/>
          <w:sz w:val="20"/>
          <w:szCs w:val="20"/>
        </w:rPr>
      </w:r>
    </w:p>
    <w:p>
      <w:pPr>
        <w:spacing w:line="219" w:lineRule="exact" w:before="52"/>
        <w:ind w:left="520" w:right="233" w:firstLine="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w:t>
      </w:r>
    </w:p>
    <w:p>
      <w:pPr>
        <w:tabs>
          <w:tab w:pos="6211" w:val="left" w:leader="none"/>
        </w:tabs>
        <w:spacing w:line="90" w:lineRule="exact" w:before="0"/>
        <w:ind w:left="321" w:right="233" w:firstLine="0"/>
        <w:jc w:val="left"/>
        <w:rPr>
          <w:rFonts w:ascii="Times New Roman" w:hAnsi="Times New Roman" w:cs="Times New Roman" w:eastAsia="Times New Roman" w:hint="default"/>
          <w:sz w:val="20"/>
          <w:szCs w:val="20"/>
        </w:rPr>
      </w:pPr>
      <w:r>
        <w:rPr/>
        <w:pict>
          <v:shape style="position:absolute;margin-left:381.108795pt;margin-top:10.590297pt;width:165.45pt;height:133.050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7"/>
                    <w:gridCol w:w="1651"/>
                  </w:tblGrid>
                  <w:tr>
                    <w:trPr>
                      <w:trHeight w:val="327"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04" w:lineRule="exact"/>
                          <w:ind w:right="357"/>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651" w:type="dxa"/>
                        <w:tcBorders>
                          <w:top w:val="nil" w:sz="6" w:space="0" w:color="auto"/>
                          <w:left w:val="nil" w:sz="6" w:space="0" w:color="auto"/>
                          <w:bottom w:val="nil" w:sz="6" w:space="0" w:color="auto"/>
                          <w:right w:val="nil" w:sz="6" w:space="0" w:color="auto"/>
                        </w:tcBorders>
                      </w:tcPr>
                      <w:p>
                        <w:pPr/>
                      </w:p>
                    </w:tc>
                  </w:tr>
                  <w:tr>
                    <w:trPr>
                      <w:trHeight w:val="475"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55"/>
                          <w:jc w:val="right"/>
                          <w:rPr>
                            <w:rFonts w:ascii="Times New Roman" w:hAnsi="Times New Roman" w:cs="Times New Roman" w:eastAsia="Times New Roman" w:hint="default"/>
                            <w:sz w:val="20"/>
                            <w:szCs w:val="20"/>
                          </w:rPr>
                        </w:pPr>
                        <w:r>
                          <w:rPr>
                            <w:rFonts w:ascii="Times New Roman"/>
                            <w:w w:val="95"/>
                            <w:sz w:val="20"/>
                          </w:rPr>
                          <w:t>107,674,970.00</w:t>
                        </w:r>
                        <w:r>
                          <w:rPr>
                            <w:rFonts w:ascii="Times New Roman"/>
                            <w:sz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Garamond" w:hAnsi="Garamond" w:cs="Garamond" w:eastAsia="Garamond" w:hint="default"/>
                            <w:sz w:val="20"/>
                            <w:szCs w:val="20"/>
                          </w:rPr>
                        </w:pPr>
                        <w:r>
                          <w:rPr>
                            <w:rFonts w:ascii="Garamond"/>
                            <w:spacing w:val="-1"/>
                            <w:sz w:val="20"/>
                          </w:rPr>
                          <w:t>47,150,700.00</w:t>
                        </w:r>
                      </w:p>
                    </w:tc>
                  </w:tr>
                  <w:tr>
                    <w:trPr>
                      <w:trHeight w:val="491"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5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Garamond" w:hAnsi="Garamond" w:cs="Garamond" w:eastAsia="Garamond" w:hint="default"/>
                            <w:sz w:val="20"/>
                            <w:szCs w:val="20"/>
                          </w:rPr>
                        </w:pPr>
                        <w:r>
                          <w:rPr>
                            <w:rFonts w:ascii="Garamond"/>
                            <w:spacing w:val="-1"/>
                            <w:sz w:val="20"/>
                          </w:rPr>
                          <w:t>2,123,649.23</w:t>
                        </w:r>
                      </w:p>
                    </w:tc>
                  </w:tr>
                  <w:tr>
                    <w:trPr>
                      <w:trHeight w:val="479"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77"/>
                          <w:jc w:val="right"/>
                          <w:rPr>
                            <w:rFonts w:ascii="Times New Roman" w:hAnsi="Times New Roman" w:cs="Times New Roman" w:eastAsia="Times New Roman" w:hint="default"/>
                            <w:sz w:val="20"/>
                            <w:szCs w:val="20"/>
                          </w:rPr>
                        </w:pPr>
                        <w:r>
                          <w:rPr>
                            <w:rFonts w:ascii="Times New Roman"/>
                            <w:w w:val="95"/>
                            <w:sz w:val="20"/>
                          </w:rPr>
                          <w:t>56,500.00</w:t>
                        </w:r>
                        <w:r>
                          <w:rPr>
                            <w:rFonts w:ascii="Times New Roman"/>
                            <w:sz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2"/>
                          <w:jc w:val="right"/>
                          <w:rPr>
                            <w:rFonts w:ascii="Garamond" w:hAnsi="Garamond" w:cs="Garamond" w:eastAsia="Garamond" w:hint="default"/>
                            <w:sz w:val="20"/>
                            <w:szCs w:val="20"/>
                          </w:rPr>
                        </w:pPr>
                        <w:r>
                          <w:rPr>
                            <w:rFonts w:ascii="Garamond"/>
                            <w:spacing w:val="-1"/>
                            <w:sz w:val="20"/>
                          </w:rPr>
                          <w:t>20,000,000.00</w:t>
                        </w:r>
                      </w:p>
                    </w:tc>
                  </w:tr>
                  <w:tr>
                    <w:trPr>
                      <w:trHeight w:val="344"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68"/>
                          <w:jc w:val="right"/>
                          <w:rPr>
                            <w:rFonts w:ascii="Times New Roman" w:hAnsi="Times New Roman" w:cs="Times New Roman" w:eastAsia="Times New Roman" w:hint="default"/>
                            <w:sz w:val="20"/>
                            <w:szCs w:val="20"/>
                          </w:rPr>
                        </w:pPr>
                        <w:r>
                          <w:rPr>
                            <w:rFonts w:ascii="Times New Roman"/>
                            <w:b/>
                            <w:w w:val="95"/>
                            <w:sz w:val="20"/>
                          </w:rPr>
                          <w:t>630,357,697.61</w:t>
                        </w:r>
                        <w:r>
                          <w:rPr>
                            <w:rFonts w:ascii="Times New Roman"/>
                            <w:sz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0"/>
                          <w:jc w:val="right"/>
                          <w:rPr>
                            <w:rFonts w:ascii="Times New Roman" w:hAnsi="Times New Roman" w:cs="Times New Roman" w:eastAsia="Times New Roman" w:hint="default"/>
                            <w:sz w:val="20"/>
                            <w:szCs w:val="20"/>
                          </w:rPr>
                        </w:pPr>
                        <w:r>
                          <w:rPr>
                            <w:rFonts w:ascii="Times New Roman"/>
                            <w:b/>
                            <w:w w:val="95"/>
                            <w:sz w:val="20"/>
                          </w:rPr>
                          <w:t>744,997,973.83</w:t>
                        </w:r>
                        <w:r>
                          <w:rPr>
                            <w:rFonts w:ascii="Times New Roman"/>
                            <w:sz w:val="20"/>
                          </w:rPr>
                        </w:r>
                      </w:p>
                    </w:tc>
                  </w:tr>
                  <w:tr>
                    <w:trPr>
                      <w:trHeight w:val="230"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19" w:lineRule="exact"/>
                          <w:ind w:right="370"/>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19" w:lineRule="exact"/>
                          <w:ind w:right="44"/>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15"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19" w:lineRule="exact"/>
                          <w:ind w:right="368"/>
                          <w:jc w:val="right"/>
                          <w:rPr>
                            <w:rFonts w:ascii="Times New Roman" w:hAnsi="Times New Roman" w:cs="Times New Roman" w:eastAsia="Times New Roman" w:hint="default"/>
                            <w:sz w:val="20"/>
                            <w:szCs w:val="20"/>
                          </w:rPr>
                        </w:pPr>
                        <w:r>
                          <w:rPr>
                            <w:rFonts w:ascii="Times New Roman"/>
                            <w:b/>
                            <w:w w:val="95"/>
                            <w:sz w:val="20"/>
                          </w:rPr>
                          <w:t>331,506,834.78</w:t>
                        </w:r>
                        <w:r>
                          <w:rPr>
                            <w:rFonts w:ascii="Times New Roman"/>
                            <w:sz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19" w:lineRule="exact"/>
                          <w:ind w:right="40"/>
                          <w:jc w:val="right"/>
                          <w:rPr>
                            <w:rFonts w:ascii="Times New Roman" w:hAnsi="Times New Roman" w:cs="Times New Roman" w:eastAsia="Times New Roman" w:hint="default"/>
                            <w:sz w:val="20"/>
                            <w:szCs w:val="20"/>
                          </w:rPr>
                        </w:pPr>
                        <w:r>
                          <w:rPr>
                            <w:rFonts w:ascii="Times New Roman"/>
                            <w:b/>
                            <w:w w:val="95"/>
                            <w:sz w:val="20"/>
                          </w:rPr>
                          <w:t>575,165,420.38</w:t>
                        </w:r>
                        <w:r>
                          <w:rPr>
                            <w:rFonts w:ascii="Times New Roman"/>
                            <w:sz w:val="20"/>
                          </w:rPr>
                        </w:r>
                      </w:p>
                    </w:tc>
                  </w:tr>
                </w:tbl>
                <w:p>
                  <w:pPr/>
                </w:p>
              </w:txbxContent>
            </v:textbox>
            <w10:wrap type="none"/>
          </v:shape>
        </w:pict>
      </w:r>
      <w:r>
        <w:rPr>
          <w:rFonts w:ascii="宋体" w:hAnsi="宋体" w:cs="宋体" w:eastAsia="宋体" w:hint="default"/>
          <w:w w:val="95"/>
          <w:position w:val="-12"/>
          <w:sz w:val="20"/>
          <w:szCs w:val="20"/>
        </w:rPr>
        <w:t>支付的现金</w:t>
        <w:tab/>
      </w:r>
      <w:r>
        <w:rPr>
          <w:rFonts w:ascii="Times New Roman" w:hAnsi="Times New Roman" w:cs="Times New Roman" w:eastAsia="Times New Roman" w:hint="default"/>
          <w:sz w:val="20"/>
          <w:szCs w:val="20"/>
        </w:rPr>
        <w:t>522,626,227.6</w:t>
      </w:r>
    </w:p>
    <w:p>
      <w:pPr>
        <w:spacing w:after="0" w:line="90" w:lineRule="exact"/>
        <w:jc w:val="left"/>
        <w:rPr>
          <w:rFonts w:ascii="Times New Roman" w:hAnsi="Times New Roman" w:cs="Times New Roman" w:eastAsia="Times New Roman" w:hint="default"/>
          <w:sz w:val="20"/>
          <w:szCs w:val="20"/>
        </w:rPr>
        <w:sectPr>
          <w:headerReference w:type="default" r:id="rId142"/>
          <w:pgSz w:w="11910" w:h="16840"/>
          <w:pgMar w:header="943" w:footer="897" w:top="1640" w:bottom="1080" w:left="1560" w:right="860"/>
        </w:sectPr>
      </w:pPr>
    </w:p>
    <w:p>
      <w:pPr>
        <w:spacing w:line="240" w:lineRule="auto" w:before="0"/>
        <w:rPr>
          <w:rFonts w:ascii="Times New Roman" w:hAnsi="Times New Roman" w:cs="Times New Roman" w:eastAsia="Times New Roman" w:hint="default"/>
          <w:sz w:val="20"/>
          <w:szCs w:val="20"/>
        </w:rPr>
      </w:pPr>
    </w:p>
    <w:p>
      <w:pPr>
        <w:spacing w:line="331" w:lineRule="auto" w:before="164"/>
        <w:ind w:left="520" w:right="0" w:firstLine="0"/>
        <w:jc w:val="left"/>
        <w:rPr>
          <w:rFonts w:ascii="宋体" w:hAnsi="宋体" w:cs="宋体" w:eastAsia="宋体" w:hint="default"/>
          <w:sz w:val="20"/>
          <w:szCs w:val="20"/>
        </w:rPr>
      </w:pPr>
      <w:r>
        <w:rPr>
          <w:rFonts w:ascii="宋体" w:hAnsi="宋体" w:cs="宋体" w:eastAsia="宋体" w:hint="default"/>
          <w:sz w:val="20"/>
          <w:szCs w:val="20"/>
        </w:rPr>
        <w:t>投资支付的现金</w:t>
      </w:r>
      <w:r>
        <w:rPr>
          <w:rFonts w:ascii="宋体" w:hAnsi="宋体" w:cs="宋体" w:eastAsia="宋体" w:hint="default"/>
          <w:w w:val="99"/>
          <w:sz w:val="20"/>
          <w:szCs w:val="20"/>
        </w:rPr>
        <w:t> </w:t>
      </w:r>
      <w:r>
        <w:rPr>
          <w:rFonts w:ascii="宋体" w:hAnsi="宋体" w:cs="宋体" w:eastAsia="宋体" w:hint="default"/>
          <w:spacing w:val="8"/>
          <w:w w:val="95"/>
          <w:sz w:val="20"/>
          <w:szCs w:val="20"/>
        </w:rPr>
        <w:t>取得子公司及其他营业单位支付的现金净</w:t>
      </w:r>
      <w:r>
        <w:rPr>
          <w:rFonts w:ascii="宋体" w:hAnsi="宋体" w:cs="宋体" w:eastAsia="宋体" w:hint="default"/>
          <w:spacing w:val="8"/>
          <w:sz w:val="20"/>
          <w:szCs w:val="20"/>
        </w:rPr>
      </w:r>
    </w:p>
    <w:p>
      <w:pPr>
        <w:spacing w:line="183" w:lineRule="exact" w:before="0"/>
        <w:ind w:left="321" w:right="0" w:firstLine="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p>
      <w:pPr>
        <w:tabs>
          <w:tab w:pos="4461" w:val="left" w:leader="none"/>
        </w:tabs>
        <w:spacing w:line="331" w:lineRule="auto" w:before="100"/>
        <w:ind w:left="1207" w:right="0" w:hanging="687"/>
        <w:jc w:val="left"/>
        <w:rPr>
          <w:rFonts w:ascii="Microsoft JhengHei" w:hAnsi="Microsoft JhengHei" w:cs="Microsoft JhengHei" w:eastAsia="Microsoft JhengHei" w:hint="default"/>
          <w:sz w:val="20"/>
          <w:szCs w:val="20"/>
        </w:rPr>
      </w:pPr>
      <w:r>
        <w:rPr>
          <w:rFonts w:ascii="宋体" w:hAnsi="宋体" w:cs="宋体" w:eastAsia="宋体" w:hint="default"/>
          <w:w w:val="95"/>
          <w:sz w:val="20"/>
          <w:szCs w:val="20"/>
        </w:rPr>
        <w:t>支付其他与投资活动有关的现金</w:t>
        <w:tab/>
      </w:r>
      <w:r>
        <w:rPr>
          <w:rFonts w:ascii="Garamond" w:hAnsi="Garamond" w:cs="Garamond" w:eastAsia="Garamond" w:hint="default"/>
          <w:w w:val="80"/>
          <w:sz w:val="20"/>
          <w:szCs w:val="20"/>
        </w:rPr>
        <w:t>4</w:t>
      </w:r>
      <w:r>
        <w:rPr>
          <w:rFonts w:ascii="Garamond" w:hAnsi="Garamond" w:cs="Garamond" w:eastAsia="Garamond" w:hint="default"/>
          <w:spacing w:val="-16"/>
          <w:w w:val="80"/>
          <w:sz w:val="20"/>
          <w:szCs w:val="20"/>
        </w:rPr>
        <w:t> </w:t>
      </w:r>
      <w:r>
        <w:rPr>
          <w:rFonts w:ascii="Garamond" w:hAnsi="Garamond" w:cs="Garamond" w:eastAsia="Garamond" w:hint="default"/>
          <w:spacing w:val="-7"/>
          <w:w w:val="80"/>
          <w:sz w:val="20"/>
          <w:szCs w:val="20"/>
        </w:rPr>
        <w:t>8</w:t>
      </w:r>
      <w:r>
        <w:rPr>
          <w:rFonts w:ascii="宋体" w:hAnsi="宋体" w:cs="宋体" w:eastAsia="宋体" w:hint="default"/>
          <w:spacing w:val="-7"/>
          <w:w w:val="80"/>
          <w:sz w:val="20"/>
          <w:szCs w:val="20"/>
        </w:rPr>
        <w:t>（</w:t>
      </w:r>
      <w:r>
        <w:rPr>
          <w:rFonts w:ascii="Garamond" w:hAnsi="Garamond" w:cs="Garamond" w:eastAsia="Garamond" w:hint="default"/>
          <w:spacing w:val="-7"/>
          <w:w w:val="80"/>
          <w:sz w:val="20"/>
          <w:szCs w:val="20"/>
        </w:rPr>
        <w:t>4</w:t>
      </w:r>
      <w:r>
        <w:rPr>
          <w:rFonts w:ascii="宋体" w:hAnsi="宋体" w:cs="宋体" w:eastAsia="宋体" w:hint="default"/>
          <w:spacing w:val="-7"/>
          <w:w w:val="80"/>
          <w:sz w:val="20"/>
          <w:szCs w:val="20"/>
        </w:rPr>
        <w:t>）</w:t>
      </w:r>
      <w:r>
        <w:rPr>
          <w:rFonts w:ascii="宋体" w:hAnsi="宋体" w:cs="宋体" w:eastAsia="宋体" w:hint="default"/>
          <w:w w:val="50"/>
          <w:sz w:val="20"/>
          <w:szCs w:val="20"/>
        </w:rPr>
        <w:t> </w:t>
      </w: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p>
      <w:pPr>
        <w:spacing w:before="11"/>
        <w:ind w:left="904"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p>
      <w:pPr>
        <w:spacing w:line="205" w:lineRule="exact" w:before="0"/>
        <w:ind w:left="321" w:right="0" w:firstLine="0"/>
        <w:jc w:val="left"/>
        <w:rPr>
          <w:rFonts w:ascii="Garamond" w:hAnsi="Garamond" w:cs="Garamond" w:eastAsia="Garamond" w:hint="default"/>
          <w:sz w:val="20"/>
          <w:szCs w:val="20"/>
        </w:rPr>
      </w:pPr>
      <w:r>
        <w:rPr/>
        <w:br w:type="column"/>
      </w:r>
      <w:r>
        <w:rPr>
          <w:rFonts w:ascii="Garamond"/>
          <w:sz w:val="20"/>
        </w:rPr>
        <w:t>675,723,624.60</w:t>
      </w:r>
    </w:p>
    <w:p>
      <w:pPr>
        <w:spacing w:after="0" w:line="205" w:lineRule="exact"/>
        <w:jc w:val="left"/>
        <w:rPr>
          <w:rFonts w:ascii="Garamond" w:hAnsi="Garamond" w:cs="Garamond" w:eastAsia="Garamond" w:hint="default"/>
          <w:sz w:val="20"/>
          <w:szCs w:val="20"/>
        </w:rPr>
        <w:sectPr>
          <w:type w:val="continuous"/>
          <w:pgSz w:w="11910" w:h="16840"/>
          <w:pgMar w:top="1580" w:bottom="280" w:left="1560" w:right="860"/>
          <w:cols w:num="2" w:equalWidth="0">
            <w:col w:w="5005" w:space="2850"/>
            <w:col w:w="1635"/>
          </w:cols>
        </w:sectPr>
      </w:pPr>
    </w:p>
    <w:p>
      <w:pPr>
        <w:spacing w:line="240" w:lineRule="auto" w:before="0"/>
        <w:rPr>
          <w:rFonts w:ascii="Garamond" w:hAnsi="Garamond" w:cs="Garamond" w:eastAsia="Garamond" w:hint="default"/>
          <w:sz w:val="20"/>
          <w:szCs w:val="20"/>
        </w:rPr>
      </w:pPr>
    </w:p>
    <w:p>
      <w:pPr>
        <w:spacing w:line="240" w:lineRule="auto" w:before="6"/>
        <w:rPr>
          <w:rFonts w:ascii="Garamond" w:hAnsi="Garamond" w:cs="Garamond" w:eastAsia="Garamond" w:hint="default"/>
          <w:sz w:val="21"/>
          <w:szCs w:val="21"/>
        </w:rPr>
      </w:pPr>
    </w:p>
    <w:p>
      <w:pPr>
        <w:spacing w:line="20" w:lineRule="exact"/>
        <w:ind w:left="134" w:right="0" w:firstLine="0"/>
        <w:rPr>
          <w:rFonts w:ascii="Garamond" w:hAnsi="Garamond" w:cs="Garamond" w:eastAsia="Garamond" w:hint="default"/>
          <w:sz w:val="2"/>
          <w:szCs w:val="2"/>
        </w:rPr>
      </w:pPr>
      <w:r>
        <w:rPr>
          <w:rFonts w:ascii="Garamond" w:hAnsi="Garamond" w:cs="Garamond" w:eastAsia="Garamond" w:hint="default"/>
          <w:sz w:val="2"/>
          <w:szCs w:val="2"/>
        </w:rPr>
        <w:pict>
          <v:group style="width:459.5pt;height:.5pt;mso-position-horizontal-relative:char;mso-position-vertical-relative:line" coordorigin="0,0" coordsize="9190,10">
            <v:group style="position:absolute;left:5;top:5;width:9180;height:2" coordorigin="5,5" coordsize="9180,2">
              <v:shape style="position:absolute;left:5;top:5;width:9180;height:2" coordorigin="5,5" coordsize="9180,0" path="m5,5l9185,5e" filled="false" stroked="true" strokeweight=".48pt" strokecolor="#000008">
                <v:path arrowok="t"/>
              </v:shape>
            </v:group>
          </v:group>
        </w:pict>
      </w:r>
      <w:r>
        <w:rPr>
          <w:rFonts w:ascii="Garamond" w:hAnsi="Garamond" w:cs="Garamond" w:eastAsia="Garamond" w:hint="default"/>
          <w:sz w:val="2"/>
          <w:szCs w:val="2"/>
        </w:rPr>
      </w:r>
    </w:p>
    <w:p>
      <w:pPr>
        <w:spacing w:after="0" w:line="20" w:lineRule="exact"/>
        <w:rPr>
          <w:rFonts w:ascii="Garamond" w:hAnsi="Garamond" w:cs="Garamond" w:eastAsia="Garamond" w:hint="default"/>
          <w:sz w:val="2"/>
          <w:szCs w:val="2"/>
        </w:rPr>
        <w:sectPr>
          <w:type w:val="continuous"/>
          <w:pgSz w:w="11910" w:h="16840"/>
          <w:pgMar w:top="1580" w:bottom="280" w:left="1560" w:right="860"/>
        </w:sectPr>
      </w:pPr>
    </w:p>
    <w:p>
      <w:pPr>
        <w:spacing w:line="240" w:lineRule="auto" w:before="7"/>
        <w:rPr>
          <w:rFonts w:ascii="Garamond" w:hAnsi="Garamond" w:cs="Garamond" w:eastAsia="Garamond" w:hint="default"/>
          <w:sz w:val="10"/>
          <w:szCs w:val="10"/>
        </w:rPr>
      </w:pPr>
    </w:p>
    <w:p>
      <w:pPr>
        <w:spacing w:line="20" w:lineRule="exact"/>
        <w:ind w:left="112" w:right="0" w:firstLine="0"/>
        <w:rPr>
          <w:rFonts w:ascii="Garamond" w:hAnsi="Garamond" w:cs="Garamond" w:eastAsia="Garamond" w:hint="default"/>
          <w:sz w:val="2"/>
          <w:szCs w:val="2"/>
        </w:rPr>
      </w:pPr>
      <w:r>
        <w:rPr>
          <w:rFonts w:ascii="Garamond" w:hAnsi="Garamond" w:cs="Garamond" w:eastAsia="Garamond" w:hint="default"/>
          <w:sz w:val="2"/>
          <w:szCs w:val="2"/>
        </w:rPr>
        <w:pict>
          <v:group style="width:428.05pt;height:.75pt;mso-position-horizontal-relative:char;mso-position-vertical-relative:line" coordorigin="0,0" coordsize="8561,15">
            <v:group style="position:absolute;left:7;top:7;width:8547;height:2" coordorigin="7,7" coordsize="8547,2">
              <v:shape style="position:absolute;left:7;top:7;width:8547;height:2" coordorigin="7,7" coordsize="8547,0" path="m7,7l8554,7e" filled="false" stroked="true" strokeweight=".72pt" strokecolor="#000008">
                <v:path arrowok="t"/>
              </v:shape>
            </v:group>
          </v:group>
        </w:pict>
      </w:r>
      <w:r>
        <w:rPr>
          <w:rFonts w:ascii="Garamond" w:hAnsi="Garamond" w:cs="Garamond" w:eastAsia="Garamond" w:hint="default"/>
          <w:sz w:val="2"/>
          <w:szCs w:val="2"/>
        </w:rPr>
      </w:r>
    </w:p>
    <w:p>
      <w:pPr>
        <w:spacing w:line="300" w:lineRule="exact" w:before="0"/>
        <w:ind w:left="141" w:right="233"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p>
      <w:pPr>
        <w:spacing w:line="240" w:lineRule="auto" w:before="1"/>
        <w:rPr>
          <w:rFonts w:ascii="Microsoft JhengHei" w:hAnsi="Microsoft JhengHei" w:cs="Microsoft JhengHei" w:eastAsia="Microsoft JhengHei" w:hint="default"/>
          <w:b/>
          <w:bCs/>
          <w:sz w:val="18"/>
          <w:szCs w:val="18"/>
        </w:rPr>
      </w:pPr>
    </w:p>
    <w:tbl>
      <w:tblPr>
        <w:tblW w:w="0" w:type="auto"/>
        <w:jc w:val="left"/>
        <w:tblInd w:w="139" w:type="dxa"/>
        <w:tblLayout w:type="fixed"/>
        <w:tblCellMar>
          <w:top w:w="0" w:type="dxa"/>
          <w:left w:w="0" w:type="dxa"/>
          <w:bottom w:w="0" w:type="dxa"/>
          <w:right w:w="0" w:type="dxa"/>
        </w:tblCellMar>
        <w:tblLook w:val="01E0"/>
      </w:tblPr>
      <w:tblGrid>
        <w:gridCol w:w="7505"/>
        <w:gridCol w:w="1733"/>
      </w:tblGrid>
      <w:tr>
        <w:trPr>
          <w:trHeight w:val="329"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5690" w:val="left" w:leader="none"/>
              </w:tabs>
              <w:spacing w:line="204" w:lineRule="exact"/>
              <w:ind w:right="281"/>
              <w:jc w:val="righ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吸收投资收到的现金</w:t>
              <w:tab/>
            </w:r>
            <w:r>
              <w:rPr>
                <w:rFonts w:ascii="Times New Roman" w:hAnsi="Times New Roman" w:cs="Times New Roman" w:eastAsia="Times New Roman" w:hint="default"/>
                <w:w w:val="95"/>
                <w:sz w:val="20"/>
                <w:szCs w:val="20"/>
              </w:rPr>
              <w:t>54,220,000.00</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04" w:lineRule="exact"/>
              <w:ind w:right="35"/>
              <w:jc w:val="right"/>
              <w:rPr>
                <w:rFonts w:ascii="Times New Roman" w:hAnsi="Times New Roman" w:cs="Times New Roman" w:eastAsia="Times New Roman" w:hint="default"/>
                <w:sz w:val="20"/>
                <w:szCs w:val="20"/>
              </w:rPr>
            </w:pPr>
            <w:r>
              <w:rPr>
                <w:rFonts w:ascii="Times New Roman"/>
                <w:w w:val="95"/>
                <w:sz w:val="20"/>
              </w:rPr>
              <w:t>1,100,390,900.00</w:t>
            </w:r>
            <w:r>
              <w:rPr>
                <w:rFonts w:ascii="Times New Roman"/>
                <w:sz w:val="20"/>
              </w:rPr>
            </w:r>
          </w:p>
        </w:tc>
      </w:tr>
      <w:tr>
        <w:trPr>
          <w:trHeight w:val="458" w:hRule="exact"/>
        </w:trPr>
        <w:tc>
          <w:tcPr>
            <w:tcW w:w="7505" w:type="dxa"/>
            <w:tcBorders>
              <w:top w:val="nil" w:sz="6" w:space="0" w:color="auto"/>
              <w:left w:val="nil" w:sz="6" w:space="0" w:color="auto"/>
              <w:bottom w:val="nil" w:sz="6" w:space="0" w:color="auto"/>
              <w:right w:val="nil" w:sz="6" w:space="0" w:color="auto"/>
            </w:tcBorders>
          </w:tcPr>
          <w:p>
            <w:pPr>
              <w:pStyle w:val="TableParagraph"/>
              <w:spacing w:line="203" w:lineRule="exact"/>
              <w:ind w:left="381"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20"/>
                <w:szCs w:val="20"/>
              </w:rPr>
            </w:pPr>
            <w:r>
              <w:rPr>
                <w:rFonts w:ascii="Times New Roman"/>
                <w:w w:val="95"/>
                <w:sz w:val="20"/>
              </w:rPr>
              <w:t>15,637,500.00</w:t>
            </w:r>
            <w:r>
              <w:rPr>
                <w:rFonts w:ascii="Times New Roman"/>
                <w:sz w:val="20"/>
              </w:rPr>
            </w:r>
          </w:p>
        </w:tc>
      </w:tr>
      <w:tr>
        <w:trPr>
          <w:trHeight w:val="461"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5438" w:val="left" w:leader="none"/>
              </w:tabs>
              <w:spacing w:line="333" w:lineRule="exact"/>
              <w:ind w:right="282"/>
              <w:jc w:val="right"/>
              <w:rPr>
                <w:rFonts w:ascii="Times New Roman" w:hAnsi="Times New Roman" w:cs="Times New Roman" w:eastAsia="Times New Roman" w:hint="default"/>
                <w:sz w:val="20"/>
                <w:szCs w:val="20"/>
              </w:rPr>
            </w:pPr>
            <w:r>
              <w:rPr>
                <w:rFonts w:ascii="宋体" w:hAnsi="宋体" w:cs="宋体" w:eastAsia="宋体" w:hint="default"/>
                <w:w w:val="95"/>
                <w:position w:val="11"/>
                <w:sz w:val="20"/>
                <w:szCs w:val="20"/>
              </w:rPr>
              <w:t>取得借款收到的现金</w:t>
              <w:tab/>
            </w:r>
            <w:r>
              <w:rPr>
                <w:rFonts w:ascii="Times New Roman" w:hAnsi="Times New Roman" w:cs="Times New Roman" w:eastAsia="Times New Roman" w:hint="default"/>
                <w:w w:val="95"/>
                <w:sz w:val="20"/>
                <w:szCs w:val="20"/>
              </w:rPr>
              <w:t>3,408,500,000.00</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5"/>
              <w:jc w:val="right"/>
              <w:rPr>
                <w:rFonts w:ascii="Times New Roman" w:hAnsi="Times New Roman" w:cs="Times New Roman" w:eastAsia="Times New Roman" w:hint="default"/>
                <w:sz w:val="20"/>
                <w:szCs w:val="20"/>
              </w:rPr>
            </w:pPr>
            <w:r>
              <w:rPr>
                <w:rFonts w:ascii="Times New Roman"/>
                <w:w w:val="95"/>
                <w:sz w:val="20"/>
              </w:rPr>
              <w:t>2,143,980,000.00</w:t>
            </w:r>
            <w:r>
              <w:rPr>
                <w:rFonts w:ascii="Times New Roman"/>
                <w:sz w:val="20"/>
              </w:rPr>
            </w:r>
          </w:p>
        </w:tc>
      </w:tr>
      <w:tr>
        <w:trPr>
          <w:trHeight w:val="460"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3940" w:val="left" w:leader="none"/>
                <w:tab w:pos="5769" w:val="left" w:leader="none"/>
              </w:tabs>
              <w:spacing w:line="338" w:lineRule="exact"/>
              <w:ind w:right="301"/>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收到其他与筹资活动有关的现金</w:t>
              <w:tab/>
            </w:r>
            <w:r>
              <w:rPr>
                <w:rFonts w:ascii="Garamond" w:hAnsi="Garamond" w:cs="Garamond" w:eastAsia="Garamond" w:hint="default"/>
                <w:w w:val="80"/>
                <w:sz w:val="20"/>
                <w:szCs w:val="20"/>
              </w:rPr>
              <w:t>4</w:t>
            </w:r>
            <w:r>
              <w:rPr>
                <w:rFonts w:ascii="Garamond" w:hAnsi="Garamond" w:cs="Garamond" w:eastAsia="Garamond" w:hint="default"/>
                <w:spacing w:val="-16"/>
                <w:w w:val="80"/>
                <w:sz w:val="20"/>
                <w:szCs w:val="20"/>
              </w:rPr>
              <w:t> </w:t>
            </w:r>
            <w:r>
              <w:rPr>
                <w:rFonts w:ascii="Garamond" w:hAnsi="Garamond" w:cs="Garamond" w:eastAsia="Garamond" w:hint="default"/>
                <w:spacing w:val="-7"/>
                <w:w w:val="80"/>
                <w:sz w:val="20"/>
                <w:szCs w:val="20"/>
              </w:rPr>
              <w:t>8</w:t>
            </w:r>
            <w:r>
              <w:rPr>
                <w:rFonts w:ascii="宋体" w:hAnsi="宋体" w:cs="宋体" w:eastAsia="宋体" w:hint="default"/>
                <w:spacing w:val="-7"/>
                <w:w w:val="80"/>
                <w:sz w:val="20"/>
                <w:szCs w:val="20"/>
              </w:rPr>
              <w:t>（</w:t>
            </w:r>
            <w:r>
              <w:rPr>
                <w:rFonts w:ascii="Garamond" w:hAnsi="Garamond" w:cs="Garamond" w:eastAsia="Garamond" w:hint="default"/>
                <w:spacing w:val="-7"/>
                <w:w w:val="80"/>
                <w:sz w:val="20"/>
                <w:szCs w:val="20"/>
              </w:rPr>
              <w:t>5</w:t>
            </w:r>
            <w:r>
              <w:rPr>
                <w:rFonts w:ascii="宋体" w:hAnsi="宋体" w:cs="宋体" w:eastAsia="宋体" w:hint="default"/>
                <w:spacing w:val="-7"/>
                <w:w w:val="80"/>
                <w:sz w:val="20"/>
                <w:szCs w:val="20"/>
              </w:rPr>
              <w:t>）</w:t>
              <w:tab/>
            </w:r>
            <w:r>
              <w:rPr>
                <w:rFonts w:ascii="Times New Roman" w:hAnsi="Times New Roman" w:cs="Times New Roman" w:eastAsia="Times New Roman" w:hint="default"/>
                <w:w w:val="95"/>
                <w:position w:val="-11"/>
                <w:sz w:val="20"/>
                <w:szCs w:val="20"/>
              </w:rPr>
              <w:t>8,263,690.00</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Times New Roman" w:hAnsi="Times New Roman" w:cs="Times New Roman" w:eastAsia="Times New Roman" w:hint="default"/>
                <w:sz w:val="20"/>
                <w:szCs w:val="20"/>
              </w:rPr>
            </w:pPr>
            <w:r>
              <w:rPr>
                <w:rFonts w:ascii="Times New Roman"/>
                <w:w w:val="95"/>
                <w:sz w:val="20"/>
              </w:rPr>
              <w:t>94,624,448.90</w:t>
            </w:r>
            <w:r>
              <w:rPr>
                <w:rFonts w:ascii="Times New Roman"/>
                <w:sz w:val="20"/>
              </w:rPr>
            </w:r>
          </w:p>
        </w:tc>
      </w:tr>
      <w:tr>
        <w:trPr>
          <w:trHeight w:val="458"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4738" w:val="left" w:leader="none"/>
              </w:tabs>
              <w:spacing w:line="332" w:lineRule="exact"/>
              <w:ind w:right="295"/>
              <w:jc w:val="righ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position w:val="11"/>
                <w:sz w:val="20"/>
                <w:szCs w:val="20"/>
              </w:rPr>
              <w:t>筹资活动现金流入小计</w:t>
              <w:tab/>
            </w:r>
            <w:r>
              <w:rPr>
                <w:rFonts w:ascii="Times New Roman" w:hAnsi="Times New Roman" w:cs="Times New Roman" w:eastAsia="Times New Roman" w:hint="default"/>
                <w:b/>
                <w:bCs/>
                <w:w w:val="95"/>
                <w:sz w:val="20"/>
                <w:szCs w:val="20"/>
              </w:rPr>
              <w:t>3,470,983,690.00</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48"/>
              <w:jc w:val="right"/>
              <w:rPr>
                <w:rFonts w:ascii="Times New Roman" w:hAnsi="Times New Roman" w:cs="Times New Roman" w:eastAsia="Times New Roman" w:hint="default"/>
                <w:sz w:val="20"/>
                <w:szCs w:val="20"/>
              </w:rPr>
            </w:pPr>
            <w:r>
              <w:rPr>
                <w:rFonts w:ascii="Times New Roman"/>
                <w:b/>
                <w:w w:val="95"/>
                <w:sz w:val="20"/>
              </w:rPr>
              <w:t>3,338,995,348.90</w:t>
            </w:r>
            <w:r>
              <w:rPr>
                <w:rFonts w:ascii="Times New Roman"/>
                <w:sz w:val="20"/>
              </w:rPr>
            </w:r>
          </w:p>
        </w:tc>
      </w:tr>
      <w:tr>
        <w:trPr>
          <w:trHeight w:val="462"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5438" w:val="left" w:leader="none"/>
              </w:tabs>
              <w:spacing w:line="334" w:lineRule="exact"/>
              <w:ind w:right="282"/>
              <w:jc w:val="right"/>
              <w:rPr>
                <w:rFonts w:ascii="Times New Roman" w:hAnsi="Times New Roman" w:cs="Times New Roman" w:eastAsia="Times New Roman" w:hint="default"/>
                <w:sz w:val="20"/>
                <w:szCs w:val="20"/>
              </w:rPr>
            </w:pPr>
            <w:r>
              <w:rPr>
                <w:rFonts w:ascii="宋体" w:hAnsi="宋体" w:cs="宋体" w:eastAsia="宋体" w:hint="default"/>
                <w:w w:val="95"/>
                <w:position w:val="11"/>
                <w:sz w:val="20"/>
                <w:szCs w:val="20"/>
              </w:rPr>
              <w:t>偿还债务支付的现金</w:t>
              <w:tab/>
            </w:r>
            <w:r>
              <w:rPr>
                <w:rFonts w:ascii="Times New Roman" w:hAnsi="Times New Roman" w:cs="Times New Roman" w:eastAsia="Times New Roman" w:hint="default"/>
                <w:w w:val="95"/>
                <w:sz w:val="20"/>
                <w:szCs w:val="20"/>
              </w:rPr>
              <w:t>2,829,889,000.00</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Times New Roman" w:hAnsi="Times New Roman" w:cs="Times New Roman" w:eastAsia="Times New Roman" w:hint="default"/>
                <w:sz w:val="20"/>
                <w:szCs w:val="20"/>
              </w:rPr>
            </w:pPr>
            <w:r>
              <w:rPr>
                <w:rFonts w:ascii="Times New Roman"/>
                <w:w w:val="95"/>
                <w:sz w:val="20"/>
              </w:rPr>
              <w:t>2,379,430,000.00</w:t>
            </w:r>
            <w:r>
              <w:rPr>
                <w:rFonts w:ascii="Times New Roman"/>
                <w:sz w:val="20"/>
              </w:rPr>
            </w:r>
          </w:p>
        </w:tc>
      </w:tr>
      <w:tr>
        <w:trPr>
          <w:trHeight w:val="461"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5589" w:val="left" w:leader="none"/>
              </w:tabs>
              <w:spacing w:line="338" w:lineRule="exact"/>
              <w:ind w:right="280"/>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分配股利、利润或偿付利息支付的现金</w:t>
              <w:tab/>
            </w:r>
            <w:r>
              <w:rPr>
                <w:rFonts w:ascii="Times New Roman" w:hAnsi="Times New Roman" w:cs="Times New Roman" w:eastAsia="Times New Roman" w:hint="default"/>
                <w:w w:val="95"/>
                <w:position w:val="-11"/>
                <w:sz w:val="20"/>
                <w:szCs w:val="20"/>
              </w:rPr>
              <w:t>234,062,010.63</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20"/>
                <w:szCs w:val="20"/>
              </w:rPr>
            </w:pPr>
            <w:r>
              <w:rPr>
                <w:rFonts w:ascii="Times New Roman"/>
                <w:w w:val="95"/>
                <w:sz w:val="20"/>
              </w:rPr>
              <w:t>178,343,651.08</w:t>
            </w:r>
            <w:r>
              <w:rPr>
                <w:rFonts w:ascii="Times New Roman"/>
                <w:sz w:val="20"/>
              </w:rPr>
            </w:r>
          </w:p>
        </w:tc>
      </w:tr>
      <w:tr>
        <w:trPr>
          <w:trHeight w:val="458"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6772" w:val="left" w:leader="none"/>
              </w:tabs>
              <w:spacing w:line="338" w:lineRule="exact"/>
              <w:ind w:right="282"/>
              <w:jc w:val="right"/>
              <w:rPr>
                <w:rFonts w:ascii="Times New Roman" w:hAnsi="Times New Roman" w:cs="Times New Roman" w:eastAsia="Times New Roman" w:hint="default"/>
                <w:sz w:val="20"/>
                <w:szCs w:val="20"/>
              </w:rPr>
            </w:pPr>
            <w:r>
              <w:rPr>
                <w:rFonts w:ascii="宋体" w:hAnsi="宋体" w:cs="宋体" w:eastAsia="宋体" w:hint="default"/>
                <w:spacing w:val="-2"/>
                <w:w w:val="95"/>
                <w:sz w:val="20"/>
                <w:szCs w:val="20"/>
              </w:rPr>
              <w:t>其中：子公司支付给少数股东的股利、利润</w:t>
              <w:tab/>
            </w:r>
            <w:r>
              <w:rPr>
                <w:rFonts w:ascii="Times New Roman" w:hAnsi="Times New Roman" w:cs="Times New Roman" w:eastAsia="Times New Roman" w:hint="default"/>
                <w:w w:val="95"/>
                <w:position w:val="-11"/>
                <w:sz w:val="20"/>
                <w:szCs w:val="20"/>
              </w:rPr>
              <w:t>-</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20"/>
                <w:szCs w:val="20"/>
              </w:rPr>
            </w:pPr>
            <w:r>
              <w:rPr>
                <w:rFonts w:ascii="Times New Roman"/>
                <w:w w:val="95"/>
                <w:sz w:val="20"/>
              </w:rPr>
              <w:t>79,150,668.69</w:t>
            </w:r>
            <w:r>
              <w:rPr>
                <w:rFonts w:ascii="Times New Roman"/>
                <w:sz w:val="20"/>
              </w:rPr>
            </w:r>
          </w:p>
        </w:tc>
      </w:tr>
      <w:tr>
        <w:trPr>
          <w:trHeight w:val="461"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3940" w:val="left" w:leader="none"/>
                <w:tab w:pos="5920" w:val="left" w:leader="none"/>
              </w:tabs>
              <w:spacing w:line="330" w:lineRule="exact"/>
              <w:ind w:right="299"/>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支付其他与筹资活动有关的现金</w:t>
              <w:tab/>
            </w:r>
            <w:r>
              <w:rPr>
                <w:rFonts w:ascii="Garamond" w:hAnsi="Garamond" w:cs="Garamond" w:eastAsia="Garamond" w:hint="default"/>
                <w:w w:val="80"/>
                <w:sz w:val="20"/>
                <w:szCs w:val="20"/>
              </w:rPr>
              <w:t>4</w:t>
            </w:r>
            <w:r>
              <w:rPr>
                <w:rFonts w:ascii="Garamond" w:hAnsi="Garamond" w:cs="Garamond" w:eastAsia="Garamond" w:hint="default"/>
                <w:spacing w:val="-16"/>
                <w:w w:val="80"/>
                <w:sz w:val="20"/>
                <w:szCs w:val="20"/>
              </w:rPr>
              <w:t> </w:t>
            </w:r>
            <w:r>
              <w:rPr>
                <w:rFonts w:ascii="Garamond" w:hAnsi="Garamond" w:cs="Garamond" w:eastAsia="Garamond" w:hint="default"/>
                <w:spacing w:val="-7"/>
                <w:w w:val="80"/>
                <w:sz w:val="20"/>
                <w:szCs w:val="20"/>
              </w:rPr>
              <w:t>8</w:t>
            </w:r>
            <w:r>
              <w:rPr>
                <w:rFonts w:ascii="宋体" w:hAnsi="宋体" w:cs="宋体" w:eastAsia="宋体" w:hint="default"/>
                <w:spacing w:val="-7"/>
                <w:w w:val="80"/>
                <w:sz w:val="20"/>
                <w:szCs w:val="20"/>
              </w:rPr>
              <w:t>（</w:t>
            </w:r>
            <w:r>
              <w:rPr>
                <w:rFonts w:ascii="Garamond" w:hAnsi="Garamond" w:cs="Garamond" w:eastAsia="Garamond" w:hint="default"/>
                <w:spacing w:val="-7"/>
                <w:w w:val="80"/>
                <w:sz w:val="20"/>
                <w:szCs w:val="20"/>
              </w:rPr>
              <w:t>6</w:t>
            </w:r>
            <w:r>
              <w:rPr>
                <w:rFonts w:ascii="宋体" w:hAnsi="宋体" w:cs="宋体" w:eastAsia="宋体" w:hint="default"/>
                <w:spacing w:val="-7"/>
                <w:w w:val="80"/>
                <w:sz w:val="20"/>
                <w:szCs w:val="20"/>
              </w:rPr>
              <w:t>）</w:t>
              <w:tab/>
            </w:r>
            <w:r>
              <w:rPr>
                <w:rFonts w:ascii="Times New Roman" w:hAnsi="Times New Roman" w:cs="Times New Roman" w:eastAsia="Times New Roman" w:hint="default"/>
                <w:w w:val="95"/>
                <w:position w:val="-10"/>
                <w:sz w:val="20"/>
                <w:szCs w:val="20"/>
              </w:rPr>
              <w:t>863,275.19</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4"/>
              <w:jc w:val="right"/>
              <w:rPr>
                <w:rFonts w:ascii="Times New Roman" w:hAnsi="Times New Roman" w:cs="Times New Roman" w:eastAsia="Times New Roman" w:hint="default"/>
                <w:sz w:val="20"/>
                <w:szCs w:val="20"/>
              </w:rPr>
            </w:pPr>
            <w:r>
              <w:rPr>
                <w:rFonts w:ascii="Times New Roman"/>
                <w:w w:val="95"/>
                <w:sz w:val="20"/>
              </w:rPr>
              <w:t>34,474,262.26</w:t>
            </w:r>
            <w:r>
              <w:rPr>
                <w:rFonts w:ascii="Times New Roman"/>
                <w:sz w:val="20"/>
              </w:rPr>
            </w:r>
          </w:p>
        </w:tc>
      </w:tr>
      <w:tr>
        <w:trPr>
          <w:trHeight w:val="461"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4738" w:val="left" w:leader="none"/>
              </w:tabs>
              <w:spacing w:line="336" w:lineRule="exact"/>
              <w:ind w:right="295"/>
              <w:jc w:val="righ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position w:val="12"/>
                <w:sz w:val="20"/>
                <w:szCs w:val="20"/>
              </w:rPr>
              <w:t>筹资活动现金流出小计</w:t>
              <w:tab/>
            </w:r>
            <w:r>
              <w:rPr>
                <w:rFonts w:ascii="Times New Roman" w:hAnsi="Times New Roman" w:cs="Times New Roman" w:eastAsia="Times New Roman" w:hint="default"/>
                <w:b/>
                <w:bCs/>
                <w:w w:val="95"/>
                <w:sz w:val="20"/>
                <w:szCs w:val="20"/>
              </w:rPr>
              <w:t>3,064,814,285.82</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8"/>
              <w:jc w:val="right"/>
              <w:rPr>
                <w:rFonts w:ascii="Times New Roman" w:hAnsi="Times New Roman" w:cs="Times New Roman" w:eastAsia="Times New Roman" w:hint="default"/>
                <w:sz w:val="20"/>
                <w:szCs w:val="20"/>
              </w:rPr>
            </w:pPr>
            <w:r>
              <w:rPr>
                <w:rFonts w:ascii="Times New Roman"/>
                <w:b/>
                <w:w w:val="95"/>
                <w:sz w:val="20"/>
              </w:rPr>
              <w:t>2,592,247,913.34</w:t>
            </w:r>
            <w:r>
              <w:rPr>
                <w:rFonts w:ascii="Times New Roman"/>
                <w:sz w:val="20"/>
              </w:rPr>
            </w:r>
          </w:p>
        </w:tc>
      </w:tr>
      <w:tr>
        <w:trPr>
          <w:trHeight w:val="458"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5192" w:val="left" w:leader="none"/>
              </w:tabs>
              <w:spacing w:line="333" w:lineRule="exact"/>
              <w:ind w:right="293"/>
              <w:jc w:val="righ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position w:val="12"/>
                <w:sz w:val="20"/>
                <w:szCs w:val="20"/>
              </w:rPr>
              <w:t>筹资活动产生的现金流量净额</w:t>
              <w:tab/>
            </w:r>
            <w:r>
              <w:rPr>
                <w:rFonts w:ascii="Times New Roman" w:hAnsi="Times New Roman" w:cs="Times New Roman" w:eastAsia="Times New Roman" w:hint="default"/>
                <w:b/>
                <w:bCs/>
                <w:w w:val="95"/>
                <w:sz w:val="20"/>
                <w:szCs w:val="20"/>
              </w:rPr>
              <w:t>406,169,404.18</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6"/>
              <w:jc w:val="right"/>
              <w:rPr>
                <w:rFonts w:ascii="Times New Roman" w:hAnsi="Times New Roman" w:cs="Times New Roman" w:eastAsia="Times New Roman" w:hint="default"/>
                <w:sz w:val="20"/>
                <w:szCs w:val="20"/>
              </w:rPr>
            </w:pPr>
            <w:r>
              <w:rPr>
                <w:rFonts w:ascii="Times New Roman"/>
                <w:b/>
                <w:w w:val="95"/>
                <w:sz w:val="20"/>
              </w:rPr>
              <w:t>746,747,435.56</w:t>
            </w:r>
            <w:r>
              <w:rPr>
                <w:rFonts w:ascii="Times New Roman"/>
                <w:sz w:val="20"/>
              </w:rPr>
            </w:r>
          </w:p>
        </w:tc>
      </w:tr>
      <w:tr>
        <w:trPr>
          <w:trHeight w:val="461"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6333" w:val="left" w:leader="none"/>
              </w:tabs>
              <w:spacing w:line="330" w:lineRule="exact"/>
              <w:ind w:right="299"/>
              <w:jc w:val="righ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z w:val="20"/>
                <w:szCs w:val="20"/>
              </w:rPr>
              <w:t>四、汇率变动对现金及现金等价物的影响</w:t>
              <w:tab/>
            </w:r>
            <w:r>
              <w:rPr>
                <w:rFonts w:ascii="Times New Roman" w:hAnsi="Times New Roman" w:cs="Times New Roman" w:eastAsia="Times New Roman" w:hint="default"/>
                <w:w w:val="95"/>
                <w:position w:val="-10"/>
                <w:sz w:val="20"/>
                <w:szCs w:val="20"/>
              </w:rPr>
              <w:t>-93,027.61</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4"/>
              <w:jc w:val="right"/>
              <w:rPr>
                <w:rFonts w:ascii="Times New Roman" w:hAnsi="Times New Roman" w:cs="Times New Roman" w:eastAsia="Times New Roman" w:hint="default"/>
                <w:sz w:val="20"/>
                <w:szCs w:val="20"/>
              </w:rPr>
            </w:pPr>
            <w:r>
              <w:rPr>
                <w:rFonts w:ascii="Times New Roman"/>
                <w:w w:val="95"/>
                <w:sz w:val="20"/>
              </w:rPr>
              <w:t>-1,776,327.61</w:t>
            </w:r>
            <w:r>
              <w:rPr>
                <w:rFonts w:ascii="Times New Roman"/>
                <w:sz w:val="20"/>
              </w:rPr>
            </w:r>
          </w:p>
        </w:tc>
      </w:tr>
      <w:tr>
        <w:trPr>
          <w:trHeight w:val="461"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5955" w:val="left" w:leader="none"/>
              </w:tabs>
              <w:spacing w:line="338" w:lineRule="exact"/>
              <w:ind w:right="293"/>
              <w:jc w:val="righ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z w:val="20"/>
                <w:szCs w:val="20"/>
              </w:rPr>
              <w:t>五、现金及现金等价物净增加额</w:t>
              <w:tab/>
            </w:r>
            <w:r>
              <w:rPr>
                <w:rFonts w:ascii="Times New Roman" w:hAnsi="Times New Roman" w:cs="Times New Roman" w:eastAsia="Times New Roman" w:hint="default"/>
                <w:b/>
                <w:bCs/>
                <w:w w:val="95"/>
                <w:position w:val="-11"/>
                <w:sz w:val="20"/>
                <w:szCs w:val="20"/>
              </w:rPr>
              <w:t>591,082,429.46</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6"/>
              <w:jc w:val="right"/>
              <w:rPr>
                <w:rFonts w:ascii="Times New Roman" w:hAnsi="Times New Roman" w:cs="Times New Roman" w:eastAsia="Times New Roman" w:hint="default"/>
                <w:sz w:val="20"/>
                <w:szCs w:val="20"/>
              </w:rPr>
            </w:pPr>
            <w:r>
              <w:rPr>
                <w:rFonts w:ascii="Times New Roman"/>
                <w:b/>
                <w:w w:val="95"/>
                <w:sz w:val="20"/>
              </w:rPr>
              <w:t>448,634,294.60</w:t>
            </w:r>
            <w:r>
              <w:rPr>
                <w:rFonts w:ascii="Times New Roman"/>
                <w:sz w:val="20"/>
              </w:rPr>
            </w:r>
          </w:p>
        </w:tc>
      </w:tr>
      <w:tr>
        <w:trPr>
          <w:trHeight w:val="458" w:hRule="exact"/>
        </w:trPr>
        <w:tc>
          <w:tcPr>
            <w:tcW w:w="7505" w:type="dxa"/>
            <w:tcBorders>
              <w:top w:val="nil" w:sz="6" w:space="0" w:color="auto"/>
              <w:left w:val="nil" w:sz="6" w:space="0" w:color="auto"/>
              <w:bottom w:val="nil" w:sz="6" w:space="0" w:color="auto"/>
              <w:right w:val="nil" w:sz="6" w:space="0" w:color="auto"/>
            </w:tcBorders>
          </w:tcPr>
          <w:p>
            <w:pPr>
              <w:pStyle w:val="TableParagraph"/>
              <w:tabs>
                <w:tab w:pos="5425" w:val="left" w:leader="none"/>
              </w:tabs>
              <w:spacing w:line="333" w:lineRule="exact"/>
              <w:ind w:right="295"/>
              <w:jc w:val="righ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加：期初现金及现金等价物余额</w:t>
              <w:tab/>
            </w:r>
            <w:r>
              <w:rPr>
                <w:rFonts w:ascii="Times New Roman" w:hAnsi="Times New Roman" w:cs="Times New Roman" w:eastAsia="Times New Roman" w:hint="default"/>
                <w:b/>
                <w:bCs/>
                <w:w w:val="95"/>
                <w:sz w:val="20"/>
                <w:szCs w:val="20"/>
              </w:rPr>
              <w:t>1,561,216,665.69</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6"/>
              <w:jc w:val="right"/>
              <w:rPr>
                <w:rFonts w:ascii="Times New Roman" w:hAnsi="Times New Roman" w:cs="Times New Roman" w:eastAsia="Times New Roman" w:hint="default"/>
                <w:sz w:val="20"/>
                <w:szCs w:val="20"/>
              </w:rPr>
            </w:pPr>
            <w:r>
              <w:rPr>
                <w:rFonts w:ascii="Times New Roman"/>
                <w:b/>
                <w:spacing w:val="-1"/>
                <w:sz w:val="20"/>
              </w:rPr>
              <w:t>1,112,582,371.09</w:t>
            </w:r>
            <w:r>
              <w:rPr>
                <w:rFonts w:ascii="Times New Roman"/>
                <w:spacing w:val="-1"/>
                <w:sz w:val="20"/>
              </w:rPr>
            </w:r>
          </w:p>
        </w:tc>
      </w:tr>
      <w:tr>
        <w:trPr>
          <w:trHeight w:val="338" w:hRule="exact"/>
        </w:trPr>
        <w:tc>
          <w:tcPr>
            <w:tcW w:w="7505" w:type="dxa"/>
            <w:tcBorders>
              <w:top w:val="nil" w:sz="6" w:space="0" w:color="auto"/>
              <w:left w:val="nil" w:sz="6" w:space="0" w:color="auto"/>
              <w:bottom w:val="single" w:sz="4" w:space="0" w:color="000008"/>
              <w:right w:val="nil" w:sz="6" w:space="0" w:color="auto"/>
            </w:tcBorders>
          </w:tcPr>
          <w:p>
            <w:pPr>
              <w:pStyle w:val="TableParagraph"/>
              <w:tabs>
                <w:tab w:pos="5804" w:val="left" w:leader="none"/>
              </w:tabs>
              <w:spacing w:line="333" w:lineRule="exact"/>
              <w:ind w:right="295"/>
              <w:jc w:val="righ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position w:val="11"/>
                <w:sz w:val="20"/>
                <w:szCs w:val="20"/>
              </w:rPr>
              <w:t>六、期末现金及现金等价物余额</w:t>
              <w:tab/>
            </w:r>
            <w:r>
              <w:rPr>
                <w:rFonts w:ascii="Times New Roman" w:hAnsi="Times New Roman" w:cs="Times New Roman" w:eastAsia="Times New Roman" w:hint="default"/>
                <w:b/>
                <w:bCs/>
                <w:w w:val="95"/>
                <w:sz w:val="20"/>
                <w:szCs w:val="20"/>
              </w:rPr>
              <w:t>2,152,299,095.15</w:t>
            </w:r>
            <w:r>
              <w:rPr>
                <w:rFonts w:ascii="Times New Roman" w:hAnsi="Times New Roman" w:cs="Times New Roman" w:eastAsia="Times New Roman" w:hint="default"/>
                <w:sz w:val="20"/>
                <w:szCs w:val="20"/>
              </w:rPr>
            </w:r>
          </w:p>
        </w:tc>
        <w:tc>
          <w:tcPr>
            <w:tcW w:w="1733" w:type="dxa"/>
            <w:tcBorders>
              <w:top w:val="nil" w:sz="6" w:space="0" w:color="auto"/>
              <w:left w:val="nil" w:sz="6" w:space="0" w:color="auto"/>
              <w:bottom w:val="single" w:sz="4" w:space="0" w:color="000008"/>
              <w:right w:val="nil" w:sz="6" w:space="0" w:color="auto"/>
            </w:tcBorders>
          </w:tcPr>
          <w:p>
            <w:pPr>
              <w:pStyle w:val="TableParagraph"/>
              <w:spacing w:line="240" w:lineRule="auto" w:before="103"/>
              <w:ind w:right="48"/>
              <w:jc w:val="right"/>
              <w:rPr>
                <w:rFonts w:ascii="Times New Roman" w:hAnsi="Times New Roman" w:cs="Times New Roman" w:eastAsia="Times New Roman" w:hint="default"/>
                <w:sz w:val="20"/>
                <w:szCs w:val="20"/>
              </w:rPr>
            </w:pPr>
            <w:r>
              <w:rPr>
                <w:rFonts w:ascii="Times New Roman"/>
                <w:b/>
                <w:w w:val="95"/>
                <w:sz w:val="20"/>
              </w:rPr>
              <w:t>1,561,216,665.69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143"/>
          <w:pgSz w:w="11910" w:h="16840"/>
          <w:pgMar w:header="943" w:footer="897" w:top="1500" w:bottom="1080" w:left="1560" w:right="86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6"/>
        <w:ind w:right="98"/>
        <w:jc w:val="center"/>
        <w:rPr>
          <w:b w:val="0"/>
          <w:bCs w:val="0"/>
        </w:rPr>
      </w:pPr>
      <w:r>
        <w:rPr/>
        <w:t>合并所有者权益变动表</w:t>
      </w:r>
      <w:r>
        <w:rPr>
          <w:b w:val="0"/>
          <w:bCs w:val="0"/>
        </w:rPr>
      </w:r>
    </w:p>
    <w:p>
      <w:pPr>
        <w:spacing w:before="199"/>
        <w:ind w:left="0" w:right="97"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13096" w:val="left" w:leader="none"/>
        </w:tabs>
        <w:spacing w:before="168"/>
        <w:ind w:left="0" w:right="98"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tab/>
        <w:t>金额单位：人民币元</w:t>
      </w:r>
      <w:r>
        <w:rPr>
          <w:rFonts w:ascii="Microsoft JhengHei" w:hAnsi="Microsoft JhengHei" w:cs="Microsoft JhengHei" w:eastAsia="Microsoft JhengHei" w:hint="default"/>
          <w:sz w:val="20"/>
          <w:szCs w:val="20"/>
        </w:rPr>
      </w:r>
    </w:p>
    <w:p>
      <w:pPr>
        <w:spacing w:line="240" w:lineRule="auto" w:before="5"/>
        <w:rPr>
          <w:rFonts w:ascii="Microsoft JhengHei" w:hAnsi="Microsoft JhengHei" w:cs="Microsoft JhengHei" w:eastAsia="Microsoft JhengHei"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2107"/>
        <w:gridCol w:w="2218"/>
        <w:gridCol w:w="1618"/>
        <w:gridCol w:w="1248"/>
        <w:gridCol w:w="1080"/>
        <w:gridCol w:w="1466"/>
        <w:gridCol w:w="1594"/>
        <w:gridCol w:w="540"/>
        <w:gridCol w:w="1466"/>
        <w:gridCol w:w="1783"/>
      </w:tblGrid>
      <w:tr>
        <w:trPr>
          <w:trHeight w:val="56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tabs>
                <w:tab w:pos="1699" w:val="left" w:leader="none"/>
              </w:tabs>
              <w:spacing w:line="240" w:lineRule="auto" w:before="55"/>
              <w:ind w:left="29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9763" w:type="dxa"/>
            <w:gridSpan w:val="7"/>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w:t>
            </w:r>
            <w:r>
              <w:rPr>
                <w:rFonts w:ascii="Microsoft JhengHei" w:hAnsi="Microsoft JhengHei" w:cs="Microsoft JhengHei" w:eastAsia="Microsoft JhengHei" w:hint="default"/>
                <w:sz w:val="20"/>
                <w:szCs w:val="20"/>
              </w:rPr>
            </w:r>
          </w:p>
        </w:tc>
        <w:tc>
          <w:tcPr>
            <w:tcW w:w="1466"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12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少数股东权益</w:t>
            </w:r>
            <w:r>
              <w:rPr>
                <w:rFonts w:ascii="Microsoft JhengHei" w:hAnsi="Microsoft JhengHei" w:cs="Microsoft JhengHei" w:eastAsia="Microsoft JhengHei" w:hint="default"/>
                <w:sz w:val="20"/>
                <w:szCs w:val="20"/>
              </w:rPr>
            </w:r>
          </w:p>
        </w:tc>
        <w:tc>
          <w:tcPr>
            <w:tcW w:w="1783"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18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554" w:hRule="exact"/>
        </w:trPr>
        <w:tc>
          <w:tcPr>
            <w:tcW w:w="2107" w:type="dxa"/>
            <w:tcBorders>
              <w:top w:val="single" w:sz="4" w:space="0" w:color="000008"/>
              <w:left w:val="single" w:sz="4" w:space="0" w:color="000008"/>
              <w:bottom w:val="single" w:sz="4" w:space="0" w:color="000008"/>
              <w:right w:val="single" w:sz="4" w:space="0" w:color="000008"/>
            </w:tcBorders>
          </w:tcPr>
          <w:p>
            <w:pP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left="1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实收资本（或股本）</w:t>
            </w:r>
            <w:r>
              <w:rPr>
                <w:rFonts w:ascii="Microsoft JhengHei" w:hAnsi="Microsoft JhengHei" w:cs="Microsoft JhengHei" w:eastAsia="Microsoft JhengHei" w:hint="default"/>
                <w:sz w:val="20"/>
                <w:szCs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left="4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11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减：库存股</w:t>
            </w:r>
            <w:r>
              <w:rPr>
                <w:rFonts w:ascii="Microsoft JhengHei" w:hAnsi="Microsoft JhengHei" w:cs="Microsoft JhengHei" w:eastAsia="Microsoft JhengHei" w:hint="default"/>
                <w:sz w:val="20"/>
                <w:szCs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13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专项储备</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left="3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left="2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177" w:lineRule="auto"/>
              <w:ind w:left="165" w:right="16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它</w:t>
            </w:r>
            <w:r>
              <w:rPr>
                <w:rFonts w:ascii="Microsoft JhengHei" w:hAnsi="Microsoft JhengHei" w:cs="Microsoft JhengHei" w:eastAsia="Microsoft JhengHei" w:hint="default"/>
                <w:sz w:val="20"/>
                <w:szCs w:val="20"/>
              </w:rPr>
            </w:r>
          </w:p>
        </w:tc>
        <w:tc>
          <w:tcPr>
            <w:tcW w:w="1466" w:type="dxa"/>
            <w:vMerge/>
            <w:tcBorders>
              <w:left w:val="single" w:sz="4" w:space="0" w:color="000008"/>
              <w:bottom w:val="single" w:sz="4" w:space="0" w:color="000008"/>
              <w:right w:val="single" w:sz="4" w:space="0" w:color="000008"/>
            </w:tcBorders>
          </w:tcPr>
          <w:p>
            <w:pPr/>
          </w:p>
        </w:tc>
        <w:tc>
          <w:tcPr>
            <w:tcW w:w="1783" w:type="dxa"/>
            <w:vMerge/>
            <w:tcBorders>
              <w:left w:val="single" w:sz="4" w:space="0" w:color="000008"/>
              <w:bottom w:val="single" w:sz="4" w:space="0" w:color="000008"/>
              <w:right w:val="single" w:sz="4" w:space="0" w:color="000008"/>
            </w:tcBorders>
          </w:tcPr>
          <w:p>
            <w:pP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288" w:right="-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452,063,442.00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1,942,601,653.50</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92,420,935.37</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354,959,339.36</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566,615,361.35</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5"/>
                <w:sz w:val="20"/>
              </w:rPr>
              <w:t>3,408,660,731.58</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left="396"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left="794"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01"/>
              <w:jc w:val="right"/>
              <w:rPr>
                <w:rFonts w:ascii="宋体" w:hAnsi="宋体" w:cs="宋体" w:eastAsia="宋体" w:hint="default"/>
                <w:sz w:val="20"/>
                <w:szCs w:val="20"/>
              </w:rPr>
            </w:pPr>
            <w:r>
              <w:rPr>
                <w:rFonts w:ascii="宋体" w:hAnsi="宋体" w:cs="宋体" w:eastAsia="宋体" w:hint="default"/>
                <w:w w:val="95"/>
                <w:sz w:val="20"/>
                <w:szCs w:val="20"/>
              </w:rPr>
              <w:t>其它</w:t>
            </w:r>
            <w:r>
              <w:rPr>
                <w:rFonts w:ascii="宋体" w:hAnsi="宋体" w:cs="宋体" w:eastAsia="宋体"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3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452,063,442.00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1,942,601,653.50</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92,420,935.37</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354,959,339.36</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566,615,361.35</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5"/>
                <w:sz w:val="20"/>
              </w:rPr>
              <w:t>3,408,660,731.58</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08" w:lineRule="exact"/>
              <w:ind w:left="184" w:right="0" w:firstLine="16"/>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三、本年增减变动金</w:t>
            </w:r>
            <w:r>
              <w:rPr>
                <w:rFonts w:ascii="Microsoft JhengHei" w:hAnsi="Microsoft JhengHei" w:cs="Microsoft JhengHei" w:eastAsia="Microsoft JhengHei" w:hint="default"/>
                <w:sz w:val="20"/>
                <w:szCs w:val="20"/>
              </w:rPr>
            </w:r>
          </w:p>
          <w:p>
            <w:pPr>
              <w:pStyle w:val="TableParagraph"/>
              <w:spacing w:line="304" w:lineRule="exact"/>
              <w:ind w:left="18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额(减少以“-”号列</w:t>
            </w:r>
            <w:r>
              <w:rPr>
                <w:rFonts w:ascii="Microsoft JhengHei" w:hAnsi="Microsoft JhengHei" w:cs="Microsoft JhengHei" w:eastAsia="Microsoft JhengHei"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316,444,409.00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-290,880,080.20</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11,862,824.76</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5,515,292.94</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16,388,092.17</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5"/>
                <w:sz w:val="20"/>
              </w:rPr>
              <w:t>59,330,538.67</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left="106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净利润</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85,187,634.00</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71,295,768.35</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156,483,402.35</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left="46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宋体" w:hAnsi="宋体" w:cs="宋体" w:eastAsia="宋体" w:hint="default"/>
                <w:sz w:val="20"/>
                <w:szCs w:val="20"/>
              </w:rPr>
              <w:t>其它综合收益</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23,307,055.36</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5"/>
                <w:sz w:val="20"/>
              </w:rPr>
              <w:t>23,307,055.36</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288" w:right="-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w:t>
            </w:r>
            <w:r>
              <w:rPr>
                <w:rFonts w:ascii="Microsoft JhengHei" w:hAnsi="Microsoft JhengHei" w:cs="Microsoft JhengHei" w:eastAsia="Microsoft JhengHei" w:hint="default"/>
                <w:sz w:val="20"/>
                <w:szCs w:val="20"/>
              </w:rPr>
            </w:r>
          </w:p>
          <w:p>
            <w:pPr>
              <w:pStyle w:val="TableParagraph"/>
              <w:spacing w:line="304"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小计</w:t>
            </w:r>
            <w:r>
              <w:rPr>
                <w:rFonts w:ascii="Microsoft JhengHei" w:hAnsi="Microsoft JhengHei" w:cs="Microsoft JhengHei" w:eastAsia="Microsoft JhengHei"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23,307,055.36</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85,187,634.00</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71,295,768.35</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179,790,457.71</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36" w:lineRule="exact"/>
              <w:ind w:left="26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r>
              <w:rPr>
                <w:rFonts w:ascii="宋体" w:hAnsi="宋体" w:cs="宋体" w:eastAsia="宋体" w:hint="default"/>
                <w:sz w:val="20"/>
                <w:szCs w:val="20"/>
              </w:rPr>
              <w:t>所有者投入和减</w:t>
            </w:r>
          </w:p>
          <w:p>
            <w:pPr>
              <w:pStyle w:val="TableParagraph"/>
              <w:spacing w:line="253" w:lineRule="exact"/>
              <w:ind w:left="1195" w:right="0"/>
              <w:jc w:val="left"/>
              <w:rPr>
                <w:rFonts w:ascii="宋体" w:hAnsi="宋体" w:cs="宋体" w:eastAsia="宋体" w:hint="default"/>
                <w:sz w:val="20"/>
                <w:szCs w:val="20"/>
              </w:rPr>
            </w:pPr>
            <w:r>
              <w:rPr>
                <w:rFonts w:ascii="宋体" w:hAnsi="宋体" w:cs="宋体" w:eastAsia="宋体" w:hint="default"/>
                <w:sz w:val="20"/>
                <w:szCs w:val="20"/>
              </w:rPr>
              <w:t>少的资本</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2,257,273.44</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-19,104,559.75</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-16,847,286.31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144"/>
          <w:footerReference w:type="default" r:id="rId145"/>
          <w:pgSz w:w="16840" w:h="11910" w:orient="landscape"/>
          <w:pgMar w:header="943" w:footer="896" w:top="1640" w:bottom="1080" w:left="940" w:right="440"/>
          <w:pgNumType w:start="103"/>
        </w:sectPr>
      </w:pPr>
    </w:p>
    <w:p>
      <w:pPr>
        <w:spacing w:line="240" w:lineRule="auto" w:before="1"/>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107"/>
        <w:gridCol w:w="2218"/>
        <w:gridCol w:w="1618"/>
        <w:gridCol w:w="1248"/>
        <w:gridCol w:w="1080"/>
        <w:gridCol w:w="1466"/>
        <w:gridCol w:w="1594"/>
        <w:gridCol w:w="540"/>
        <w:gridCol w:w="1466"/>
        <w:gridCol w:w="1783"/>
      </w:tblGrid>
      <w:tr>
        <w:trPr>
          <w:trHeight w:val="516" w:hRule="exact"/>
        </w:trPr>
        <w:tc>
          <w:tcPr>
            <w:tcW w:w="2107"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95"/>
              <w:ind w:right="101"/>
              <w:jc w:val="righ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1</w:t>
            </w:r>
            <w:r>
              <w:rPr>
                <w:rFonts w:ascii="宋体" w:hAnsi="宋体" w:cs="宋体" w:eastAsia="宋体" w:hint="default"/>
                <w:spacing w:val="-1"/>
                <w:w w:val="95"/>
                <w:sz w:val="20"/>
                <w:szCs w:val="20"/>
              </w:rPr>
              <w:t>、所有者投入资本</w:t>
            </w:r>
            <w:r>
              <w:rPr>
                <w:rFonts w:ascii="宋体" w:hAnsi="宋体" w:cs="宋体" w:eastAsia="宋体" w:hint="default"/>
                <w:spacing w:val="-1"/>
                <w:sz w:val="20"/>
                <w:szCs w:val="20"/>
              </w:rPr>
            </w:r>
          </w:p>
        </w:tc>
        <w:tc>
          <w:tcPr>
            <w:tcW w:w="2218"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nil" w:sz="6" w:space="0" w:color="auto"/>
              <w:left w:val="single" w:sz="4" w:space="0" w:color="000008"/>
              <w:bottom w:val="single" w:sz="4" w:space="0" w:color="000008"/>
              <w:right w:val="single" w:sz="4" w:space="0" w:color="000008"/>
            </w:tcBorders>
          </w:tcPr>
          <w:p>
            <w:pPr/>
          </w:p>
        </w:tc>
        <w:tc>
          <w:tcPr>
            <w:tcW w:w="1248"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97"/>
              <w:jc w:val="right"/>
              <w:rPr>
                <w:rFonts w:ascii="Times New Roman" w:hAnsi="Times New Roman" w:cs="Times New Roman" w:eastAsia="Times New Roman" w:hint="default"/>
                <w:sz w:val="20"/>
                <w:szCs w:val="20"/>
              </w:rPr>
            </w:pPr>
            <w:r>
              <w:rPr>
                <w:rFonts w:ascii="Times New Roman"/>
                <w:w w:val="95"/>
                <w:sz w:val="20"/>
              </w:rPr>
              <w:t>54,036,891.78</w:t>
            </w:r>
            <w:r>
              <w:rPr>
                <w:rFonts w:ascii="Times New Roman"/>
                <w:sz w:val="20"/>
              </w:rPr>
            </w:r>
          </w:p>
        </w:tc>
        <w:tc>
          <w:tcPr>
            <w:tcW w:w="1783"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96"/>
              <w:jc w:val="right"/>
              <w:rPr>
                <w:rFonts w:ascii="Times New Roman" w:hAnsi="Times New Roman" w:cs="Times New Roman" w:eastAsia="Times New Roman" w:hint="default"/>
                <w:sz w:val="20"/>
                <w:szCs w:val="20"/>
              </w:rPr>
            </w:pPr>
            <w:r>
              <w:rPr>
                <w:rFonts w:ascii="Times New Roman"/>
                <w:b/>
                <w:w w:val="95"/>
                <w:sz w:val="20"/>
              </w:rPr>
              <w:t>54,036,891.78</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595" w:right="0" w:hanging="293"/>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、股份支付计入所</w:t>
            </w:r>
          </w:p>
          <w:p>
            <w:pPr>
              <w:pStyle w:val="TableParagraph"/>
              <w:spacing w:line="254" w:lineRule="exact"/>
              <w:ind w:left="595" w:right="0"/>
              <w:jc w:val="left"/>
              <w:rPr>
                <w:rFonts w:ascii="宋体" w:hAnsi="宋体" w:cs="宋体" w:eastAsia="宋体" w:hint="default"/>
                <w:sz w:val="20"/>
                <w:szCs w:val="20"/>
              </w:rPr>
            </w:pPr>
            <w:r>
              <w:rPr>
                <w:rFonts w:ascii="宋体" w:hAnsi="宋体" w:cs="宋体" w:eastAsia="宋体" w:hint="default"/>
                <w:sz w:val="20"/>
                <w:szCs w:val="20"/>
              </w:rPr>
              <w:t>有者权益的金额</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3"/>
              <w:jc w:val="righ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3</w:t>
            </w:r>
            <w:r>
              <w:rPr>
                <w:rFonts w:ascii="宋体" w:hAnsi="宋体" w:cs="宋体" w:eastAsia="宋体" w:hint="default"/>
                <w:spacing w:val="-1"/>
                <w:w w:val="95"/>
                <w:sz w:val="20"/>
                <w:szCs w:val="20"/>
              </w:rPr>
              <w:t>、其他</w:t>
            </w:r>
            <w:r>
              <w:rPr>
                <w:rFonts w:ascii="宋体" w:hAnsi="宋体" w:cs="宋体" w:eastAsia="宋体" w:hint="default"/>
                <w:spacing w:val="-1"/>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2,257,273.44</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-73,141,451.53</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5"/>
                <w:sz w:val="20"/>
              </w:rPr>
              <w:t>-70,884,178.09</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03"/>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四</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利润分配</w:t>
            </w:r>
            <w:r>
              <w:rPr>
                <w:rFonts w:ascii="宋体" w:hAnsi="宋体" w:cs="宋体" w:eastAsia="宋体"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11,862,824.76</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-79,672,341.06</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-35,803,116.43</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-103,612,632.73</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、提取盈余公积</w:t>
            </w:r>
            <w:r>
              <w:rPr>
                <w:rFonts w:ascii="宋体" w:hAnsi="宋体" w:cs="宋体" w:eastAsia="宋体"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11,862,824.76</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-11,862,824.76</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3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、对所有者（或股</w:t>
            </w:r>
          </w:p>
          <w:p>
            <w:pPr>
              <w:pStyle w:val="TableParagraph"/>
              <w:spacing w:line="254" w:lineRule="exact"/>
              <w:ind w:left="996" w:right="0"/>
              <w:jc w:val="left"/>
              <w:rPr>
                <w:rFonts w:ascii="宋体" w:hAnsi="宋体" w:cs="宋体" w:eastAsia="宋体" w:hint="default"/>
                <w:sz w:val="20"/>
                <w:szCs w:val="20"/>
              </w:rPr>
            </w:pPr>
            <w:r>
              <w:rPr>
                <w:rFonts w:ascii="宋体" w:hAnsi="宋体" w:cs="宋体" w:eastAsia="宋体" w:hint="default"/>
                <w:sz w:val="20"/>
                <w:szCs w:val="20"/>
              </w:rPr>
              <w:t>东）的分配</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-67,809,516.30</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-35,803,116.43</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-103,612,632.73</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3"/>
              <w:jc w:val="righ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3</w:t>
            </w:r>
            <w:r>
              <w:rPr>
                <w:rFonts w:ascii="宋体" w:hAnsi="宋体" w:cs="宋体" w:eastAsia="宋体" w:hint="default"/>
                <w:spacing w:val="-1"/>
                <w:w w:val="95"/>
                <w:sz w:val="20"/>
                <w:szCs w:val="20"/>
              </w:rPr>
              <w:t>、其它</w:t>
            </w:r>
            <w:r>
              <w:rPr>
                <w:rFonts w:ascii="宋体" w:hAnsi="宋体" w:cs="宋体" w:eastAsia="宋体" w:hint="default"/>
                <w:spacing w:val="-1"/>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10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所有者权益内部</w:t>
            </w:r>
            <w:r>
              <w:rPr>
                <w:rFonts w:ascii="宋体" w:hAnsi="宋体" w:cs="宋体" w:eastAsia="宋体" w:hint="default"/>
                <w:sz w:val="20"/>
                <w:szCs w:val="20"/>
              </w:rPr>
            </w:r>
          </w:p>
          <w:p>
            <w:pPr>
              <w:pStyle w:val="TableParagraph"/>
              <w:spacing w:line="254" w:lineRule="exact"/>
              <w:ind w:right="101"/>
              <w:jc w:val="right"/>
              <w:rPr>
                <w:rFonts w:ascii="宋体" w:hAnsi="宋体" w:cs="宋体" w:eastAsia="宋体" w:hint="default"/>
                <w:sz w:val="20"/>
                <w:szCs w:val="20"/>
              </w:rPr>
            </w:pPr>
            <w:r>
              <w:rPr>
                <w:rFonts w:ascii="宋体" w:hAnsi="宋体" w:cs="宋体" w:eastAsia="宋体" w:hint="default"/>
                <w:w w:val="95"/>
                <w:sz w:val="20"/>
                <w:szCs w:val="20"/>
              </w:rPr>
              <w:t>结转</w:t>
            </w:r>
            <w:r>
              <w:rPr>
                <w:rFonts w:ascii="宋体" w:hAnsi="宋体" w:cs="宋体" w:eastAsia="宋体"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316,444,409.00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-316,444,409.00</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38" w:lineRule="exact"/>
              <w:ind w:left="794" w:right="0" w:hanging="492"/>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、资本公积转增资</w:t>
            </w:r>
          </w:p>
          <w:p>
            <w:pPr>
              <w:pStyle w:val="TableParagraph"/>
              <w:spacing w:line="253" w:lineRule="exact"/>
              <w:ind w:left="794" w:right="0"/>
              <w:jc w:val="left"/>
              <w:rPr>
                <w:rFonts w:ascii="宋体" w:hAnsi="宋体" w:cs="宋体" w:eastAsia="宋体" w:hint="default"/>
                <w:sz w:val="20"/>
                <w:szCs w:val="20"/>
              </w:rPr>
            </w:pPr>
            <w:r>
              <w:rPr>
                <w:rFonts w:ascii="宋体" w:hAnsi="宋体" w:cs="宋体" w:eastAsia="宋体" w:hint="default"/>
                <w:sz w:val="20"/>
                <w:szCs w:val="20"/>
              </w:rPr>
              <w:t>本（或股本）</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316,444,409.00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-316,444,409.00</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794" w:right="0" w:hanging="492"/>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、盈余公积转增资</w:t>
            </w:r>
          </w:p>
          <w:p>
            <w:pPr>
              <w:pStyle w:val="TableParagraph"/>
              <w:spacing w:line="254" w:lineRule="exact"/>
              <w:ind w:left="794" w:right="0"/>
              <w:jc w:val="left"/>
              <w:rPr>
                <w:rFonts w:ascii="宋体" w:hAnsi="宋体" w:cs="宋体" w:eastAsia="宋体" w:hint="default"/>
                <w:sz w:val="20"/>
                <w:szCs w:val="20"/>
              </w:rPr>
            </w:pPr>
            <w:r>
              <w:rPr>
                <w:rFonts w:ascii="宋体" w:hAnsi="宋体" w:cs="宋体" w:eastAsia="宋体" w:hint="default"/>
                <w:sz w:val="20"/>
                <w:szCs w:val="20"/>
              </w:rPr>
              <w:t>本（或股本）</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38" w:lineRule="exact"/>
              <w:ind w:right="101"/>
              <w:jc w:val="righ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3</w:t>
            </w:r>
            <w:r>
              <w:rPr>
                <w:rFonts w:ascii="宋体" w:hAnsi="宋体" w:cs="宋体" w:eastAsia="宋体" w:hint="default"/>
                <w:spacing w:val="-1"/>
                <w:w w:val="95"/>
                <w:sz w:val="20"/>
                <w:szCs w:val="20"/>
              </w:rPr>
              <w:t>、盈余公积弥补亏</w:t>
            </w:r>
            <w:r>
              <w:rPr>
                <w:rFonts w:ascii="宋体" w:hAnsi="宋体" w:cs="宋体" w:eastAsia="宋体" w:hint="default"/>
                <w:spacing w:val="-1"/>
                <w:sz w:val="20"/>
                <w:szCs w:val="20"/>
              </w:rPr>
            </w:r>
          </w:p>
          <w:p>
            <w:pPr>
              <w:pStyle w:val="TableParagraph"/>
              <w:spacing w:line="253" w:lineRule="exact"/>
              <w:ind w:right="101"/>
              <w:jc w:val="right"/>
              <w:rPr>
                <w:rFonts w:ascii="宋体" w:hAnsi="宋体" w:cs="宋体" w:eastAsia="宋体" w:hint="default"/>
                <w:sz w:val="20"/>
                <w:szCs w:val="20"/>
              </w:rPr>
            </w:pPr>
            <w:r>
              <w:rPr>
                <w:rFonts w:ascii="宋体" w:hAnsi="宋体" w:cs="宋体" w:eastAsia="宋体" w:hint="default"/>
                <w:w w:val="99"/>
                <w:sz w:val="20"/>
                <w:szCs w:val="20"/>
              </w:rPr>
              <w:t>损</w:t>
            </w:r>
            <w:r>
              <w:rPr>
                <w:rFonts w:ascii="宋体" w:hAnsi="宋体" w:cs="宋体" w:eastAsia="宋体"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03"/>
              <w:jc w:val="righ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4</w:t>
            </w:r>
            <w:r>
              <w:rPr>
                <w:rFonts w:ascii="宋体" w:hAnsi="宋体" w:cs="宋体" w:eastAsia="宋体" w:hint="default"/>
                <w:spacing w:val="-1"/>
                <w:w w:val="95"/>
                <w:sz w:val="20"/>
                <w:szCs w:val="20"/>
              </w:rPr>
              <w:t>、其他</w:t>
            </w:r>
            <w:r>
              <w:rPr>
                <w:rFonts w:ascii="宋体" w:hAnsi="宋体" w:cs="宋体" w:eastAsia="宋体" w:hint="default"/>
                <w:spacing w:val="-1"/>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7"/>
              <w:jc w:val="right"/>
              <w:rPr>
                <w:rFonts w:ascii="宋体" w:hAnsi="宋体" w:cs="宋体" w:eastAsia="宋体" w:hint="default"/>
                <w:sz w:val="20"/>
                <w:szCs w:val="20"/>
              </w:rPr>
            </w:pPr>
            <w:r>
              <w:rPr>
                <w:rFonts w:ascii="宋体" w:hAnsi="宋体" w:cs="宋体" w:eastAsia="宋体" w:hint="default"/>
                <w:w w:val="95"/>
                <w:sz w:val="20"/>
                <w:szCs w:val="20"/>
              </w:rPr>
              <w:t>（六）专项储备</w:t>
            </w:r>
            <w:r>
              <w:rPr>
                <w:rFonts w:ascii="宋体" w:hAnsi="宋体" w:cs="宋体" w:eastAsia="宋体"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03"/>
              <w:jc w:val="right"/>
              <w:rPr>
                <w:rFonts w:ascii="宋体" w:hAnsi="宋体" w:cs="宋体" w:eastAsia="宋体" w:hint="default"/>
                <w:sz w:val="20"/>
                <w:szCs w:val="20"/>
              </w:rPr>
            </w:pPr>
            <w:r>
              <w:rPr>
                <w:rFonts w:ascii="宋体" w:hAnsi="宋体" w:cs="宋体" w:eastAsia="宋体" w:hint="default"/>
                <w:w w:val="95"/>
                <w:sz w:val="20"/>
                <w:szCs w:val="20"/>
              </w:rPr>
              <w:t>1、本期提取</w:t>
            </w:r>
            <w:r>
              <w:rPr>
                <w:rFonts w:ascii="宋体" w:hAnsi="宋体" w:cs="宋体" w:eastAsia="宋体"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3"/>
              <w:jc w:val="right"/>
              <w:rPr>
                <w:rFonts w:ascii="宋体" w:hAnsi="宋体" w:cs="宋体" w:eastAsia="宋体" w:hint="default"/>
                <w:sz w:val="20"/>
                <w:szCs w:val="20"/>
              </w:rPr>
            </w:pPr>
            <w:r>
              <w:rPr>
                <w:rFonts w:ascii="宋体" w:hAnsi="宋体" w:cs="宋体" w:eastAsia="宋体" w:hint="default"/>
                <w:w w:val="95"/>
                <w:sz w:val="20"/>
                <w:szCs w:val="20"/>
              </w:rPr>
              <w:t>2、本期使用</w:t>
            </w:r>
            <w:r>
              <w:rPr>
                <w:rFonts w:ascii="宋体" w:hAnsi="宋体" w:cs="宋体" w:eastAsia="宋体"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768,507,851.00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1,651,721,573.30</w:t>
            </w:r>
            <w:r>
              <w:rPr>
                <w:rFonts w:ascii="Times New Roman"/>
                <w:sz w:val="20"/>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104,283,760.13</w:t>
            </w:r>
            <w:r>
              <w:rPr>
                <w:rFonts w:ascii="Times New Roman"/>
                <w:sz w:val="20"/>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360,474,632.30</w:t>
            </w:r>
            <w:r>
              <w:rPr>
                <w:rFonts w:ascii="Times New Roman"/>
                <w:sz w:val="20"/>
              </w:rPr>
            </w:r>
          </w:p>
        </w:tc>
        <w:tc>
          <w:tcPr>
            <w:tcW w:w="5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583,003,453.52</w:t>
            </w:r>
            <w:r>
              <w:rPr>
                <w:rFonts w:ascii="Times New Roman"/>
                <w:sz w:val="20"/>
              </w:rPr>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5"/>
                <w:sz w:val="20"/>
              </w:rPr>
              <w:t>3,467,991,270.25</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943" w:footer="896" w:top="1640" w:bottom="1080" w:left="940" w:right="4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p>
      <w:pPr>
        <w:pStyle w:val="Heading1"/>
        <w:spacing w:line="456" w:lineRule="exact"/>
        <w:ind w:right="262"/>
        <w:jc w:val="center"/>
        <w:rPr>
          <w:b w:val="0"/>
          <w:bCs w:val="0"/>
        </w:rPr>
      </w:pPr>
      <w:r>
        <w:rPr>
          <w:w w:val="105"/>
        </w:rPr>
        <w:t>合并所有者权益变动表(续)</w:t>
      </w:r>
      <w:r>
        <w:rPr>
          <w:b w:val="0"/>
          <w:bCs w:val="0"/>
        </w:rPr>
      </w:r>
    </w:p>
    <w:p>
      <w:pPr>
        <w:spacing w:before="67"/>
        <w:ind w:left="0" w:right="257"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12556" w:val="left" w:leader="none"/>
        </w:tabs>
        <w:spacing w:before="117"/>
        <w:ind w:left="0" w:right="258"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tab/>
      </w:r>
      <w:r>
        <w:rPr>
          <w:rFonts w:ascii="Microsoft JhengHei" w:hAnsi="Microsoft JhengHei" w:cs="Microsoft JhengHei" w:eastAsia="Microsoft JhengHei" w:hint="default"/>
          <w:b/>
          <w:bCs/>
          <w:position w:val="-11"/>
          <w:sz w:val="20"/>
          <w:szCs w:val="20"/>
        </w:rPr>
        <w:t>金额单位：人民币元</w:t>
      </w:r>
      <w:r>
        <w:rPr>
          <w:rFonts w:ascii="Microsoft JhengHei" w:hAnsi="Microsoft JhengHei" w:cs="Microsoft JhengHei" w:eastAsia="Microsoft JhengHei" w:hint="default"/>
          <w:sz w:val="20"/>
          <w:szCs w:val="20"/>
        </w:rPr>
      </w:r>
    </w:p>
    <w:tbl>
      <w:tblPr>
        <w:tblW w:w="0" w:type="auto"/>
        <w:jc w:val="left"/>
        <w:tblInd w:w="133" w:type="dxa"/>
        <w:tblLayout w:type="fixed"/>
        <w:tblCellMar>
          <w:top w:w="0" w:type="dxa"/>
          <w:left w:w="0" w:type="dxa"/>
          <w:bottom w:w="0" w:type="dxa"/>
          <w:right w:w="0" w:type="dxa"/>
        </w:tblCellMar>
        <w:tblLook w:val="01E0"/>
      </w:tblPr>
      <w:tblGrid>
        <w:gridCol w:w="2122"/>
        <w:gridCol w:w="1466"/>
        <w:gridCol w:w="1618"/>
        <w:gridCol w:w="1219"/>
        <w:gridCol w:w="1094"/>
        <w:gridCol w:w="1481"/>
        <w:gridCol w:w="1464"/>
        <w:gridCol w:w="696"/>
        <w:gridCol w:w="1620"/>
        <w:gridCol w:w="1800"/>
      </w:tblGrid>
      <w:tr>
        <w:trPr>
          <w:trHeight w:val="624"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tabs>
                <w:tab w:pos="1706" w:val="left" w:leader="none"/>
              </w:tabs>
              <w:spacing w:line="240" w:lineRule="auto" w:before="82"/>
              <w:ind w:left="3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9038" w:type="dxa"/>
            <w:gridSpan w:val="7"/>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w:t>
            </w:r>
            <w:r>
              <w:rPr>
                <w:rFonts w:ascii="Microsoft JhengHei" w:hAnsi="Microsoft JhengHei" w:cs="Microsoft JhengHei" w:eastAsia="Microsoft JhengHei" w:hint="default"/>
                <w:sz w:val="20"/>
                <w:szCs w:val="20"/>
              </w:rPr>
            </w:r>
          </w:p>
        </w:tc>
        <w:tc>
          <w:tcPr>
            <w:tcW w:w="1620"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177" w:lineRule="auto"/>
              <w:ind w:left="552" w:right="454" w:hanging="48"/>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少数股</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东权益</w:t>
            </w:r>
            <w:r>
              <w:rPr>
                <w:rFonts w:ascii="Microsoft JhengHei" w:hAnsi="Microsoft JhengHei" w:cs="Microsoft JhengHei" w:eastAsia="Microsoft JhengHei" w:hint="default"/>
                <w:sz w:val="20"/>
                <w:szCs w:val="20"/>
              </w:rPr>
            </w:r>
          </w:p>
        </w:tc>
        <w:tc>
          <w:tcPr>
            <w:tcW w:w="1800"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left="19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617" w:hRule="exact"/>
        </w:trPr>
        <w:tc>
          <w:tcPr>
            <w:tcW w:w="2122" w:type="dxa"/>
            <w:tcBorders>
              <w:top w:val="single" w:sz="4" w:space="0" w:color="000008"/>
              <w:left w:val="single" w:sz="4" w:space="0" w:color="000008"/>
              <w:bottom w:val="single" w:sz="4" w:space="0" w:color="000008"/>
              <w:right w:val="single" w:sz="4" w:space="0" w:color="000008"/>
            </w:tcBorders>
          </w:tcPr>
          <w:p>
            <w:pP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5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实收资本</w:t>
            </w:r>
            <w:r>
              <w:rPr>
                <w:rFonts w:ascii="Microsoft JhengHei" w:hAnsi="Microsoft JhengHei" w:cs="Microsoft JhengHei" w:eastAsia="Microsoft JhengHei" w:hint="default"/>
                <w:sz w:val="20"/>
                <w:szCs w:val="20"/>
              </w:rPr>
            </w:r>
          </w:p>
          <w:p>
            <w:pPr>
              <w:pStyle w:val="TableParagraph"/>
              <w:spacing w:line="30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（或股本）</w:t>
            </w:r>
            <w:r>
              <w:rPr>
                <w:rFonts w:ascii="Microsoft JhengHei" w:hAnsi="Microsoft JhengHei" w:cs="Microsoft JhengHei" w:eastAsia="Microsoft JhengHei" w:hint="default"/>
                <w:sz w:val="20"/>
                <w:szCs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4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减：库存股</w:t>
            </w:r>
            <w:r>
              <w:rPr>
                <w:rFonts w:ascii="Microsoft JhengHei" w:hAnsi="Microsoft JhengHei" w:cs="Microsoft JhengHei" w:eastAsia="Microsoft JhengHei" w:hint="default"/>
                <w:sz w:val="20"/>
                <w:szCs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139"/>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专项储备</w:t>
            </w:r>
            <w:r>
              <w:rPr>
                <w:rFonts w:ascii="Microsoft JhengHei" w:hAnsi="Microsoft JhengHei" w:cs="Microsoft JhengHei" w:eastAsia="Microsoft JhengHei" w:hint="default"/>
                <w:sz w:val="20"/>
                <w:szCs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33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2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177" w:lineRule="auto" w:before="25"/>
              <w:ind w:left="242" w:right="24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他</w:t>
            </w:r>
            <w:r>
              <w:rPr>
                <w:rFonts w:ascii="Microsoft JhengHei" w:hAnsi="Microsoft JhengHei" w:cs="Microsoft JhengHei" w:eastAsia="Microsoft JhengHei" w:hint="default"/>
                <w:sz w:val="20"/>
                <w:szCs w:val="20"/>
              </w:rPr>
            </w:r>
          </w:p>
        </w:tc>
        <w:tc>
          <w:tcPr>
            <w:tcW w:w="1620" w:type="dxa"/>
            <w:vMerge/>
            <w:tcBorders>
              <w:left w:val="single" w:sz="4" w:space="0" w:color="000008"/>
              <w:bottom w:val="single" w:sz="4" w:space="0" w:color="000008"/>
              <w:right w:val="single" w:sz="4" w:space="0" w:color="000008"/>
            </w:tcBorders>
          </w:tcPr>
          <w:p>
            <w:pPr/>
          </w:p>
        </w:tc>
        <w:tc>
          <w:tcPr>
            <w:tcW w:w="1800" w:type="dxa"/>
            <w:vMerge/>
            <w:tcBorders>
              <w:left w:val="single" w:sz="4" w:space="0" w:color="000008"/>
              <w:bottom w:val="single" w:sz="4" w:space="0" w:color="000008"/>
              <w:right w:val="single" w:sz="4" w:space="0" w:color="000008"/>
            </w:tcBorders>
          </w:tcPr>
          <w:p>
            <w:pP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387,663,442.00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1"/>
              <w:jc w:val="right"/>
              <w:rPr>
                <w:rFonts w:ascii="Times New Roman" w:hAnsi="Times New Roman" w:cs="Times New Roman" w:eastAsia="Times New Roman" w:hint="default"/>
                <w:sz w:val="20"/>
                <w:szCs w:val="20"/>
              </w:rPr>
            </w:pPr>
            <w:r>
              <w:rPr>
                <w:rFonts w:ascii="Times New Roman"/>
                <w:b/>
                <w:w w:val="95"/>
                <w:sz w:val="20"/>
              </w:rPr>
              <w:t>849,426,677.62</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182,662,517.49</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1"/>
              <w:jc w:val="right"/>
              <w:rPr>
                <w:rFonts w:ascii="Times New Roman" w:hAnsi="Times New Roman" w:cs="Times New Roman" w:eastAsia="Times New Roman" w:hint="default"/>
                <w:sz w:val="20"/>
                <w:szCs w:val="20"/>
              </w:rPr>
            </w:pPr>
            <w:r>
              <w:rPr>
                <w:rFonts w:ascii="Times New Roman"/>
                <w:b/>
                <w:w w:val="95"/>
                <w:sz w:val="20"/>
              </w:rPr>
              <w:t>250,416,199.60</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653,985,716.99</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2,324,154,553.70</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8"/>
              <w:jc w:val="right"/>
              <w:rPr>
                <w:rFonts w:ascii="宋体" w:hAnsi="宋体" w:cs="宋体" w:eastAsia="宋体" w:hint="default"/>
                <w:sz w:val="20"/>
                <w:szCs w:val="20"/>
              </w:rPr>
            </w:pPr>
            <w:r>
              <w:rPr>
                <w:rFonts w:ascii="宋体" w:hAnsi="宋体" w:cs="宋体" w:eastAsia="宋体" w:hint="default"/>
                <w:w w:val="95"/>
                <w:sz w:val="20"/>
                <w:szCs w:val="20"/>
              </w:rPr>
              <w:t>加：会计政策变更</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07"/>
              <w:jc w:val="right"/>
              <w:rPr>
                <w:rFonts w:ascii="宋体" w:hAnsi="宋体" w:cs="宋体" w:eastAsia="宋体" w:hint="default"/>
                <w:sz w:val="20"/>
                <w:szCs w:val="20"/>
              </w:rPr>
            </w:pPr>
            <w:r>
              <w:rPr>
                <w:rFonts w:ascii="宋体" w:hAnsi="宋体" w:cs="宋体" w:eastAsia="宋体" w:hint="default"/>
                <w:w w:val="95"/>
                <w:sz w:val="20"/>
                <w:szCs w:val="20"/>
              </w:rPr>
              <w:t>前期差错更正</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3"/>
              <w:jc w:val="right"/>
              <w:rPr>
                <w:rFonts w:ascii="宋体" w:hAnsi="宋体" w:cs="宋体" w:eastAsia="宋体" w:hint="default"/>
                <w:sz w:val="20"/>
                <w:szCs w:val="20"/>
              </w:rPr>
            </w:pPr>
            <w:r>
              <w:rPr>
                <w:rFonts w:ascii="宋体" w:hAnsi="宋体" w:cs="宋体" w:eastAsia="宋体" w:hint="default"/>
                <w:w w:val="95"/>
                <w:sz w:val="20"/>
                <w:szCs w:val="20"/>
              </w:rPr>
              <w:t>其它</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387,663,442.00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1"/>
              <w:jc w:val="right"/>
              <w:rPr>
                <w:rFonts w:ascii="Times New Roman" w:hAnsi="Times New Roman" w:cs="Times New Roman" w:eastAsia="Times New Roman" w:hint="default"/>
                <w:sz w:val="20"/>
                <w:szCs w:val="20"/>
              </w:rPr>
            </w:pPr>
            <w:r>
              <w:rPr>
                <w:rFonts w:ascii="Times New Roman"/>
                <w:b/>
                <w:w w:val="95"/>
                <w:sz w:val="20"/>
              </w:rPr>
              <w:t>849,426,677.62</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182,662,517.49</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1"/>
              <w:jc w:val="right"/>
              <w:rPr>
                <w:rFonts w:ascii="Times New Roman" w:hAnsi="Times New Roman" w:cs="Times New Roman" w:eastAsia="Times New Roman" w:hint="default"/>
                <w:sz w:val="20"/>
                <w:szCs w:val="20"/>
              </w:rPr>
            </w:pPr>
            <w:r>
              <w:rPr>
                <w:rFonts w:ascii="Times New Roman"/>
                <w:b/>
                <w:w w:val="95"/>
                <w:sz w:val="20"/>
              </w:rPr>
              <w:t>250,416,199.60</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653,985,716.99</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2,324,154,553.70</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199" w:right="0" w:firstLine="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三、本年增减变动金</w:t>
            </w:r>
            <w:r>
              <w:rPr>
                <w:rFonts w:ascii="Microsoft JhengHei" w:hAnsi="Microsoft JhengHei" w:cs="Microsoft JhengHei" w:eastAsia="Microsoft JhengHei" w:hint="default"/>
                <w:sz w:val="20"/>
                <w:szCs w:val="20"/>
              </w:rPr>
            </w:r>
          </w:p>
          <w:p>
            <w:pPr>
              <w:pStyle w:val="TableParagraph"/>
              <w:spacing w:line="304" w:lineRule="exact"/>
              <w:ind w:left="1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额(减少以“-”号列</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64,400,000.00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1,093,174,975.88</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5"/>
                <w:sz w:val="20"/>
              </w:rPr>
              <w:t>-90,241,582.12</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104,543,139.76</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-87,370,355.64</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1,084,506,177.88</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03"/>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一</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净利润</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7"/>
              <w:jc w:val="right"/>
              <w:rPr>
                <w:rFonts w:ascii="Times New Roman" w:hAnsi="Times New Roman" w:cs="Times New Roman" w:eastAsia="Times New Roman" w:hint="default"/>
                <w:sz w:val="20"/>
                <w:szCs w:val="20"/>
              </w:rPr>
            </w:pPr>
            <w:r>
              <w:rPr>
                <w:rFonts w:ascii="Times New Roman"/>
                <w:w w:val="95"/>
                <w:sz w:val="20"/>
              </w:rPr>
              <w:t>53,067,901.84</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w w:val="95"/>
                <w:sz w:val="20"/>
              </w:rPr>
              <w:t>72,600,476.54</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125,668,378.38</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二</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其它综合收益</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302" w:right="-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w:t>
            </w:r>
            <w:r>
              <w:rPr>
                <w:rFonts w:ascii="Microsoft JhengHei" w:hAnsi="Microsoft JhengHei" w:cs="Microsoft JhengHei" w:eastAsia="Microsoft JhengHei" w:hint="default"/>
                <w:sz w:val="20"/>
                <w:szCs w:val="20"/>
              </w:rPr>
            </w:r>
          </w:p>
          <w:p>
            <w:pPr>
              <w:pStyle w:val="TableParagraph"/>
              <w:spacing w:line="305"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小计</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7"/>
              <w:jc w:val="right"/>
              <w:rPr>
                <w:rFonts w:ascii="Times New Roman" w:hAnsi="Times New Roman" w:cs="Times New Roman" w:eastAsia="Times New Roman" w:hint="default"/>
                <w:sz w:val="20"/>
                <w:szCs w:val="20"/>
              </w:rPr>
            </w:pPr>
            <w:r>
              <w:rPr>
                <w:rFonts w:ascii="Times New Roman"/>
                <w:w w:val="95"/>
                <w:sz w:val="20"/>
              </w:rPr>
              <w:t>53,067,901.84</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w w:val="95"/>
                <w:sz w:val="20"/>
              </w:rPr>
              <w:t>72,600,476.54</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w w:val="95"/>
                <w:sz w:val="20"/>
              </w:rPr>
              <w:t>125,668,378.38</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38" w:lineRule="exact"/>
              <w:ind w:left="27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r>
              <w:rPr>
                <w:rFonts w:ascii="宋体" w:hAnsi="宋体" w:cs="宋体" w:eastAsia="宋体" w:hint="default"/>
                <w:sz w:val="20"/>
                <w:szCs w:val="20"/>
              </w:rPr>
              <w:t>所有者投入和减</w:t>
            </w:r>
          </w:p>
          <w:p>
            <w:pPr>
              <w:pStyle w:val="TableParagraph"/>
              <w:spacing w:line="253" w:lineRule="exact"/>
              <w:ind w:left="1209" w:right="0"/>
              <w:jc w:val="left"/>
              <w:rPr>
                <w:rFonts w:ascii="宋体" w:hAnsi="宋体" w:cs="宋体" w:eastAsia="宋体" w:hint="default"/>
                <w:sz w:val="20"/>
                <w:szCs w:val="20"/>
              </w:rPr>
            </w:pPr>
            <w:r>
              <w:rPr>
                <w:rFonts w:ascii="宋体" w:hAnsi="宋体" w:cs="宋体" w:eastAsia="宋体" w:hint="default"/>
                <w:sz w:val="20"/>
                <w:szCs w:val="20"/>
              </w:rPr>
              <w:t>少的资本</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64,400,000.00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1,093,174,975.88</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-63,702,221.01</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1,093,872,754.87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943" w:footer="896" w:top="1640" w:bottom="1080" w:left="1280" w:right="440"/>
        </w:sectPr>
      </w:pPr>
    </w:p>
    <w:p>
      <w:pPr>
        <w:spacing w:line="240" w:lineRule="auto" w:before="6"/>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122"/>
        <w:gridCol w:w="1466"/>
        <w:gridCol w:w="1618"/>
        <w:gridCol w:w="1219"/>
        <w:gridCol w:w="1094"/>
        <w:gridCol w:w="1481"/>
        <w:gridCol w:w="1464"/>
        <w:gridCol w:w="696"/>
        <w:gridCol w:w="1620"/>
        <w:gridCol w:w="1800"/>
      </w:tblGrid>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8"/>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、所有者投入资本</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64,400,000.00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1,070,617,758.70</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16,051,203.11</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1,151,068,961.81</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609" w:right="0" w:hanging="30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、股份支付计入所</w:t>
            </w:r>
          </w:p>
          <w:p>
            <w:pPr>
              <w:pStyle w:val="TableParagraph"/>
              <w:spacing w:line="254" w:lineRule="exact"/>
              <w:ind w:left="609" w:right="0"/>
              <w:jc w:val="left"/>
              <w:rPr>
                <w:rFonts w:ascii="宋体" w:hAnsi="宋体" w:cs="宋体" w:eastAsia="宋体" w:hint="default"/>
                <w:sz w:val="20"/>
                <w:szCs w:val="20"/>
              </w:rPr>
            </w:pPr>
            <w:r>
              <w:rPr>
                <w:rFonts w:ascii="宋体" w:hAnsi="宋体" w:cs="宋体" w:eastAsia="宋体" w:hint="default"/>
                <w:sz w:val="20"/>
                <w:szCs w:val="20"/>
              </w:rPr>
              <w:t>有者权益的金额</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3"/>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、其他</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22,557,217.18</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-79,753,424.12</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-57,196,206.94</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03"/>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四</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利润分配</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6,553,575.92</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-45,319,920.12</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-96,268,611.17</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-135,034,955.37</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、提取盈余公积</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6,553,575.92</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-6,553,575.92</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3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、对所有者（或股</w:t>
            </w:r>
          </w:p>
          <w:p>
            <w:pPr>
              <w:pStyle w:val="TableParagraph"/>
              <w:spacing w:line="254" w:lineRule="exact"/>
              <w:ind w:left="1008" w:right="0"/>
              <w:jc w:val="left"/>
              <w:rPr>
                <w:rFonts w:ascii="宋体" w:hAnsi="宋体" w:cs="宋体" w:eastAsia="宋体" w:hint="default"/>
                <w:sz w:val="20"/>
                <w:szCs w:val="20"/>
              </w:rPr>
            </w:pPr>
            <w:r>
              <w:rPr>
                <w:rFonts w:ascii="宋体" w:hAnsi="宋体" w:cs="宋体" w:eastAsia="宋体" w:hint="default"/>
                <w:sz w:val="20"/>
                <w:szCs w:val="20"/>
              </w:rPr>
              <w:t>东）的分配</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-38,766,344.20</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-96,268,611.17</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-135,034,955.37</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3"/>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、其它</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10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所有者权益内部</w:t>
            </w:r>
            <w:r>
              <w:rPr>
                <w:rFonts w:ascii="宋体" w:hAnsi="宋体" w:cs="宋体" w:eastAsia="宋体" w:hint="default"/>
                <w:sz w:val="20"/>
                <w:szCs w:val="20"/>
              </w:rPr>
            </w:r>
          </w:p>
          <w:p>
            <w:pPr>
              <w:pStyle w:val="TableParagraph"/>
              <w:spacing w:line="254" w:lineRule="exact"/>
              <w:ind w:right="103"/>
              <w:jc w:val="right"/>
              <w:rPr>
                <w:rFonts w:ascii="宋体" w:hAnsi="宋体" w:cs="宋体" w:eastAsia="宋体" w:hint="default"/>
                <w:sz w:val="20"/>
                <w:szCs w:val="20"/>
              </w:rPr>
            </w:pPr>
            <w:r>
              <w:rPr>
                <w:rFonts w:ascii="宋体" w:hAnsi="宋体" w:cs="宋体" w:eastAsia="宋体" w:hint="default"/>
                <w:w w:val="95"/>
                <w:sz w:val="20"/>
                <w:szCs w:val="20"/>
              </w:rPr>
              <w:t>结转</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-96,795,158.04</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96,795,158.04</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38" w:lineRule="exact"/>
              <w:ind w:left="808" w:right="0" w:hanging="50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、资本公积转增资</w:t>
            </w:r>
          </w:p>
          <w:p>
            <w:pPr>
              <w:pStyle w:val="TableParagraph"/>
              <w:spacing w:line="253" w:lineRule="exact"/>
              <w:ind w:left="808" w:right="0"/>
              <w:jc w:val="left"/>
              <w:rPr>
                <w:rFonts w:ascii="宋体" w:hAnsi="宋体" w:cs="宋体" w:eastAsia="宋体" w:hint="default"/>
                <w:sz w:val="20"/>
                <w:szCs w:val="20"/>
              </w:rPr>
            </w:pPr>
            <w:r>
              <w:rPr>
                <w:rFonts w:ascii="宋体" w:hAnsi="宋体" w:cs="宋体" w:eastAsia="宋体" w:hint="default"/>
                <w:sz w:val="20"/>
                <w:szCs w:val="20"/>
              </w:rPr>
              <w:t>本（或股本）</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808" w:right="0" w:hanging="50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、盈余公积转增资</w:t>
            </w:r>
          </w:p>
          <w:p>
            <w:pPr>
              <w:pStyle w:val="TableParagraph"/>
              <w:spacing w:line="254" w:lineRule="exact"/>
              <w:ind w:left="808" w:right="0"/>
              <w:jc w:val="left"/>
              <w:rPr>
                <w:rFonts w:ascii="宋体" w:hAnsi="宋体" w:cs="宋体" w:eastAsia="宋体" w:hint="default"/>
                <w:sz w:val="20"/>
                <w:szCs w:val="20"/>
              </w:rPr>
            </w:pPr>
            <w:r>
              <w:rPr>
                <w:rFonts w:ascii="宋体" w:hAnsi="宋体" w:cs="宋体" w:eastAsia="宋体" w:hint="default"/>
                <w:sz w:val="20"/>
                <w:szCs w:val="20"/>
              </w:rPr>
              <w:t>本（或股本）</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38" w:lineRule="exact"/>
              <w:ind w:right="108"/>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、盈余公积弥补亏</w:t>
            </w:r>
          </w:p>
          <w:p>
            <w:pPr>
              <w:pStyle w:val="TableParagraph"/>
              <w:spacing w:line="253" w:lineRule="exact"/>
              <w:ind w:right="101"/>
              <w:jc w:val="right"/>
              <w:rPr>
                <w:rFonts w:ascii="宋体" w:hAnsi="宋体" w:cs="宋体" w:eastAsia="宋体" w:hint="default"/>
                <w:sz w:val="20"/>
                <w:szCs w:val="20"/>
              </w:rPr>
            </w:pPr>
            <w:r>
              <w:rPr>
                <w:rFonts w:ascii="宋体" w:hAnsi="宋体" w:cs="宋体" w:eastAsia="宋体" w:hint="default"/>
                <w:w w:val="99"/>
                <w:sz w:val="20"/>
                <w:szCs w:val="20"/>
              </w:rPr>
              <w:t>损</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-96,795,158.04</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96,795,158.04</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03"/>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4</w:t>
            </w:r>
            <w:r>
              <w:rPr>
                <w:rFonts w:ascii="宋体" w:hAnsi="宋体" w:cs="宋体" w:eastAsia="宋体" w:hint="default"/>
                <w:w w:val="95"/>
                <w:sz w:val="20"/>
                <w:szCs w:val="20"/>
              </w:rPr>
              <w:t>、其他</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7"/>
              <w:jc w:val="right"/>
              <w:rPr>
                <w:rFonts w:ascii="宋体" w:hAnsi="宋体" w:cs="宋体" w:eastAsia="宋体" w:hint="default"/>
                <w:sz w:val="20"/>
                <w:szCs w:val="20"/>
              </w:rPr>
            </w:pPr>
            <w:r>
              <w:rPr>
                <w:rFonts w:ascii="宋体" w:hAnsi="宋体" w:cs="宋体" w:eastAsia="宋体" w:hint="default"/>
                <w:w w:val="95"/>
                <w:sz w:val="20"/>
                <w:szCs w:val="20"/>
              </w:rPr>
              <w:t>（六）专项储备</w:t>
            </w:r>
            <w:r>
              <w:rPr>
                <w:rFonts w:ascii="宋体" w:hAnsi="宋体" w:cs="宋体" w:eastAsia="宋体"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07"/>
              <w:jc w:val="right"/>
              <w:rPr>
                <w:rFonts w:ascii="宋体" w:hAnsi="宋体" w:cs="宋体" w:eastAsia="宋体" w:hint="default"/>
                <w:sz w:val="20"/>
                <w:szCs w:val="20"/>
              </w:rPr>
            </w:pPr>
            <w:r>
              <w:rPr>
                <w:rFonts w:ascii="宋体" w:hAnsi="宋体" w:cs="宋体" w:eastAsia="宋体" w:hint="default"/>
                <w:spacing w:val="-1"/>
                <w:w w:val="95"/>
                <w:sz w:val="20"/>
                <w:szCs w:val="20"/>
              </w:rPr>
              <w:t>1、本期提取</w:t>
            </w:r>
            <w:r>
              <w:rPr>
                <w:rFonts w:ascii="宋体" w:hAnsi="宋体" w:cs="宋体" w:eastAsia="宋体" w:hint="default"/>
                <w:spacing w:val="-1"/>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0"/>
              <w:ind w:right="107"/>
              <w:jc w:val="right"/>
              <w:rPr>
                <w:rFonts w:ascii="宋体" w:hAnsi="宋体" w:cs="宋体" w:eastAsia="宋体" w:hint="default"/>
                <w:sz w:val="20"/>
                <w:szCs w:val="20"/>
              </w:rPr>
            </w:pPr>
            <w:r>
              <w:rPr>
                <w:rFonts w:ascii="宋体" w:hAnsi="宋体" w:cs="宋体" w:eastAsia="宋体" w:hint="default"/>
                <w:spacing w:val="-1"/>
                <w:w w:val="95"/>
                <w:sz w:val="20"/>
                <w:szCs w:val="20"/>
              </w:rPr>
              <w:t>2、本期使用</w:t>
            </w:r>
            <w:r>
              <w:rPr>
                <w:rFonts w:ascii="宋体" w:hAnsi="宋体" w:cs="宋体" w:eastAsia="宋体" w:hint="default"/>
                <w:spacing w:val="-1"/>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21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452,063,442.00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1,942,601,653.50</w:t>
            </w:r>
            <w:r>
              <w:rPr>
                <w:rFonts w:ascii="Times New Roman"/>
                <w:sz w:val="20"/>
              </w:rPr>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5"/>
                <w:sz w:val="20"/>
              </w:rPr>
              <w:t>92,420,935.37</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354,959,339.36</w:t>
            </w:r>
            <w:r>
              <w:rPr>
                <w:rFonts w:ascii="Times New Roman"/>
                <w:sz w:val="20"/>
              </w:rPr>
            </w:r>
          </w:p>
        </w:tc>
        <w:tc>
          <w:tcPr>
            <w:tcW w:w="6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566,615,361.35</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3,408,660,731.58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943" w:footer="896" w:top="1640" w:bottom="1080" w:left="1280" w:right="440"/>
        </w:sectPr>
      </w:pPr>
    </w:p>
    <w:p>
      <w:pPr>
        <w:spacing w:line="240" w:lineRule="auto" w:before="5"/>
        <w:rPr>
          <w:rFonts w:ascii="Times New Roman" w:hAnsi="Times New Roman" w:cs="Times New Roman" w:eastAsia="Times New Roman" w:hint="default"/>
          <w:sz w:val="10"/>
          <w:szCs w:val="10"/>
        </w:rPr>
      </w:pPr>
      <w:r>
        <w:rPr/>
        <w:pict>
          <v:group style="position:absolute;margin-left:295.679993pt;margin-top:748.799988pt;width:90.5pt;height:2.2pt;mso-position-horizontal-relative:page;mso-position-vertical-relative:page;z-index:-1139752" coordorigin="5914,14976" coordsize="1810,44">
            <v:group style="position:absolute;left:5921;top:14983;width:1455;height:2" coordorigin="5921,14983" coordsize="1455,2">
              <v:shape style="position:absolute;left:5921;top:14983;width:1455;height:2" coordorigin="5921,14983" coordsize="1455,0" path="m5921,14983l7375,14983e" filled="false" stroked="true" strokeweight=".72pt" strokecolor="#000008">
                <v:path arrowok="t"/>
              </v:shape>
            </v:group>
            <v:group style="position:absolute;left:5921;top:15012;width:1455;height:2" coordorigin="5921,15012" coordsize="1455,2">
              <v:shape style="position:absolute;left:5921;top:15012;width:1455;height:2" coordorigin="5921,15012" coordsize="1455,0" path="m5921,15012l7375,15012e" filled="false" stroked="true" strokeweight=".72pt" strokecolor="#000008">
                <v:path arrowok="t"/>
              </v:shape>
            </v:group>
            <v:group style="position:absolute;left:7375;top:14983;width:161;height:2" coordorigin="7375,14983" coordsize="161,2">
              <v:shape style="position:absolute;left:7375;top:14983;width:161;height:2" coordorigin="7375,14983" coordsize="161,0" path="m7375,14983l7536,14983e" filled="false" stroked="true" strokeweight=".72pt" strokecolor="#000008">
                <v:path arrowok="t"/>
              </v:shape>
            </v:group>
            <v:group style="position:absolute;left:7375;top:15012;width:161;height:2" coordorigin="7375,15012" coordsize="161,2">
              <v:shape style="position:absolute;left:7375;top:15012;width:161;height:2" coordorigin="7375,15012" coordsize="161,0" path="m7375,15012l7536,15012e" filled="false" stroked="true" strokeweight=".72pt" strokecolor="#000008">
                <v:path arrowok="t"/>
              </v:shape>
            </v:group>
            <v:group style="position:absolute;left:7536;top:14983;width:180;height:2" coordorigin="7536,14983" coordsize="180,2">
              <v:shape style="position:absolute;left:7536;top:14983;width:180;height:2" coordorigin="7536,14983" coordsize="180,0" path="m7536,14983l7716,14983e" filled="false" stroked="true" strokeweight=".72pt" strokecolor="#000008">
                <v:path arrowok="t"/>
              </v:shape>
            </v:group>
            <v:group style="position:absolute;left:7536;top:15012;width:180;height:2" coordorigin="7536,15012" coordsize="180,2">
              <v:shape style="position:absolute;left:7536;top:15012;width:180;height:2" coordorigin="7536,15012" coordsize="180,0" path="m7536,15012l7716,15012e" filled="false" stroked="true" strokeweight=".72pt" strokecolor="#000008">
                <v:path arrowok="t"/>
              </v:shape>
            </v:group>
            <w10:wrap type="none"/>
          </v:group>
        </w:pict>
      </w:r>
      <w:r>
        <w:rPr/>
        <w:pict>
          <v:group style="position:absolute;margin-left:278.639984pt;margin-top:711.899963pt;width:90.5pt;height:.6pt;mso-position-horizontal-relative:page;mso-position-vertical-relative:page;z-index:-1139728" coordorigin="5573,14238" coordsize="1810,12">
            <v:group style="position:absolute;left:5579;top:14244;width:12;height:2" coordorigin="5579,14244" coordsize="12,2">
              <v:shape style="position:absolute;left:5579;top:14244;width:12;height:2" coordorigin="5579,14244" coordsize="12,0" path="m5579,14244l5591,14244e" filled="false" stroked="true" strokeweight=".6pt" strokecolor="#000008">
                <v:path arrowok="t"/>
              </v:shape>
            </v:group>
            <v:group style="position:absolute;left:5598;top:14244;width:12;height:2" coordorigin="5598,14244" coordsize="12,2">
              <v:shape style="position:absolute;left:5598;top:14244;width:12;height:2" coordorigin="5598,14244" coordsize="12,0" path="m5598,14244l5610,14244e" filled="false" stroked="true" strokeweight=".6pt" strokecolor="#000008">
                <v:path arrowok="t"/>
              </v:shape>
            </v:group>
            <v:group style="position:absolute;left:5617;top:14244;width:12;height:2" coordorigin="5617,14244" coordsize="12,2">
              <v:shape style="position:absolute;left:5617;top:14244;width:12;height:2" coordorigin="5617,14244" coordsize="12,0" path="m5617,14244l5629,14244e" filled="false" stroked="true" strokeweight=".6pt" strokecolor="#000008">
                <v:path arrowok="t"/>
              </v:shape>
            </v:group>
            <v:group style="position:absolute;left:5636;top:14244;width:12;height:2" coordorigin="5636,14244" coordsize="12,2">
              <v:shape style="position:absolute;left:5636;top:14244;width:12;height:2" coordorigin="5636,14244" coordsize="12,0" path="m5636,14244l5648,14244e" filled="false" stroked="true" strokeweight=".6pt" strokecolor="#000008">
                <v:path arrowok="t"/>
              </v:shape>
            </v:group>
            <v:group style="position:absolute;left:5656;top:14244;width:12;height:2" coordorigin="5656,14244" coordsize="12,2">
              <v:shape style="position:absolute;left:5656;top:14244;width:12;height:2" coordorigin="5656,14244" coordsize="12,0" path="m5656,14244l5668,14244e" filled="false" stroked="true" strokeweight=".6pt" strokecolor="#000008">
                <v:path arrowok="t"/>
              </v:shape>
            </v:group>
            <v:group style="position:absolute;left:5675;top:14244;width:12;height:2" coordorigin="5675,14244" coordsize="12,2">
              <v:shape style="position:absolute;left:5675;top:14244;width:12;height:2" coordorigin="5675,14244" coordsize="12,0" path="m5675,14244l5687,14244e" filled="false" stroked="true" strokeweight=".6pt" strokecolor="#000008">
                <v:path arrowok="t"/>
              </v:shape>
            </v:group>
            <v:group style="position:absolute;left:5694;top:14244;width:12;height:2" coordorigin="5694,14244" coordsize="12,2">
              <v:shape style="position:absolute;left:5694;top:14244;width:12;height:2" coordorigin="5694,14244" coordsize="12,0" path="m5694,14244l5706,14244e" filled="false" stroked="true" strokeweight=".6pt" strokecolor="#000008">
                <v:path arrowok="t"/>
              </v:shape>
            </v:group>
            <v:group style="position:absolute;left:5713;top:14244;width:12;height:2" coordorigin="5713,14244" coordsize="12,2">
              <v:shape style="position:absolute;left:5713;top:14244;width:12;height:2" coordorigin="5713,14244" coordsize="12,0" path="m5713,14244l5725,14244e" filled="false" stroked="true" strokeweight=".6pt" strokecolor="#000008">
                <v:path arrowok="t"/>
              </v:shape>
            </v:group>
            <v:group style="position:absolute;left:5732;top:14244;width:12;height:2" coordorigin="5732,14244" coordsize="12,2">
              <v:shape style="position:absolute;left:5732;top:14244;width:12;height:2" coordorigin="5732,14244" coordsize="12,0" path="m5732,14244l5744,14244e" filled="false" stroked="true" strokeweight=".6pt" strokecolor="#000008">
                <v:path arrowok="t"/>
              </v:shape>
            </v:group>
            <v:group style="position:absolute;left:5752;top:14244;width:12;height:2" coordorigin="5752,14244" coordsize="12,2">
              <v:shape style="position:absolute;left:5752;top:14244;width:12;height:2" coordorigin="5752,14244" coordsize="12,0" path="m5752,14244l5764,14244e" filled="false" stroked="true" strokeweight=".6pt" strokecolor="#000008">
                <v:path arrowok="t"/>
              </v:shape>
            </v:group>
            <v:group style="position:absolute;left:5771;top:14244;width:12;height:2" coordorigin="5771,14244" coordsize="12,2">
              <v:shape style="position:absolute;left:5771;top:14244;width:12;height:2" coordorigin="5771,14244" coordsize="12,0" path="m5771,14244l5783,14244e" filled="false" stroked="true" strokeweight=".6pt" strokecolor="#000008">
                <v:path arrowok="t"/>
              </v:shape>
            </v:group>
            <v:group style="position:absolute;left:5790;top:14244;width:12;height:2" coordorigin="5790,14244" coordsize="12,2">
              <v:shape style="position:absolute;left:5790;top:14244;width:12;height:2" coordorigin="5790,14244" coordsize="12,0" path="m5790,14244l5802,14244e" filled="false" stroked="true" strokeweight=".6pt" strokecolor="#000008">
                <v:path arrowok="t"/>
              </v:shape>
            </v:group>
            <v:group style="position:absolute;left:5809;top:14244;width:12;height:2" coordorigin="5809,14244" coordsize="12,2">
              <v:shape style="position:absolute;left:5809;top:14244;width:12;height:2" coordorigin="5809,14244" coordsize="12,0" path="m5809,14244l5821,14244e" filled="false" stroked="true" strokeweight=".6pt" strokecolor="#000008">
                <v:path arrowok="t"/>
              </v:shape>
            </v:group>
            <v:group style="position:absolute;left:5828;top:14244;width:12;height:2" coordorigin="5828,14244" coordsize="12,2">
              <v:shape style="position:absolute;left:5828;top:14244;width:12;height:2" coordorigin="5828,14244" coordsize="12,0" path="m5828,14244l5840,14244e" filled="false" stroked="true" strokeweight=".6pt" strokecolor="#000008">
                <v:path arrowok="t"/>
              </v:shape>
            </v:group>
            <v:group style="position:absolute;left:5848;top:14244;width:12;height:2" coordorigin="5848,14244" coordsize="12,2">
              <v:shape style="position:absolute;left:5848;top:14244;width:12;height:2" coordorigin="5848,14244" coordsize="12,0" path="m5848,14244l5860,14244e" filled="false" stroked="true" strokeweight=".6pt" strokecolor="#000008">
                <v:path arrowok="t"/>
              </v:shape>
            </v:group>
            <v:group style="position:absolute;left:5867;top:14244;width:12;height:2" coordorigin="5867,14244" coordsize="12,2">
              <v:shape style="position:absolute;left:5867;top:14244;width:12;height:2" coordorigin="5867,14244" coordsize="12,0" path="m5867,14244l5879,14244e" filled="false" stroked="true" strokeweight=".6pt" strokecolor="#000008">
                <v:path arrowok="t"/>
              </v:shape>
            </v:group>
            <v:group style="position:absolute;left:5886;top:14244;width:12;height:2" coordorigin="5886,14244" coordsize="12,2">
              <v:shape style="position:absolute;left:5886;top:14244;width:12;height:2" coordorigin="5886,14244" coordsize="12,0" path="m5886,14244l5898,14244e" filled="false" stroked="true" strokeweight=".6pt" strokecolor="#000008">
                <v:path arrowok="t"/>
              </v:shape>
            </v:group>
            <v:group style="position:absolute;left:5905;top:14244;width:12;height:2" coordorigin="5905,14244" coordsize="12,2">
              <v:shape style="position:absolute;left:5905;top:14244;width:12;height:2" coordorigin="5905,14244" coordsize="12,0" path="m5905,14244l5917,14244e" filled="false" stroked="true" strokeweight=".6pt" strokecolor="#000008">
                <v:path arrowok="t"/>
              </v:shape>
            </v:group>
            <v:group style="position:absolute;left:5924;top:14244;width:12;height:2" coordorigin="5924,14244" coordsize="12,2">
              <v:shape style="position:absolute;left:5924;top:14244;width:12;height:2" coordorigin="5924,14244" coordsize="12,0" path="m5924,14244l5936,14244e" filled="false" stroked="true" strokeweight=".6pt" strokecolor="#000008">
                <v:path arrowok="t"/>
              </v:shape>
            </v:group>
            <v:group style="position:absolute;left:5944;top:14244;width:12;height:2" coordorigin="5944,14244" coordsize="12,2">
              <v:shape style="position:absolute;left:5944;top:14244;width:12;height:2" coordorigin="5944,14244" coordsize="12,0" path="m5944,14244l5956,14244e" filled="false" stroked="true" strokeweight=".6pt" strokecolor="#000008">
                <v:path arrowok="t"/>
              </v:shape>
            </v:group>
            <v:group style="position:absolute;left:5963;top:14244;width:12;height:2" coordorigin="5963,14244" coordsize="12,2">
              <v:shape style="position:absolute;left:5963;top:14244;width:12;height:2" coordorigin="5963,14244" coordsize="12,0" path="m5963,14244l5975,14244e" filled="false" stroked="true" strokeweight=".6pt" strokecolor="#000008">
                <v:path arrowok="t"/>
              </v:shape>
            </v:group>
            <v:group style="position:absolute;left:5982;top:14244;width:12;height:2" coordorigin="5982,14244" coordsize="12,2">
              <v:shape style="position:absolute;left:5982;top:14244;width:12;height:2" coordorigin="5982,14244" coordsize="12,0" path="m5982,14244l5994,14244e" filled="false" stroked="true" strokeweight=".6pt" strokecolor="#000008">
                <v:path arrowok="t"/>
              </v:shape>
            </v:group>
            <v:group style="position:absolute;left:6001;top:14244;width:12;height:2" coordorigin="6001,14244" coordsize="12,2">
              <v:shape style="position:absolute;left:6001;top:14244;width:12;height:2" coordorigin="6001,14244" coordsize="12,0" path="m6001,14244l6013,14244e" filled="false" stroked="true" strokeweight=".6pt" strokecolor="#000008">
                <v:path arrowok="t"/>
              </v:shape>
            </v:group>
            <v:group style="position:absolute;left:6020;top:14244;width:12;height:2" coordorigin="6020,14244" coordsize="12,2">
              <v:shape style="position:absolute;left:6020;top:14244;width:12;height:2" coordorigin="6020,14244" coordsize="12,0" path="m6020,14244l6032,14244e" filled="false" stroked="true" strokeweight=".6pt" strokecolor="#000008">
                <v:path arrowok="t"/>
              </v:shape>
            </v:group>
            <v:group style="position:absolute;left:6040;top:14244;width:12;height:2" coordorigin="6040,14244" coordsize="12,2">
              <v:shape style="position:absolute;left:6040;top:14244;width:12;height:2" coordorigin="6040,14244" coordsize="12,0" path="m6040,14244l6052,14244e" filled="false" stroked="true" strokeweight=".6pt" strokecolor="#000008">
                <v:path arrowok="t"/>
              </v:shape>
            </v:group>
            <v:group style="position:absolute;left:6059;top:14244;width:12;height:2" coordorigin="6059,14244" coordsize="12,2">
              <v:shape style="position:absolute;left:6059;top:14244;width:12;height:2" coordorigin="6059,14244" coordsize="12,0" path="m6059,14244l6071,14244e" filled="false" stroked="true" strokeweight=".6pt" strokecolor="#000008">
                <v:path arrowok="t"/>
              </v:shape>
            </v:group>
            <v:group style="position:absolute;left:6078;top:14244;width:12;height:2" coordorigin="6078,14244" coordsize="12,2">
              <v:shape style="position:absolute;left:6078;top:14244;width:12;height:2" coordorigin="6078,14244" coordsize="12,0" path="m6078,14244l6090,14244e" filled="false" stroked="true" strokeweight=".6pt" strokecolor="#000008">
                <v:path arrowok="t"/>
              </v:shape>
            </v:group>
            <v:group style="position:absolute;left:6097;top:14244;width:12;height:2" coordorigin="6097,14244" coordsize="12,2">
              <v:shape style="position:absolute;left:6097;top:14244;width:12;height:2" coordorigin="6097,14244" coordsize="12,0" path="m6097,14244l6109,14244e" filled="false" stroked="true" strokeweight=".6pt" strokecolor="#000008">
                <v:path arrowok="t"/>
              </v:shape>
            </v:group>
            <v:group style="position:absolute;left:6116;top:14244;width:12;height:2" coordorigin="6116,14244" coordsize="12,2">
              <v:shape style="position:absolute;left:6116;top:14244;width:12;height:2" coordorigin="6116,14244" coordsize="12,0" path="m6116,14244l6128,14244e" filled="false" stroked="true" strokeweight=".6pt" strokecolor="#000008">
                <v:path arrowok="t"/>
              </v:shape>
            </v:group>
            <v:group style="position:absolute;left:6136;top:14244;width:12;height:2" coordorigin="6136,14244" coordsize="12,2">
              <v:shape style="position:absolute;left:6136;top:14244;width:12;height:2" coordorigin="6136,14244" coordsize="12,0" path="m6136,14244l6148,14244e" filled="false" stroked="true" strokeweight=".6pt" strokecolor="#000008">
                <v:path arrowok="t"/>
              </v:shape>
            </v:group>
            <v:group style="position:absolute;left:6155;top:14244;width:12;height:2" coordorigin="6155,14244" coordsize="12,2">
              <v:shape style="position:absolute;left:6155;top:14244;width:12;height:2" coordorigin="6155,14244" coordsize="12,0" path="m6155,14244l6167,14244e" filled="false" stroked="true" strokeweight=".6pt" strokecolor="#000008">
                <v:path arrowok="t"/>
              </v:shape>
            </v:group>
            <v:group style="position:absolute;left:6174;top:14244;width:12;height:2" coordorigin="6174,14244" coordsize="12,2">
              <v:shape style="position:absolute;left:6174;top:14244;width:12;height:2" coordorigin="6174,14244" coordsize="12,0" path="m6174,14244l6186,14244e" filled="false" stroked="true" strokeweight=".6pt" strokecolor="#000008">
                <v:path arrowok="t"/>
              </v:shape>
            </v:group>
            <v:group style="position:absolute;left:6193;top:14244;width:12;height:2" coordorigin="6193,14244" coordsize="12,2">
              <v:shape style="position:absolute;left:6193;top:14244;width:12;height:2" coordorigin="6193,14244" coordsize="12,0" path="m6193,14244l6205,14244e" filled="false" stroked="true" strokeweight=".6pt" strokecolor="#000008">
                <v:path arrowok="t"/>
              </v:shape>
            </v:group>
            <v:group style="position:absolute;left:6212;top:14244;width:12;height:2" coordorigin="6212,14244" coordsize="12,2">
              <v:shape style="position:absolute;left:6212;top:14244;width:12;height:2" coordorigin="6212,14244" coordsize="12,0" path="m6212,14244l6224,14244e" filled="false" stroked="true" strokeweight=".6pt" strokecolor="#000008">
                <v:path arrowok="t"/>
              </v:shape>
            </v:group>
            <v:group style="position:absolute;left:6232;top:14244;width:12;height:2" coordorigin="6232,14244" coordsize="12,2">
              <v:shape style="position:absolute;left:6232;top:14244;width:12;height:2" coordorigin="6232,14244" coordsize="12,0" path="m6232,14244l6244,14244e" filled="false" stroked="true" strokeweight=".6pt" strokecolor="#000008">
                <v:path arrowok="t"/>
              </v:shape>
            </v:group>
            <v:group style="position:absolute;left:6251;top:14244;width:12;height:2" coordorigin="6251,14244" coordsize="12,2">
              <v:shape style="position:absolute;left:6251;top:14244;width:12;height:2" coordorigin="6251,14244" coordsize="12,0" path="m6251,14244l6263,14244e" filled="false" stroked="true" strokeweight=".6pt" strokecolor="#000008">
                <v:path arrowok="t"/>
              </v:shape>
            </v:group>
            <v:group style="position:absolute;left:6270;top:14244;width:12;height:2" coordorigin="6270,14244" coordsize="12,2">
              <v:shape style="position:absolute;left:6270;top:14244;width:12;height:2" coordorigin="6270,14244" coordsize="12,0" path="m6270,14244l6282,14244e" filled="false" stroked="true" strokeweight=".6pt" strokecolor="#000008">
                <v:path arrowok="t"/>
              </v:shape>
            </v:group>
            <v:group style="position:absolute;left:6289;top:14244;width:12;height:2" coordorigin="6289,14244" coordsize="12,2">
              <v:shape style="position:absolute;left:6289;top:14244;width:12;height:2" coordorigin="6289,14244" coordsize="12,0" path="m6289,14244l6301,14244e" filled="false" stroked="true" strokeweight=".6pt" strokecolor="#000008">
                <v:path arrowok="t"/>
              </v:shape>
            </v:group>
            <v:group style="position:absolute;left:6308;top:14244;width:12;height:2" coordorigin="6308,14244" coordsize="12,2">
              <v:shape style="position:absolute;left:6308;top:14244;width:12;height:2" coordorigin="6308,14244" coordsize="12,0" path="m6308,14244l6320,14244e" filled="false" stroked="true" strokeweight=".6pt" strokecolor="#000008">
                <v:path arrowok="t"/>
              </v:shape>
            </v:group>
            <v:group style="position:absolute;left:6328;top:14244;width:12;height:2" coordorigin="6328,14244" coordsize="12,2">
              <v:shape style="position:absolute;left:6328;top:14244;width:12;height:2" coordorigin="6328,14244" coordsize="12,0" path="m6328,14244l6340,14244e" filled="false" stroked="true" strokeweight=".6pt" strokecolor="#000008">
                <v:path arrowok="t"/>
              </v:shape>
            </v:group>
            <v:group style="position:absolute;left:6347;top:14244;width:12;height:2" coordorigin="6347,14244" coordsize="12,2">
              <v:shape style="position:absolute;left:6347;top:14244;width:12;height:2" coordorigin="6347,14244" coordsize="12,0" path="m6347,14244l6359,14244e" filled="false" stroked="true" strokeweight=".6pt" strokecolor="#000008">
                <v:path arrowok="t"/>
              </v:shape>
            </v:group>
            <v:group style="position:absolute;left:6366;top:14244;width:12;height:2" coordorigin="6366,14244" coordsize="12,2">
              <v:shape style="position:absolute;left:6366;top:14244;width:12;height:2" coordorigin="6366,14244" coordsize="12,0" path="m6366,14244l6378,14244e" filled="false" stroked="true" strokeweight=".6pt" strokecolor="#000008">
                <v:path arrowok="t"/>
              </v:shape>
            </v:group>
            <v:group style="position:absolute;left:6385;top:14244;width:12;height:2" coordorigin="6385,14244" coordsize="12,2">
              <v:shape style="position:absolute;left:6385;top:14244;width:12;height:2" coordorigin="6385,14244" coordsize="12,0" path="m6385,14244l6397,14244e" filled="false" stroked="true" strokeweight=".6pt" strokecolor="#000008">
                <v:path arrowok="t"/>
              </v:shape>
            </v:group>
            <v:group style="position:absolute;left:6404;top:14244;width:12;height:2" coordorigin="6404,14244" coordsize="12,2">
              <v:shape style="position:absolute;left:6404;top:14244;width:12;height:2" coordorigin="6404,14244" coordsize="12,0" path="m6404,14244l6416,14244e" filled="false" stroked="true" strokeweight=".6pt" strokecolor="#000008">
                <v:path arrowok="t"/>
              </v:shape>
            </v:group>
            <v:group style="position:absolute;left:6424;top:14244;width:12;height:2" coordorigin="6424,14244" coordsize="12,2">
              <v:shape style="position:absolute;left:6424;top:14244;width:12;height:2" coordorigin="6424,14244" coordsize="12,0" path="m6424,14244l6436,14244e" filled="false" stroked="true" strokeweight=".6pt" strokecolor="#000008">
                <v:path arrowok="t"/>
              </v:shape>
            </v:group>
            <v:group style="position:absolute;left:6443;top:14244;width:12;height:2" coordorigin="6443,14244" coordsize="12,2">
              <v:shape style="position:absolute;left:6443;top:14244;width:12;height:2" coordorigin="6443,14244" coordsize="12,0" path="m6443,14244l6455,14244e" filled="false" stroked="true" strokeweight=".6pt" strokecolor="#000008">
                <v:path arrowok="t"/>
              </v:shape>
            </v:group>
            <v:group style="position:absolute;left:6462;top:14244;width:12;height:2" coordorigin="6462,14244" coordsize="12,2">
              <v:shape style="position:absolute;left:6462;top:14244;width:12;height:2" coordorigin="6462,14244" coordsize="12,0" path="m6462,14244l6474,14244e" filled="false" stroked="true" strokeweight=".6pt" strokecolor="#000008">
                <v:path arrowok="t"/>
              </v:shape>
            </v:group>
            <v:group style="position:absolute;left:6481;top:14244;width:12;height:2" coordorigin="6481,14244" coordsize="12,2">
              <v:shape style="position:absolute;left:6481;top:14244;width:12;height:2" coordorigin="6481,14244" coordsize="12,0" path="m6481,14244l6493,14244e" filled="false" stroked="true" strokeweight=".6pt" strokecolor="#000008">
                <v:path arrowok="t"/>
              </v:shape>
            </v:group>
            <v:group style="position:absolute;left:6500;top:14244;width:12;height:2" coordorigin="6500,14244" coordsize="12,2">
              <v:shape style="position:absolute;left:6500;top:14244;width:12;height:2" coordorigin="6500,14244" coordsize="12,0" path="m6500,14244l6512,14244e" filled="false" stroked="true" strokeweight=".6pt" strokecolor="#000008">
                <v:path arrowok="t"/>
              </v:shape>
            </v:group>
            <v:group style="position:absolute;left:6520;top:14244;width:12;height:2" coordorigin="6520,14244" coordsize="12,2">
              <v:shape style="position:absolute;left:6520;top:14244;width:12;height:2" coordorigin="6520,14244" coordsize="12,0" path="m6520,14244l6532,14244e" filled="false" stroked="true" strokeweight=".6pt" strokecolor="#000008">
                <v:path arrowok="t"/>
              </v:shape>
            </v:group>
            <v:group style="position:absolute;left:6539;top:14244;width:12;height:2" coordorigin="6539,14244" coordsize="12,2">
              <v:shape style="position:absolute;left:6539;top:14244;width:12;height:2" coordorigin="6539,14244" coordsize="12,0" path="m6539,14244l6551,14244e" filled="false" stroked="true" strokeweight=".6pt" strokecolor="#000008">
                <v:path arrowok="t"/>
              </v:shape>
            </v:group>
            <v:group style="position:absolute;left:6558;top:14244;width:12;height:2" coordorigin="6558,14244" coordsize="12,2">
              <v:shape style="position:absolute;left:6558;top:14244;width:12;height:2" coordorigin="6558,14244" coordsize="12,0" path="m6558,14244l6570,14244e" filled="false" stroked="true" strokeweight=".6pt" strokecolor="#000008">
                <v:path arrowok="t"/>
              </v:shape>
            </v:group>
            <v:group style="position:absolute;left:6577;top:14244;width:12;height:2" coordorigin="6577,14244" coordsize="12,2">
              <v:shape style="position:absolute;left:6577;top:14244;width:12;height:2" coordorigin="6577,14244" coordsize="12,0" path="m6577,14244l6589,14244e" filled="false" stroked="true" strokeweight=".6pt" strokecolor="#000008">
                <v:path arrowok="t"/>
              </v:shape>
            </v:group>
            <v:group style="position:absolute;left:6596;top:14244;width:12;height:2" coordorigin="6596,14244" coordsize="12,2">
              <v:shape style="position:absolute;left:6596;top:14244;width:12;height:2" coordorigin="6596,14244" coordsize="12,0" path="m6596,14244l6608,14244e" filled="false" stroked="true" strokeweight=".6pt" strokecolor="#000008">
                <v:path arrowok="t"/>
              </v:shape>
            </v:group>
            <v:group style="position:absolute;left:6616;top:14244;width:12;height:2" coordorigin="6616,14244" coordsize="12,2">
              <v:shape style="position:absolute;left:6616;top:14244;width:12;height:2" coordorigin="6616,14244" coordsize="12,0" path="m6616,14244l6628,14244e" filled="false" stroked="true" strokeweight=".6pt" strokecolor="#000008">
                <v:path arrowok="t"/>
              </v:shape>
            </v:group>
            <v:group style="position:absolute;left:6635;top:14244;width:12;height:2" coordorigin="6635,14244" coordsize="12,2">
              <v:shape style="position:absolute;left:6635;top:14244;width:12;height:2" coordorigin="6635,14244" coordsize="12,0" path="m6635,14244l6647,14244e" filled="false" stroked="true" strokeweight=".6pt" strokecolor="#000008">
                <v:path arrowok="t"/>
              </v:shape>
            </v:group>
            <v:group style="position:absolute;left:6654;top:14244;width:12;height:2" coordorigin="6654,14244" coordsize="12,2">
              <v:shape style="position:absolute;left:6654;top:14244;width:12;height:2" coordorigin="6654,14244" coordsize="12,0" path="m6654,14244l6666,14244e" filled="false" stroked="true" strokeweight=".6pt" strokecolor="#000008">
                <v:path arrowok="t"/>
              </v:shape>
            </v:group>
            <v:group style="position:absolute;left:6673;top:14244;width:12;height:2" coordorigin="6673,14244" coordsize="12,2">
              <v:shape style="position:absolute;left:6673;top:14244;width:12;height:2" coordorigin="6673,14244" coordsize="12,0" path="m6673,14244l6685,14244e" filled="false" stroked="true" strokeweight=".6pt" strokecolor="#000008">
                <v:path arrowok="t"/>
              </v:shape>
            </v:group>
            <v:group style="position:absolute;left:6692;top:14244;width:12;height:2" coordorigin="6692,14244" coordsize="12,2">
              <v:shape style="position:absolute;left:6692;top:14244;width:12;height:2" coordorigin="6692,14244" coordsize="12,0" path="m6692,14244l6704,14244e" filled="false" stroked="true" strokeweight=".6pt" strokecolor="#000008">
                <v:path arrowok="t"/>
              </v:shape>
            </v:group>
            <v:group style="position:absolute;left:6712;top:14244;width:12;height:2" coordorigin="6712,14244" coordsize="12,2">
              <v:shape style="position:absolute;left:6712;top:14244;width:12;height:2" coordorigin="6712,14244" coordsize="12,0" path="m6712,14244l6724,14244e" filled="false" stroked="true" strokeweight=".6pt" strokecolor="#000008">
                <v:path arrowok="t"/>
              </v:shape>
            </v:group>
            <v:group style="position:absolute;left:6731;top:14244;width:12;height:2" coordorigin="6731,14244" coordsize="12,2">
              <v:shape style="position:absolute;left:6731;top:14244;width:12;height:2" coordorigin="6731,14244" coordsize="12,0" path="m6731,14244l6743,14244e" filled="false" stroked="true" strokeweight=".6pt" strokecolor="#000008">
                <v:path arrowok="t"/>
              </v:shape>
            </v:group>
            <v:group style="position:absolute;left:6750;top:14244;width:12;height:2" coordorigin="6750,14244" coordsize="12,2">
              <v:shape style="position:absolute;left:6750;top:14244;width:12;height:2" coordorigin="6750,14244" coordsize="12,0" path="m6750,14244l6762,14244e" filled="false" stroked="true" strokeweight=".6pt" strokecolor="#000008">
                <v:path arrowok="t"/>
              </v:shape>
            </v:group>
            <v:group style="position:absolute;left:6769;top:14244;width:12;height:2" coordorigin="6769,14244" coordsize="12,2">
              <v:shape style="position:absolute;left:6769;top:14244;width:12;height:2" coordorigin="6769,14244" coordsize="12,0" path="m6769,14244l6781,14244e" filled="false" stroked="true" strokeweight=".6pt" strokecolor="#000008">
                <v:path arrowok="t"/>
              </v:shape>
            </v:group>
            <v:group style="position:absolute;left:6788;top:14244;width:12;height:2" coordorigin="6788,14244" coordsize="12,2">
              <v:shape style="position:absolute;left:6788;top:14244;width:12;height:2" coordorigin="6788,14244" coordsize="12,0" path="m6788,14244l6800,14244e" filled="false" stroked="true" strokeweight=".6pt" strokecolor="#000008">
                <v:path arrowok="t"/>
              </v:shape>
            </v:group>
            <v:group style="position:absolute;left:6808;top:14244;width:12;height:2" coordorigin="6808,14244" coordsize="12,2">
              <v:shape style="position:absolute;left:6808;top:14244;width:12;height:2" coordorigin="6808,14244" coordsize="12,0" path="m6808,14244l6820,14244e" filled="false" stroked="true" strokeweight=".6pt" strokecolor="#000008">
                <v:path arrowok="t"/>
              </v:shape>
            </v:group>
            <v:group style="position:absolute;left:6827;top:14244;width:12;height:2" coordorigin="6827,14244" coordsize="12,2">
              <v:shape style="position:absolute;left:6827;top:14244;width:12;height:2" coordorigin="6827,14244" coordsize="12,0" path="m6827,14244l6839,14244e" filled="false" stroked="true" strokeweight=".6pt" strokecolor="#000008">
                <v:path arrowok="t"/>
              </v:shape>
            </v:group>
            <v:group style="position:absolute;left:6846;top:14244;width:12;height:2" coordorigin="6846,14244" coordsize="12,2">
              <v:shape style="position:absolute;left:6846;top:14244;width:12;height:2" coordorigin="6846,14244" coordsize="12,0" path="m6846,14244l6858,14244e" filled="false" stroked="true" strokeweight=".6pt" strokecolor="#000008">
                <v:path arrowok="t"/>
              </v:shape>
            </v:group>
            <v:group style="position:absolute;left:6865;top:14244;width:12;height:2" coordorigin="6865,14244" coordsize="12,2">
              <v:shape style="position:absolute;left:6865;top:14244;width:12;height:2" coordorigin="6865,14244" coordsize="12,0" path="m6865,14244l6877,14244e" filled="false" stroked="true" strokeweight=".6pt" strokecolor="#000008">
                <v:path arrowok="t"/>
              </v:shape>
            </v:group>
            <v:group style="position:absolute;left:6884;top:14244;width:12;height:2" coordorigin="6884,14244" coordsize="12,2">
              <v:shape style="position:absolute;left:6884;top:14244;width:12;height:2" coordorigin="6884,14244" coordsize="12,0" path="m6884,14244l6896,14244e" filled="false" stroked="true" strokeweight=".6pt" strokecolor="#000008">
                <v:path arrowok="t"/>
              </v:shape>
            </v:group>
            <v:group style="position:absolute;left:6904;top:14244;width:12;height:2" coordorigin="6904,14244" coordsize="12,2">
              <v:shape style="position:absolute;left:6904;top:14244;width:12;height:2" coordorigin="6904,14244" coordsize="12,0" path="m6904,14244l6916,14244e" filled="false" stroked="true" strokeweight=".6pt" strokecolor="#000008">
                <v:path arrowok="t"/>
              </v:shape>
            </v:group>
            <v:group style="position:absolute;left:6923;top:14244;width:12;height:2" coordorigin="6923,14244" coordsize="12,2">
              <v:shape style="position:absolute;left:6923;top:14244;width:12;height:2" coordorigin="6923,14244" coordsize="12,0" path="m6923,14244l6935,14244e" filled="false" stroked="true" strokeweight=".6pt" strokecolor="#000008">
                <v:path arrowok="t"/>
              </v:shape>
            </v:group>
            <v:group style="position:absolute;left:6942;top:14244;width:12;height:2" coordorigin="6942,14244" coordsize="12,2">
              <v:shape style="position:absolute;left:6942;top:14244;width:12;height:2" coordorigin="6942,14244" coordsize="12,0" path="m6942,14244l6954,14244e" filled="false" stroked="true" strokeweight=".6pt" strokecolor="#000008">
                <v:path arrowok="t"/>
              </v:shape>
            </v:group>
            <v:group style="position:absolute;left:6961;top:14244;width:12;height:2" coordorigin="6961,14244" coordsize="12,2">
              <v:shape style="position:absolute;left:6961;top:14244;width:12;height:2" coordorigin="6961,14244" coordsize="12,0" path="m6961,14244l6973,14244e" filled="false" stroked="true" strokeweight=".6pt" strokecolor="#000008">
                <v:path arrowok="t"/>
              </v:shape>
            </v:group>
            <v:group style="position:absolute;left:6980;top:14244;width:12;height:2" coordorigin="6980,14244" coordsize="12,2">
              <v:shape style="position:absolute;left:6980;top:14244;width:12;height:2" coordorigin="6980,14244" coordsize="12,0" path="m6980,14244l6992,14244e" filled="false" stroked="true" strokeweight=".6pt" strokecolor="#000008">
                <v:path arrowok="t"/>
              </v:shape>
            </v:group>
            <v:group style="position:absolute;left:7000;top:14244;width:12;height:2" coordorigin="7000,14244" coordsize="12,2">
              <v:shape style="position:absolute;left:7000;top:14244;width:12;height:2" coordorigin="7000,14244" coordsize="12,0" path="m7000,14244l7012,14244e" filled="false" stroked="true" strokeweight=".6pt" strokecolor="#000008">
                <v:path arrowok="t"/>
              </v:shape>
            </v:group>
            <v:group style="position:absolute;left:7019;top:14244;width:12;height:2" coordorigin="7019,14244" coordsize="12,2">
              <v:shape style="position:absolute;left:7019;top:14244;width:12;height:2" coordorigin="7019,14244" coordsize="12,0" path="m7019,14244l7031,14244e" filled="false" stroked="true" strokeweight=".6pt" strokecolor="#000008">
                <v:path arrowok="t"/>
              </v:shape>
            </v:group>
            <v:group style="position:absolute;left:7038;top:14244;width:12;height:2" coordorigin="7038,14244" coordsize="12,2">
              <v:shape style="position:absolute;left:7038;top:14244;width:12;height:2" coordorigin="7038,14244" coordsize="12,0" path="m7038,14244l7050,14244e" filled="false" stroked="true" strokeweight=".6pt" strokecolor="#000008">
                <v:path arrowok="t"/>
              </v:shape>
            </v:group>
            <v:group style="position:absolute;left:7057;top:14244;width:12;height:2" coordorigin="7057,14244" coordsize="12,2">
              <v:shape style="position:absolute;left:7057;top:14244;width:12;height:2" coordorigin="7057,14244" coordsize="12,0" path="m7057,14244l7069,14244e" filled="false" stroked="true" strokeweight=".6pt" strokecolor="#000008">
                <v:path arrowok="t"/>
              </v:shape>
            </v:group>
            <v:group style="position:absolute;left:7076;top:14244;width:12;height:2" coordorigin="7076,14244" coordsize="12,2">
              <v:shape style="position:absolute;left:7076;top:14244;width:12;height:2" coordorigin="7076,14244" coordsize="12,0" path="m7076,14244l7088,14244e" filled="false" stroked="true" strokeweight=".6pt" strokecolor="#000008">
                <v:path arrowok="t"/>
              </v:shape>
            </v:group>
            <v:group style="position:absolute;left:7096;top:14244;width:12;height:2" coordorigin="7096,14244" coordsize="12,2">
              <v:shape style="position:absolute;left:7096;top:14244;width:12;height:2" coordorigin="7096,14244" coordsize="12,0" path="m7096,14244l7108,14244e" filled="false" stroked="true" strokeweight=".6pt" strokecolor="#000008">
                <v:path arrowok="t"/>
              </v:shape>
            </v:group>
            <v:group style="position:absolute;left:7115;top:14244;width:12;height:2" coordorigin="7115,14244" coordsize="12,2">
              <v:shape style="position:absolute;left:7115;top:14244;width:12;height:2" coordorigin="7115,14244" coordsize="12,0" path="m7115,14244l7127,14244e" filled="false" stroked="true" strokeweight=".6pt" strokecolor="#000008">
                <v:path arrowok="t"/>
              </v:shape>
            </v:group>
            <v:group style="position:absolute;left:7134;top:14244;width:12;height:2" coordorigin="7134,14244" coordsize="12,2">
              <v:shape style="position:absolute;left:7134;top:14244;width:12;height:2" coordorigin="7134,14244" coordsize="12,0" path="m7134,14244l7146,14244e" filled="false" stroked="true" strokeweight=".6pt" strokecolor="#000008">
                <v:path arrowok="t"/>
              </v:shape>
            </v:group>
            <v:group style="position:absolute;left:7153;top:14244;width:12;height:2" coordorigin="7153,14244" coordsize="12,2">
              <v:shape style="position:absolute;left:7153;top:14244;width:12;height:2" coordorigin="7153,14244" coordsize="12,0" path="m7153,14244l7165,14244e" filled="false" stroked="true" strokeweight=".6pt" strokecolor="#000008">
                <v:path arrowok="t"/>
              </v:shape>
            </v:group>
            <v:group style="position:absolute;left:7172;top:14244;width:12;height:2" coordorigin="7172,14244" coordsize="12,2">
              <v:shape style="position:absolute;left:7172;top:14244;width:12;height:2" coordorigin="7172,14244" coordsize="12,0" path="m7172,14244l7184,14244e" filled="false" stroked="true" strokeweight=".6pt" strokecolor="#000008">
                <v:path arrowok="t"/>
              </v:shape>
            </v:group>
            <v:group style="position:absolute;left:7192;top:14244;width:12;height:2" coordorigin="7192,14244" coordsize="12,2">
              <v:shape style="position:absolute;left:7192;top:14244;width:12;height:2" coordorigin="7192,14244" coordsize="12,0" path="m7192,14244l7204,14244e" filled="false" stroked="true" strokeweight=".6pt" strokecolor="#000008">
                <v:path arrowok="t"/>
              </v:shape>
            </v:group>
            <v:group style="position:absolute;left:7211;top:14244;width:12;height:2" coordorigin="7211,14244" coordsize="12,2">
              <v:shape style="position:absolute;left:7211;top:14244;width:12;height:2" coordorigin="7211,14244" coordsize="12,0" path="m7211,14244l7223,14244e" filled="false" stroked="true" strokeweight=".6pt" strokecolor="#000008">
                <v:path arrowok="t"/>
              </v:shape>
            </v:group>
            <v:group style="position:absolute;left:7230;top:14244;width:12;height:2" coordorigin="7230,14244" coordsize="12,2">
              <v:shape style="position:absolute;left:7230;top:14244;width:12;height:2" coordorigin="7230,14244" coordsize="12,0" path="m7230,14244l7242,14244e" filled="false" stroked="true" strokeweight=".6pt" strokecolor="#000008">
                <v:path arrowok="t"/>
              </v:shape>
            </v:group>
            <v:group style="position:absolute;left:7249;top:14244;width:12;height:2" coordorigin="7249,14244" coordsize="12,2">
              <v:shape style="position:absolute;left:7249;top:14244;width:12;height:2" coordorigin="7249,14244" coordsize="12,0" path="m7249,14244l7261,14244e" filled="false" stroked="true" strokeweight=".6pt" strokecolor="#000008">
                <v:path arrowok="t"/>
              </v:shape>
            </v:group>
            <v:group style="position:absolute;left:7268;top:14244;width:12;height:2" coordorigin="7268,14244" coordsize="12,2">
              <v:shape style="position:absolute;left:7268;top:14244;width:12;height:2" coordorigin="7268,14244" coordsize="12,0" path="m7268,14244l7280,14244e" filled="false" stroked="true" strokeweight=".6pt" strokecolor="#000008">
                <v:path arrowok="t"/>
              </v:shape>
            </v:group>
            <v:group style="position:absolute;left:7288;top:14244;width:12;height:2" coordorigin="7288,14244" coordsize="12,2">
              <v:shape style="position:absolute;left:7288;top:14244;width:12;height:2" coordorigin="7288,14244" coordsize="12,0" path="m7288,14244l7300,14244e" filled="false" stroked="true" strokeweight=".6pt" strokecolor="#000008">
                <v:path arrowok="t"/>
              </v:shape>
            </v:group>
            <v:group style="position:absolute;left:7307;top:14244;width:12;height:2" coordorigin="7307,14244" coordsize="12,2">
              <v:shape style="position:absolute;left:7307;top:14244;width:12;height:2" coordorigin="7307,14244" coordsize="12,0" path="m7307,14244l7319,14244e" filled="false" stroked="true" strokeweight=".6pt" strokecolor="#000008">
                <v:path arrowok="t"/>
              </v:shape>
            </v:group>
            <v:group style="position:absolute;left:7326;top:14244;width:12;height:2" coordorigin="7326,14244" coordsize="12,2">
              <v:shape style="position:absolute;left:7326;top:14244;width:12;height:2" coordorigin="7326,14244" coordsize="12,0" path="m7326,14244l7338,14244e" filled="false" stroked="true" strokeweight=".6pt" strokecolor="#000008">
                <v:path arrowok="t"/>
              </v:shape>
            </v:group>
            <v:group style="position:absolute;left:7345;top:14244;width:12;height:2" coordorigin="7345,14244" coordsize="12,2">
              <v:shape style="position:absolute;left:7345;top:14244;width:12;height:2" coordorigin="7345,14244" coordsize="12,0" path="m7345,14244l7357,14244e" filled="false" stroked="true" strokeweight=".6pt" strokecolor="#000008">
                <v:path arrowok="t"/>
              </v:shape>
            </v:group>
            <v:group style="position:absolute;left:7364;top:14244;width:12;height:2" coordorigin="7364,14244" coordsize="12,2">
              <v:shape style="position:absolute;left:7364;top:14244;width:12;height:2" coordorigin="7364,14244" coordsize="12,0" path="m7364,14244l7376,14244e" filled="false" stroked="true" strokeweight=".6pt" strokecolor="#000008">
                <v:path arrowok="t"/>
              </v:shape>
            </v:group>
            <w10:wrap type="none"/>
          </v:group>
        </w:pict>
      </w:r>
    </w:p>
    <w:p>
      <w:pPr>
        <w:spacing w:line="20" w:lineRule="exact"/>
        <w:ind w:left="10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45pt;height:.75pt;mso-position-horizontal-relative:char;mso-position-vertical-relative:line" coordorigin="0,0" coordsize="8369,15">
            <v:group style="position:absolute;left:7;top:7;width:8355;height:2" coordorigin="7,7" coordsize="8355,2">
              <v:shape style="position:absolute;left:7;top:7;width:8355;height:2" coordorigin="7,7" coordsize="8355,0" path="m7,7l8362,7e" filled="false" stroked="true" strokeweight=".72pt" strokecolor="#000008">
                <v:path arrowok="t"/>
              </v:shape>
            </v:group>
          </v:group>
        </w:pict>
      </w:r>
      <w:r>
        <w:rPr>
          <w:rFonts w:ascii="Times New Roman" w:hAnsi="Times New Roman" w:cs="Times New Roman" w:eastAsia="Times New Roman" w:hint="default"/>
          <w:sz w:val="2"/>
          <w:szCs w:val="2"/>
        </w:rPr>
      </w:r>
    </w:p>
    <w:p>
      <w:pPr>
        <w:pStyle w:val="Heading2"/>
        <w:spacing w:line="240" w:lineRule="auto" w:before="52"/>
        <w:ind w:left="3788" w:right="4146"/>
        <w:jc w:val="center"/>
      </w:pPr>
      <w:r>
        <w:rPr/>
        <w:t>资产负债表</w:t>
      </w:r>
    </w:p>
    <w:p>
      <w:pPr>
        <w:spacing w:before="130"/>
        <w:ind w:left="3798" w:right="4146"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tabs>
          <w:tab w:pos="1527" w:val="left" w:leader="none"/>
          <w:tab w:pos="3096" w:val="left" w:leader="none"/>
          <w:tab w:pos="7327" w:val="left" w:leader="none"/>
          <w:tab w:pos="7489" w:val="left" w:leader="none"/>
        </w:tabs>
        <w:spacing w:line="297" w:lineRule="auto" w:before="64"/>
        <w:ind w:left="1126" w:right="485" w:hanging="989"/>
        <w:jc w:val="left"/>
        <w:rPr>
          <w:rFonts w:ascii="Microsoft JhengHei" w:hAnsi="Microsoft JhengHei" w:cs="Microsoft JhengHei" w:eastAsia="Microsoft JhengHei" w:hint="default"/>
          <w:sz w:val="20"/>
          <w:szCs w:val="20"/>
        </w:rPr>
      </w:pPr>
      <w:r>
        <w:rPr/>
        <w:pict>
          <v:group style="position:absolute;margin-left:89.759995pt;margin-top:25.261368pt;width:450pt;height:.1pt;mso-position-horizontal-relative:page;mso-position-vertical-relative:paragraph;z-index:-1139848" coordorigin="1795,505" coordsize="9000,2">
            <v:shape style="position:absolute;left:1795;top:505;width:9000;height:2" coordorigin="1795,505" coordsize="9000,0" path="m1795,505l10795,505e" filled="false" stroked="true" strokeweight=".48pt" strokecolor="#000008">
              <v:path arrowok="t"/>
            </v:shape>
            <w10:wrap type="none"/>
          </v:group>
        </w:pict>
      </w:r>
      <w:r>
        <w:rPr>
          <w:rFonts w:ascii="Microsoft JhengHei" w:hAnsi="Microsoft JhengHei" w:cs="Microsoft JhengHei" w:eastAsia="Microsoft JhengHei" w:hint="default"/>
          <w:b/>
          <w:bCs/>
          <w:sz w:val="20"/>
          <w:szCs w:val="20"/>
        </w:rPr>
        <w:t>编制单位：深圳市农产品股份有限公司</w:t>
        <w:tab/>
        <w:t>金额单位：人民币元</w:t>
      </w:r>
      <w:r>
        <w:rPr>
          <w:rFonts w:ascii="Microsoft JhengHei" w:hAnsi="Microsoft JhengHei" w:cs="Microsoft JhengHei" w:eastAsia="Microsoft JhengHei" w:hint="default"/>
          <w:b/>
          <w:bCs/>
          <w:spacing w:val="-42"/>
          <w:sz w:val="20"/>
          <w:szCs w:val="20"/>
        </w:rPr>
        <w:t> </w:t>
      </w:r>
      <w:r>
        <w:rPr>
          <w:rFonts w:ascii="Microsoft JhengHei" w:hAnsi="Microsoft JhengHei" w:cs="Microsoft JhengHei" w:eastAsia="Microsoft JhengHei" w:hint="default"/>
          <w:b/>
          <w:bCs/>
          <w:spacing w:val="-42"/>
          <w:sz w:val="20"/>
          <w:szCs w:val="20"/>
        </w:rPr>
      </w:r>
      <w:r>
        <w:rPr>
          <w:rFonts w:ascii="Microsoft JhengHei" w:hAnsi="Microsoft JhengHei" w:cs="Microsoft JhengHei" w:eastAsia="Microsoft JhengHei" w:hint="default"/>
          <w:b/>
          <w:bCs/>
          <w:w w:val="95"/>
          <w:sz w:val="20"/>
          <w:szCs w:val="20"/>
        </w:rPr>
        <w:t>资</w:t>
        <w:tab/>
        <w:t>产</w:t>
        <w:tab/>
      </w:r>
      <w:r>
        <w:rPr>
          <w:rFonts w:ascii="Microsoft JhengHei" w:hAnsi="Microsoft JhengHei" w:cs="Microsoft JhengHei" w:eastAsia="Microsoft JhengHei" w:hint="default"/>
          <w:b/>
          <w:bCs/>
          <w:sz w:val="20"/>
          <w:szCs w:val="20"/>
        </w:rPr>
        <w:t>附注十一   </w:t>
      </w: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3"/>
          <w:sz w:val="20"/>
          <w:szCs w:val="20"/>
        </w:rPr>
        <w:t> </w:t>
      </w:r>
      <w:r>
        <w:rPr>
          <w:rFonts w:ascii="Microsoft JhengHei" w:hAnsi="Microsoft JhengHei" w:cs="Microsoft JhengHei" w:eastAsia="Microsoft JhengHei" w:hint="default"/>
          <w:b/>
          <w:bCs/>
          <w:sz w:val="20"/>
          <w:szCs w:val="20"/>
        </w:rPr>
        <w:t>日</w:t>
        <w:tab/>
        <w:tab/>
      </w:r>
      <w:r>
        <w:rPr>
          <w:rFonts w:ascii="Times New Roman" w:hAnsi="Times New Roman" w:cs="Times New Roman" w:eastAsia="Times New Roman" w:hint="default"/>
          <w:b/>
          <w:bCs/>
          <w:sz w:val="20"/>
          <w:szCs w:val="20"/>
        </w:rPr>
        <w:t>2008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spacing w:line="323" w:lineRule="exact" w:before="0"/>
        <w:ind w:left="137" w:right="485" w:firstLine="0"/>
        <w:jc w:val="left"/>
        <w:rPr>
          <w:rFonts w:ascii="Microsoft JhengHei" w:hAnsi="Microsoft JhengHei" w:cs="Microsoft JhengHei" w:eastAsia="Microsoft JhengHei" w:hint="default"/>
          <w:sz w:val="20"/>
          <w:szCs w:val="20"/>
        </w:rPr>
      </w:pPr>
      <w:r>
        <w:rPr/>
        <w:pict>
          <v:group style="position:absolute;margin-left:89.759995pt;margin-top:1.343885pt;width:129pt;height:.1pt;mso-position-horizontal-relative:page;mso-position-vertical-relative:paragraph;z-index:-1139824" coordorigin="1795,27" coordsize="2580,2">
            <v:shape style="position:absolute;left:1795;top:27;width:2580;height:2" coordorigin="1795,27" coordsize="2580,0" path="m1795,27l4375,27e" filled="false" stroked="true" strokeweight=".48pt" strokecolor="#000008">
              <v:path arrowok="t"/>
            </v:shape>
            <w10:wrap type="none"/>
          </v:group>
        </w:pict>
      </w:r>
      <w:r>
        <w:rPr/>
        <w:pict>
          <v:group style="position:absolute;margin-left:237.599991pt;margin-top:1.103885pt;width:131.4pt;height:.5pt;mso-position-horizontal-relative:page;mso-position-vertical-relative:paragraph;z-index:2704" coordorigin="4752,22" coordsize="2628,10">
            <v:group style="position:absolute;left:4757;top:27;width:804;height:2" coordorigin="4757,27" coordsize="804,2">
              <v:shape style="position:absolute;left:4757;top:27;width:804;height:2" coordorigin="4757,27" coordsize="804,0" path="m4757,27l5561,27e" filled="false" stroked="true" strokeweight=".48pt" strokecolor="#000008">
                <v:path arrowok="t"/>
              </v:shape>
            </v:group>
            <v:group style="position:absolute;left:5580;top:27;width:1796;height:2" coordorigin="5580,27" coordsize="1796,2">
              <v:shape style="position:absolute;left:5580;top:27;width:1796;height:2" coordorigin="5580,27" coordsize="1796,0" path="m5580,27l7375,27e" filled="false" stroked="true" strokeweight=".48pt" strokecolor="#000008">
                <v:path arrowok="t"/>
              </v:shape>
            </v:group>
            <w10:wrap type="none"/>
          </v:group>
        </w:pict>
      </w:r>
      <w:r>
        <w:rPr/>
        <w:pict>
          <v:group style="position:absolute;margin-left:413.759979pt;margin-top:1.343885pt;width:126pt;height:.1pt;mso-position-horizontal-relative:page;mso-position-vertical-relative:paragraph;z-index:2728" coordorigin="8275,27" coordsize="2520,2">
            <v:shape style="position:absolute;left:8275;top:27;width:2520;height:2" coordorigin="8275,27" coordsize="2520,0" path="m8275,27l10795,27e" filled="false" stroked="true" strokeweight=".48pt" strokecolor="#000008">
              <v:path arrowok="t"/>
            </v:shape>
            <w10:wrap type="none"/>
          </v:group>
        </w:pict>
      </w: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p>
      <w:pPr>
        <w:spacing w:line="240" w:lineRule="auto" w:before="8"/>
        <w:rPr>
          <w:rFonts w:ascii="Microsoft JhengHei" w:hAnsi="Microsoft JhengHei" w:cs="Microsoft JhengHei" w:eastAsia="Microsoft JhengHei"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86"/>
        <w:gridCol w:w="797"/>
        <w:gridCol w:w="341"/>
        <w:gridCol w:w="1462"/>
        <w:gridCol w:w="893"/>
        <w:gridCol w:w="2567"/>
        <w:gridCol w:w="338"/>
      </w:tblGrid>
      <w:tr>
        <w:trPr>
          <w:trHeight w:val="395"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79"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396" w:right="0"/>
              <w:jc w:val="left"/>
              <w:rPr>
                <w:rFonts w:ascii="Times New Roman" w:hAnsi="Times New Roman" w:cs="Times New Roman" w:eastAsia="Times New Roman" w:hint="default"/>
                <w:sz w:val="20"/>
                <w:szCs w:val="20"/>
              </w:rPr>
            </w:pPr>
            <w:r>
              <w:rPr>
                <w:rFonts w:ascii="Times New Roman"/>
                <w:sz w:val="20"/>
              </w:rPr>
              <w:t>1,165,696,727.14</w:t>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1"/>
              <w:jc w:val="right"/>
              <w:rPr>
                <w:rFonts w:ascii="Times New Roman" w:hAnsi="Times New Roman" w:cs="Times New Roman" w:eastAsia="Times New Roman" w:hint="default"/>
                <w:sz w:val="20"/>
                <w:szCs w:val="20"/>
              </w:rPr>
            </w:pPr>
            <w:r>
              <w:rPr>
                <w:rFonts w:ascii="Times New Roman"/>
                <w:w w:val="95"/>
                <w:sz w:val="20"/>
              </w:rPr>
              <w:t>809,694,782.75</w:t>
            </w:r>
            <w:r>
              <w:rPr>
                <w:rFonts w:ascii="Times New Roman"/>
                <w:sz w:val="20"/>
              </w:rPr>
            </w:r>
          </w:p>
        </w:tc>
        <w:tc>
          <w:tcPr>
            <w:tcW w:w="338" w:type="dxa"/>
            <w:vMerge w:val="restart"/>
            <w:tcBorders>
              <w:top w:val="nil" w:sz="6" w:space="0" w:color="auto"/>
              <w:left w:val="nil" w:sz="6" w:space="0" w:color="auto"/>
              <w:right w:val="nil" w:sz="6" w:space="0" w:color="auto"/>
            </w:tcBorders>
          </w:tcPr>
          <w:p>
            <w:pP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38" w:type="dxa"/>
            <w:vMerge/>
            <w:tcBorders>
              <w:left w:val="nil" w:sz="6" w:space="0" w:color="auto"/>
              <w:right w:val="nil" w:sz="6" w:space="0" w:color="auto"/>
            </w:tcBorders>
          </w:tcPr>
          <w:p>
            <w:pP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38" w:type="dxa"/>
            <w:vMerge/>
            <w:tcBorders>
              <w:left w:val="nil" w:sz="6" w:space="0" w:color="auto"/>
              <w:right w:val="nil" w:sz="6" w:space="0" w:color="auto"/>
            </w:tcBorders>
          </w:tcPr>
          <w:p>
            <w:pPr/>
          </w:p>
        </w:tc>
      </w:tr>
      <w:tr>
        <w:trPr>
          <w:trHeight w:val="371"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1"/>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38" w:type="dxa"/>
            <w:vMerge/>
            <w:tcBorders>
              <w:left w:val="nil" w:sz="6" w:space="0" w:color="auto"/>
              <w:right w:val="nil" w:sz="6" w:space="0" w:color="auto"/>
            </w:tcBorders>
          </w:tcPr>
          <w:p>
            <w:pP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547" w:right="0"/>
              <w:jc w:val="left"/>
              <w:rPr>
                <w:rFonts w:ascii="Times New Roman" w:hAnsi="Times New Roman" w:cs="Times New Roman" w:eastAsia="Times New Roman" w:hint="default"/>
                <w:sz w:val="20"/>
                <w:szCs w:val="20"/>
              </w:rPr>
            </w:pPr>
            <w:r>
              <w:rPr>
                <w:rFonts w:ascii="Times New Roman"/>
                <w:color w:val="003366"/>
                <w:sz w:val="20"/>
              </w:rPr>
              <w:t>105,991,060.00</w:t>
            </w:r>
            <w:r>
              <w:rPr>
                <w:rFonts w:ascii="Times New Roman"/>
                <w:sz w:val="20"/>
              </w:rPr>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3"/>
              <w:jc w:val="right"/>
              <w:rPr>
                <w:rFonts w:ascii="Times New Roman" w:hAnsi="Times New Roman" w:cs="Times New Roman" w:eastAsia="Times New Roman" w:hint="default"/>
                <w:sz w:val="20"/>
                <w:szCs w:val="20"/>
              </w:rPr>
            </w:pPr>
            <w:r>
              <w:rPr>
                <w:rFonts w:ascii="Times New Roman"/>
                <w:color w:val="003366"/>
                <w:w w:val="99"/>
                <w:sz w:val="20"/>
              </w:rPr>
              <w:t>-</w:t>
            </w:r>
            <w:r>
              <w:rPr>
                <w:rFonts w:ascii="Times New Roman"/>
                <w:sz w:val="20"/>
              </w:rPr>
            </w:r>
          </w:p>
        </w:tc>
        <w:tc>
          <w:tcPr>
            <w:tcW w:w="338" w:type="dxa"/>
            <w:vMerge/>
            <w:tcBorders>
              <w:left w:val="nil" w:sz="6" w:space="0" w:color="auto"/>
              <w:right w:val="nil" w:sz="6" w:space="0" w:color="auto"/>
            </w:tcBorders>
          </w:tcPr>
          <w:p>
            <w:pP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right="6"/>
              <w:jc w:val="right"/>
              <w:rPr>
                <w:rFonts w:ascii="Times New Roman" w:hAnsi="Times New Roman" w:cs="Times New Roman" w:eastAsia="Times New Roman" w:hint="default"/>
                <w:sz w:val="20"/>
                <w:szCs w:val="20"/>
              </w:rPr>
            </w:pPr>
            <w:r>
              <w:rPr>
                <w:rFonts w:ascii="Times New Roman"/>
                <w:color w:val="003366"/>
                <w:w w:val="99"/>
                <w:sz w:val="20"/>
              </w:rPr>
              <w:t>-</w:t>
            </w:r>
            <w:r>
              <w:rPr>
                <w:rFonts w:ascii="Times New Roman"/>
                <w:sz w:val="20"/>
              </w:rPr>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3"/>
              <w:jc w:val="right"/>
              <w:rPr>
                <w:rFonts w:ascii="Times New Roman" w:hAnsi="Times New Roman" w:cs="Times New Roman" w:eastAsia="Times New Roman" w:hint="default"/>
                <w:sz w:val="20"/>
                <w:szCs w:val="20"/>
              </w:rPr>
            </w:pPr>
            <w:r>
              <w:rPr>
                <w:rFonts w:ascii="Times New Roman"/>
                <w:color w:val="003366"/>
                <w:w w:val="99"/>
                <w:sz w:val="20"/>
              </w:rPr>
              <w:t>-</w:t>
            </w:r>
            <w:r>
              <w:rPr>
                <w:rFonts w:ascii="Times New Roman"/>
                <w:sz w:val="20"/>
              </w:rPr>
            </w:r>
          </w:p>
        </w:tc>
        <w:tc>
          <w:tcPr>
            <w:tcW w:w="338" w:type="dxa"/>
            <w:vMerge/>
            <w:tcBorders>
              <w:left w:val="nil" w:sz="6" w:space="0" w:color="auto"/>
              <w:right w:val="nil" w:sz="6" w:space="0" w:color="auto"/>
            </w:tcBorders>
          </w:tcPr>
          <w:p>
            <w:pP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645" w:right="0"/>
              <w:jc w:val="left"/>
              <w:rPr>
                <w:rFonts w:ascii="Times New Roman" w:hAnsi="Times New Roman" w:cs="Times New Roman" w:eastAsia="Times New Roman" w:hint="default"/>
                <w:sz w:val="20"/>
                <w:szCs w:val="20"/>
              </w:rPr>
            </w:pPr>
            <w:r>
              <w:rPr>
                <w:rFonts w:ascii="Times New Roman"/>
                <w:color w:val="003366"/>
                <w:sz w:val="20"/>
              </w:rPr>
              <w:t>29,355,594.02</w:t>
            </w:r>
            <w:r>
              <w:rPr>
                <w:rFonts w:ascii="Times New Roman"/>
                <w:sz w:val="20"/>
              </w:rPr>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1"/>
              <w:jc w:val="right"/>
              <w:rPr>
                <w:rFonts w:ascii="Times New Roman" w:hAnsi="Times New Roman" w:cs="Times New Roman" w:eastAsia="Times New Roman" w:hint="default"/>
                <w:sz w:val="20"/>
                <w:szCs w:val="20"/>
              </w:rPr>
            </w:pPr>
            <w:r>
              <w:rPr>
                <w:rFonts w:ascii="Times New Roman"/>
                <w:color w:val="003366"/>
                <w:spacing w:val="-1"/>
                <w:sz w:val="20"/>
              </w:rPr>
              <w:t>118,328,649.10</w:t>
            </w:r>
            <w:r>
              <w:rPr>
                <w:rFonts w:ascii="Times New Roman"/>
                <w:spacing w:val="-1"/>
                <w:sz w:val="20"/>
              </w:rPr>
            </w:r>
          </w:p>
        </w:tc>
        <w:tc>
          <w:tcPr>
            <w:tcW w:w="338" w:type="dxa"/>
            <w:vMerge/>
            <w:tcBorders>
              <w:left w:val="nil" w:sz="6" w:space="0" w:color="auto"/>
              <w:right w:val="nil" w:sz="6" w:space="0" w:color="auto"/>
            </w:tcBorders>
          </w:tcPr>
          <w:p>
            <w:pPr/>
          </w:p>
        </w:tc>
      </w:tr>
      <w:tr>
        <w:trPr>
          <w:trHeight w:val="371"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1"/>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547" w:right="0"/>
              <w:jc w:val="left"/>
              <w:rPr>
                <w:rFonts w:ascii="Times New Roman" w:hAnsi="Times New Roman" w:cs="Times New Roman" w:eastAsia="Times New Roman" w:hint="default"/>
                <w:sz w:val="20"/>
                <w:szCs w:val="20"/>
              </w:rPr>
            </w:pPr>
            <w:r>
              <w:rPr>
                <w:rFonts w:ascii="Times New Roman"/>
                <w:sz w:val="20"/>
              </w:rPr>
              <w:t>637,969,065.31</w:t>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1"/>
              <w:jc w:val="right"/>
              <w:rPr>
                <w:rFonts w:ascii="Times New Roman" w:hAnsi="Times New Roman" w:cs="Times New Roman" w:eastAsia="Times New Roman" w:hint="default"/>
                <w:sz w:val="20"/>
                <w:szCs w:val="20"/>
              </w:rPr>
            </w:pPr>
            <w:r>
              <w:rPr>
                <w:rFonts w:ascii="Times New Roman"/>
                <w:w w:val="95"/>
                <w:sz w:val="20"/>
              </w:rPr>
              <w:t>574,065,961.76</w:t>
            </w:r>
            <w:r>
              <w:rPr>
                <w:rFonts w:ascii="Times New Roman"/>
                <w:sz w:val="20"/>
              </w:rPr>
            </w:r>
          </w:p>
        </w:tc>
        <w:tc>
          <w:tcPr>
            <w:tcW w:w="338" w:type="dxa"/>
            <w:vMerge/>
            <w:tcBorders>
              <w:left w:val="nil" w:sz="6" w:space="0" w:color="auto"/>
              <w:right w:val="nil" w:sz="6" w:space="0" w:color="auto"/>
            </w:tcBorders>
          </w:tcPr>
          <w:p>
            <w:pP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tabs>
                <w:tab w:pos="979" w:val="left" w:leader="none"/>
              </w:tabs>
              <w:spacing w:line="240" w:lineRule="auto" w:before="11"/>
              <w:ind w:left="379" w:right="0"/>
              <w:jc w:val="left"/>
              <w:rPr>
                <w:rFonts w:ascii="宋体" w:hAnsi="宋体" w:cs="宋体" w:eastAsia="宋体" w:hint="default"/>
                <w:sz w:val="20"/>
                <w:szCs w:val="20"/>
              </w:rPr>
            </w:pPr>
            <w:r>
              <w:rPr>
                <w:rFonts w:ascii="宋体" w:hAnsi="宋体" w:cs="宋体" w:eastAsia="宋体" w:hint="default"/>
                <w:w w:val="95"/>
                <w:sz w:val="20"/>
                <w:szCs w:val="20"/>
              </w:rPr>
              <w:t>存</w:t>
              <w:tab/>
            </w:r>
            <w:r>
              <w:rPr>
                <w:rFonts w:ascii="宋体" w:hAnsi="宋体" w:cs="宋体" w:eastAsia="宋体" w:hint="default"/>
                <w:sz w:val="20"/>
                <w:szCs w:val="20"/>
              </w:rPr>
              <w:t>货</w:t>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996" w:right="0"/>
              <w:jc w:val="left"/>
              <w:rPr>
                <w:rFonts w:ascii="Times New Roman" w:hAnsi="Times New Roman" w:cs="Times New Roman" w:eastAsia="Times New Roman" w:hint="default"/>
                <w:sz w:val="20"/>
                <w:szCs w:val="20"/>
              </w:rPr>
            </w:pPr>
            <w:r>
              <w:rPr>
                <w:rFonts w:ascii="Times New Roman"/>
                <w:sz w:val="20"/>
              </w:rPr>
              <w:t>59,509.00</w:t>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3"/>
              <w:jc w:val="right"/>
              <w:rPr>
                <w:rFonts w:ascii="Times New Roman" w:hAnsi="Times New Roman" w:cs="Times New Roman" w:eastAsia="Times New Roman" w:hint="default"/>
                <w:sz w:val="20"/>
                <w:szCs w:val="20"/>
              </w:rPr>
            </w:pPr>
            <w:r>
              <w:rPr>
                <w:rFonts w:ascii="Times New Roman"/>
                <w:w w:val="95"/>
                <w:sz w:val="20"/>
              </w:rPr>
              <w:t>78,307.50</w:t>
            </w:r>
            <w:r>
              <w:rPr>
                <w:rFonts w:ascii="Times New Roman"/>
                <w:sz w:val="20"/>
              </w:rPr>
            </w:r>
          </w:p>
        </w:tc>
        <w:tc>
          <w:tcPr>
            <w:tcW w:w="338" w:type="dxa"/>
            <w:vMerge/>
            <w:tcBorders>
              <w:left w:val="nil" w:sz="6" w:space="0" w:color="auto"/>
              <w:right w:val="nil" w:sz="6" w:space="0" w:color="auto"/>
            </w:tcBorders>
          </w:tcPr>
          <w:p>
            <w:pP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38" w:type="dxa"/>
            <w:vMerge/>
            <w:tcBorders>
              <w:left w:val="nil" w:sz="6" w:space="0" w:color="auto"/>
              <w:right w:val="nil" w:sz="6" w:space="0" w:color="auto"/>
            </w:tcBorders>
          </w:tcPr>
          <w:p>
            <w:pPr/>
          </w:p>
        </w:tc>
      </w:tr>
      <w:tr>
        <w:trPr>
          <w:trHeight w:val="375"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nil" w:sz="6" w:space="0" w:color="auto"/>
              <w:left w:val="nil" w:sz="6" w:space="0" w:color="auto"/>
              <w:bottom w:val="single" w:sz="4" w:space="0" w:color="000008"/>
              <w:right w:val="nil" w:sz="6" w:space="0" w:color="auto"/>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single" w:sz="4" w:space="0" w:color="000008"/>
              <w:right w:val="nil" w:sz="6" w:space="0" w:color="auto"/>
            </w:tcBorders>
          </w:tcPr>
          <w:p>
            <w:pPr>
              <w:pStyle w:val="TableParagraph"/>
              <w:spacing w:line="240" w:lineRule="auto" w:before="70"/>
              <w:ind w:right="4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38" w:type="dxa"/>
            <w:vMerge/>
            <w:tcBorders>
              <w:left w:val="nil" w:sz="6" w:space="0" w:color="auto"/>
              <w:right w:val="nil" w:sz="6" w:space="0" w:color="auto"/>
            </w:tcBorders>
          </w:tcPr>
          <w:p>
            <w:pPr/>
          </w:p>
        </w:tc>
      </w:tr>
      <w:tr>
        <w:trPr>
          <w:trHeight w:val="370"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96" w:lineRule="exact"/>
              <w:ind w:left="75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1802" w:type="dxa"/>
            <w:gridSpan w:val="2"/>
            <w:tcBorders>
              <w:top w:val="single" w:sz="4" w:space="0" w:color="000008"/>
              <w:left w:val="nil" w:sz="6" w:space="0" w:color="auto"/>
              <w:bottom w:val="single" w:sz="4" w:space="0" w:color="333333"/>
              <w:right w:val="nil" w:sz="6" w:space="0" w:color="auto"/>
            </w:tcBorders>
          </w:tcPr>
          <w:p>
            <w:pPr>
              <w:pStyle w:val="TableParagraph"/>
              <w:spacing w:line="20" w:lineRule="exact"/>
              <w:ind w:left="-8" w:right="-4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0.5pt;height:.6pt;mso-position-horizontal-relative:char;mso-position-vertical-relative:line" coordorigin="0,0" coordsize="181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56"/>
              <w:ind w:left="401" w:right="0"/>
              <w:jc w:val="left"/>
              <w:rPr>
                <w:rFonts w:ascii="Times New Roman" w:hAnsi="Times New Roman" w:cs="Times New Roman" w:eastAsia="Times New Roman" w:hint="default"/>
                <w:sz w:val="20"/>
                <w:szCs w:val="20"/>
              </w:rPr>
            </w:pPr>
            <w:r>
              <w:rPr>
                <w:rFonts w:ascii="Times New Roman"/>
                <w:b/>
                <w:sz w:val="20"/>
              </w:rPr>
              <w:t>1,939,071,955.47</w:t>
            </w:r>
            <w:r>
              <w:rPr>
                <w:rFonts w:ascii="Times New Roman"/>
                <w:sz w:val="20"/>
              </w:rPr>
            </w:r>
          </w:p>
        </w:tc>
        <w:tc>
          <w:tcPr>
            <w:tcW w:w="893" w:type="dxa"/>
            <w:tcBorders>
              <w:top w:val="nil" w:sz="6" w:space="0" w:color="auto"/>
              <w:left w:val="nil" w:sz="6" w:space="0" w:color="auto"/>
              <w:bottom w:val="nil" w:sz="6" w:space="0" w:color="auto"/>
              <w:right w:val="nil" w:sz="6" w:space="0" w:color="auto"/>
            </w:tcBorders>
          </w:tcPr>
          <w:p>
            <w:pPr/>
          </w:p>
        </w:tc>
        <w:tc>
          <w:tcPr>
            <w:tcW w:w="2567" w:type="dxa"/>
            <w:tcBorders>
              <w:top w:val="single" w:sz="4" w:space="0" w:color="000008"/>
              <w:left w:val="nil" w:sz="6" w:space="0" w:color="auto"/>
              <w:bottom w:val="single" w:sz="4" w:space="0" w:color="333333"/>
              <w:right w:val="nil" w:sz="6" w:space="0" w:color="auto"/>
            </w:tcBorders>
          </w:tcPr>
          <w:p>
            <w:pPr>
              <w:pStyle w:val="TableParagraph"/>
              <w:spacing w:line="20" w:lineRule="exact"/>
              <w:ind w:left="-8" w:right="-9"/>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26.75pt;height:.6pt;mso-position-horizontal-relative:char;mso-position-vertical-relative:line" coordorigin="0,0" coordsize="253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8;height:2" coordorigin="2521,6" coordsize="8,2">
                    <v:shape style="position:absolute;left:2521;top:6;width:8;height:2" coordorigin="2521,6" coordsize="8,0" path="m2521,6l252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56"/>
              <w:ind w:right="33"/>
              <w:jc w:val="right"/>
              <w:rPr>
                <w:rFonts w:ascii="Times New Roman" w:hAnsi="Times New Roman" w:cs="Times New Roman" w:eastAsia="Times New Roman" w:hint="default"/>
                <w:sz w:val="20"/>
                <w:szCs w:val="20"/>
              </w:rPr>
            </w:pPr>
            <w:r>
              <w:rPr>
                <w:rFonts w:ascii="Times New Roman"/>
                <w:b/>
                <w:spacing w:val="-1"/>
                <w:sz w:val="20"/>
              </w:rPr>
              <w:t>1,502,167,701.11</w:t>
            </w:r>
            <w:r>
              <w:rPr>
                <w:rFonts w:ascii="Times New Roman"/>
                <w:spacing w:val="-1"/>
                <w:sz w:val="20"/>
              </w:rPr>
            </w:r>
          </w:p>
        </w:tc>
        <w:tc>
          <w:tcPr>
            <w:tcW w:w="338" w:type="dxa"/>
            <w:vMerge/>
            <w:tcBorders>
              <w:left w:val="nil" w:sz="6" w:space="0" w:color="auto"/>
              <w:bottom w:val="nil" w:sz="6" w:space="0" w:color="auto"/>
              <w:right w:val="nil" w:sz="6" w:space="0" w:color="auto"/>
            </w:tcBorders>
          </w:tcPr>
          <w:p>
            <w:pPr/>
          </w:p>
        </w:tc>
      </w:tr>
      <w:tr>
        <w:trPr>
          <w:trHeight w:val="732"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96"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p>
            <w:pPr>
              <w:pStyle w:val="TableParagraph"/>
              <w:spacing w:line="240" w:lineRule="auto" w:before="78"/>
              <w:ind w:left="379"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4"/>
                <w:szCs w:val="24"/>
              </w:rPr>
            </w:pPr>
          </w:p>
          <w:p>
            <w:pPr>
              <w:pStyle w:val="TableParagraph"/>
              <w:tabs>
                <w:tab w:pos="4809" w:val="left" w:leader="none"/>
              </w:tabs>
              <w:spacing w:line="240" w:lineRule="auto"/>
              <w:ind w:left="405" w:right="0"/>
              <w:jc w:val="left"/>
              <w:rPr>
                <w:rFonts w:ascii="Times New Roman" w:hAnsi="Times New Roman" w:cs="Times New Roman" w:eastAsia="Times New Roman" w:hint="default"/>
                <w:sz w:val="20"/>
                <w:szCs w:val="20"/>
              </w:rPr>
            </w:pPr>
            <w:r>
              <w:rPr>
                <w:rFonts w:ascii="Times New Roman"/>
                <w:w w:val="95"/>
                <w:sz w:val="20"/>
              </w:rPr>
              <w:t>6,199,690.00</w:t>
              <w:tab/>
            </w:r>
            <w:r>
              <w:rPr>
                <w:rFonts w:ascii="Times New Roman"/>
                <w:sz w:val="20"/>
              </w:rPr>
              <w:t>-</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4809" w:val="left" w:leader="none"/>
              </w:tabs>
              <w:spacing w:line="240" w:lineRule="auto" w:before="70"/>
              <w:ind w:left="1387"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r>
      <w:tr>
        <w:trPr>
          <w:trHeight w:val="371"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4809" w:val="left" w:leader="none"/>
              </w:tabs>
              <w:spacing w:line="240" w:lineRule="auto" w:before="71"/>
              <w:ind w:left="1387"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3475" w:val="left" w:leader="none"/>
              </w:tabs>
              <w:spacing w:line="240" w:lineRule="auto" w:before="70"/>
              <w:ind w:left="55" w:right="0"/>
              <w:jc w:val="left"/>
              <w:rPr>
                <w:rFonts w:ascii="Times New Roman" w:hAnsi="Times New Roman" w:cs="Times New Roman" w:eastAsia="Times New Roman" w:hint="default"/>
                <w:sz w:val="20"/>
                <w:szCs w:val="20"/>
              </w:rPr>
            </w:pPr>
            <w:r>
              <w:rPr>
                <w:rFonts w:ascii="Times New Roman"/>
                <w:w w:val="95"/>
                <w:sz w:val="20"/>
              </w:rPr>
              <w:t>1,292,034,186.64</w:t>
              <w:tab/>
            </w:r>
            <w:r>
              <w:rPr>
                <w:rFonts w:ascii="Times New Roman"/>
                <w:sz w:val="20"/>
              </w:rPr>
              <w:t>1,209,157,509.62</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3727" w:val="left" w:leader="none"/>
              </w:tabs>
              <w:spacing w:line="240" w:lineRule="auto" w:before="69"/>
              <w:ind w:left="304" w:right="0"/>
              <w:jc w:val="left"/>
              <w:rPr>
                <w:rFonts w:ascii="Times New Roman" w:hAnsi="Times New Roman" w:cs="Times New Roman" w:eastAsia="Times New Roman" w:hint="default"/>
                <w:sz w:val="20"/>
                <w:szCs w:val="20"/>
              </w:rPr>
            </w:pPr>
            <w:r>
              <w:rPr>
                <w:rFonts w:ascii="Times New Roman"/>
                <w:w w:val="95"/>
                <w:sz w:val="20"/>
              </w:rPr>
              <w:t>26,414,668.53</w:t>
              <w:tab/>
            </w:r>
            <w:r>
              <w:rPr>
                <w:rFonts w:ascii="Times New Roman"/>
                <w:sz w:val="20"/>
              </w:rPr>
              <w:t>27,974,862.33</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3626" w:val="left" w:leader="none"/>
              </w:tabs>
              <w:spacing w:line="240" w:lineRule="auto" w:before="70"/>
              <w:ind w:left="206" w:right="0"/>
              <w:jc w:val="left"/>
              <w:rPr>
                <w:rFonts w:ascii="Times New Roman" w:hAnsi="Times New Roman" w:cs="Times New Roman" w:eastAsia="Times New Roman" w:hint="default"/>
                <w:sz w:val="20"/>
                <w:szCs w:val="20"/>
              </w:rPr>
            </w:pPr>
            <w:r>
              <w:rPr>
                <w:rFonts w:ascii="Times New Roman"/>
                <w:w w:val="95"/>
                <w:sz w:val="20"/>
              </w:rPr>
              <w:t>365,276,447.57</w:t>
              <w:tab/>
            </w:r>
            <w:r>
              <w:rPr>
                <w:rFonts w:ascii="Times New Roman"/>
                <w:sz w:val="20"/>
              </w:rPr>
              <w:t>372,390,813.64</w:t>
            </w:r>
          </w:p>
        </w:tc>
      </w:tr>
      <w:tr>
        <w:trPr>
          <w:trHeight w:val="371"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3626" w:val="left" w:leader="none"/>
              </w:tabs>
              <w:spacing w:line="240" w:lineRule="auto" w:before="71"/>
              <w:ind w:left="206" w:right="0"/>
              <w:jc w:val="left"/>
              <w:rPr>
                <w:rFonts w:ascii="Times New Roman" w:hAnsi="Times New Roman" w:cs="Times New Roman" w:eastAsia="Times New Roman" w:hint="default"/>
                <w:sz w:val="20"/>
                <w:szCs w:val="20"/>
              </w:rPr>
            </w:pPr>
            <w:r>
              <w:rPr>
                <w:rFonts w:ascii="Times New Roman"/>
                <w:w w:val="95"/>
                <w:sz w:val="20"/>
              </w:rPr>
              <w:t>292,984,761.75</w:t>
              <w:tab/>
            </w:r>
            <w:r>
              <w:rPr>
                <w:rFonts w:ascii="Times New Roman"/>
                <w:sz w:val="20"/>
              </w:rPr>
              <w:t>205,637,147.34</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4809" w:val="left" w:leader="none"/>
              </w:tabs>
              <w:spacing w:line="240" w:lineRule="auto" w:before="70"/>
              <w:ind w:left="1387"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4967" w:val="left" w:leader="none"/>
              </w:tabs>
              <w:spacing w:line="240" w:lineRule="auto" w:before="69"/>
              <w:ind w:left="1548"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3727" w:val="left" w:leader="none"/>
              </w:tabs>
              <w:spacing w:line="240" w:lineRule="auto" w:before="70"/>
              <w:ind w:left="312" w:right="0"/>
              <w:jc w:val="left"/>
              <w:rPr>
                <w:rFonts w:ascii="Times New Roman" w:hAnsi="Times New Roman" w:cs="Times New Roman" w:eastAsia="Times New Roman" w:hint="default"/>
                <w:sz w:val="20"/>
                <w:szCs w:val="20"/>
              </w:rPr>
            </w:pPr>
            <w:r>
              <w:rPr>
                <w:rFonts w:ascii="Times New Roman"/>
                <w:spacing w:val="-1"/>
                <w:sz w:val="20"/>
              </w:rPr>
              <w:t>11,875,652.65</w:t>
              <w:tab/>
            </w:r>
            <w:r>
              <w:rPr>
                <w:rFonts w:ascii="Times New Roman"/>
                <w:sz w:val="20"/>
              </w:rPr>
              <w:t>12,598,426.35</w:t>
            </w:r>
          </w:p>
        </w:tc>
      </w:tr>
      <w:tr>
        <w:trPr>
          <w:trHeight w:val="371"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4809" w:val="left" w:leader="none"/>
              </w:tabs>
              <w:spacing w:line="240" w:lineRule="auto" w:before="71"/>
              <w:ind w:left="1387"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4809" w:val="left" w:leader="none"/>
              </w:tabs>
              <w:spacing w:line="240" w:lineRule="auto" w:before="70"/>
              <w:ind w:left="1387"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3825" w:val="left" w:leader="none"/>
              </w:tabs>
              <w:spacing w:line="240" w:lineRule="auto" w:before="69"/>
              <w:ind w:left="405" w:right="0"/>
              <w:jc w:val="left"/>
              <w:rPr>
                <w:rFonts w:ascii="Times New Roman" w:hAnsi="Times New Roman" w:cs="Times New Roman" w:eastAsia="Times New Roman" w:hint="default"/>
                <w:sz w:val="20"/>
                <w:szCs w:val="20"/>
              </w:rPr>
            </w:pPr>
            <w:r>
              <w:rPr>
                <w:rFonts w:ascii="Times New Roman"/>
                <w:w w:val="95"/>
                <w:sz w:val="20"/>
              </w:rPr>
              <w:t>2,875,732.82</w:t>
              <w:tab/>
            </w:r>
            <w:r>
              <w:rPr>
                <w:rFonts w:ascii="Times New Roman"/>
                <w:sz w:val="20"/>
              </w:rPr>
              <w:t>6,720,421.34</w:t>
            </w:r>
          </w:p>
        </w:tc>
      </w:tr>
      <w:tr>
        <w:trPr>
          <w:trHeight w:val="36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9"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3727" w:val="left" w:leader="none"/>
              </w:tabs>
              <w:spacing w:line="240" w:lineRule="auto" w:before="70"/>
              <w:ind w:left="304" w:right="0"/>
              <w:jc w:val="left"/>
              <w:rPr>
                <w:rFonts w:ascii="Times New Roman" w:hAnsi="Times New Roman" w:cs="Times New Roman" w:eastAsia="Times New Roman" w:hint="default"/>
                <w:sz w:val="20"/>
                <w:szCs w:val="20"/>
              </w:rPr>
            </w:pPr>
            <w:r>
              <w:rPr>
                <w:rFonts w:ascii="Times New Roman"/>
                <w:w w:val="95"/>
                <w:sz w:val="20"/>
              </w:rPr>
              <w:t>42,385,142.19</w:t>
              <w:tab/>
            </w:r>
            <w:r>
              <w:rPr>
                <w:rFonts w:ascii="Times New Roman"/>
                <w:sz w:val="20"/>
              </w:rPr>
              <w:t>42,459,152.49</w:t>
            </w:r>
          </w:p>
        </w:tc>
      </w:tr>
      <w:tr>
        <w:trPr>
          <w:trHeight w:val="376"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9"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single" w:sz="4" w:space="0" w:color="000008"/>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4809" w:val="left" w:leader="none"/>
              </w:tabs>
              <w:spacing w:line="240" w:lineRule="auto" w:before="71"/>
              <w:ind w:left="1387"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tc>
      </w:tr>
      <w:tr>
        <w:trPr>
          <w:trHeight w:val="367"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96" w:lineRule="exact"/>
              <w:ind w:left="6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single" w:sz="4" w:space="0" w:color="000008"/>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2347"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26.75pt;height:.6pt;mso-position-horizontal-relative:char;mso-position-vertical-relative:line" coordorigin="0,0" coordsize="253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8;height:2" coordorigin="2521,6" coordsize="8,2">
                    <v:shape style="position:absolute;left:2521;top:6;width:8;height:2" coordorigin="2521,6" coordsize="8,0" path="m2521,6l2528,6e" filled="false" stroked="true" strokeweight=".6pt" strokecolor="#000008">
                      <v:path arrowok="t"/>
                    </v:shape>
                  </v:group>
                </v:group>
              </w:pict>
            </w:r>
            <w:r>
              <w:rPr>
                <w:rFonts w:ascii="Microsoft JhengHei" w:hAnsi="Microsoft JhengHei" w:cs="Microsoft JhengHei" w:eastAsia="Microsoft JhengHei" w:hint="default"/>
                <w:sz w:val="2"/>
                <w:szCs w:val="2"/>
              </w:rPr>
            </w:r>
          </w:p>
          <w:p>
            <w:pPr>
              <w:pStyle w:val="TableParagraph"/>
              <w:tabs>
                <w:tab w:pos="3831" w:val="left" w:leader="none"/>
              </w:tabs>
              <w:spacing w:line="240" w:lineRule="auto" w:before="56"/>
              <w:ind w:left="401" w:right="0"/>
              <w:jc w:val="left"/>
              <w:rPr>
                <w:rFonts w:ascii="Times New Roman" w:hAnsi="Times New Roman" w:cs="Times New Roman" w:eastAsia="Times New Roman" w:hint="default"/>
                <w:sz w:val="20"/>
                <w:szCs w:val="20"/>
              </w:rPr>
            </w:pPr>
            <w:r>
              <w:rPr>
                <w:rFonts w:ascii="Times New Roman"/>
                <w:b/>
                <w:w w:val="95"/>
                <w:sz w:val="20"/>
              </w:rPr>
              <w:t>2,040,046,282.15</w:t>
              <w:tab/>
            </w:r>
            <w:r>
              <w:rPr>
                <w:rFonts w:ascii="Times New Roman"/>
                <w:b/>
                <w:sz w:val="20"/>
              </w:rPr>
              <w:t>1,876,938,333.11</w:t>
            </w:r>
            <w:r>
              <w:rPr>
                <w:rFonts w:ascii="Times New Roman"/>
                <w:sz w:val="20"/>
              </w:rPr>
            </w:r>
          </w:p>
        </w:tc>
      </w:tr>
      <w:tr>
        <w:trPr>
          <w:trHeight w:val="386"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96" w:lineRule="exact"/>
              <w:ind w:left="8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797"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5260" w:type="dxa"/>
            <w:gridSpan w:val="4"/>
            <w:tcBorders>
              <w:top w:val="nil" w:sz="6" w:space="0" w:color="auto"/>
              <w:left w:val="nil" w:sz="6" w:space="0" w:color="auto"/>
              <w:bottom w:val="nil" w:sz="6" w:space="0" w:color="auto"/>
              <w:right w:val="nil" w:sz="6" w:space="0" w:color="auto"/>
            </w:tcBorders>
          </w:tcPr>
          <w:p>
            <w:pPr>
              <w:pStyle w:val="TableParagraph"/>
              <w:tabs>
                <w:tab w:pos="2688" w:val="left" w:leader="none"/>
              </w:tabs>
              <w:spacing w:line="20" w:lineRule="exact"/>
              <w:ind w:left="-8" w:right="-12"/>
              <w:jc w:val="left"/>
              <w:rPr>
                <w:rFonts w:ascii="Microsoft JhengHei" w:hAnsi="Microsoft JhengHei" w:cs="Microsoft JhengHei" w:eastAsia="Microsoft JhengHei" w:hint="default"/>
                <w:sz w:val="2"/>
                <w:szCs w:val="2"/>
              </w:rPr>
            </w:pPr>
            <w:r>
              <w:rPr>
                <w:rFonts w:ascii="Microsoft JhengHei"/>
                <w:sz w:val="2"/>
              </w:rPr>
              <w:pict>
                <v:group style="width:90.5pt;height:.6pt;mso-position-horizontal-relative:char;mso-position-vertical-relative:line" coordorigin="0,0" coordsize="181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1678;top:6;width:10;height:2" coordorigin="1678,6" coordsize="10,2">
                    <v:shape style="position:absolute;left:1678;top:6;width:10;height:2" coordorigin="1678,6" coordsize="10,0" path="m1678,6l1687,6e" filled="false" stroked="true" strokeweight=".48pt" strokecolor="#000008">
                      <v:path arrowok="t"/>
                    </v:shape>
                  </v:group>
                  <v:group style="position:absolute;left:1697;top:6;width:10;height:2" coordorigin="1697,6" coordsize="10,2">
                    <v:shape style="position:absolute;left:1697;top:6;width:10;height:2" coordorigin="1697,6" coordsize="10,0" path="m1697,6l1706,6e" filled="false" stroked="true" strokeweight=".48pt" strokecolor="#000008">
                      <v:path arrowok="t"/>
                    </v:shape>
                  </v:group>
                  <v:group style="position:absolute;left:1716;top:6;width:10;height:2" coordorigin="1716,6" coordsize="10,2">
                    <v:shape style="position:absolute;left:1716;top:6;width:10;height:2" coordorigin="1716,6" coordsize="10,0" path="m1716,6l1726,6e" filled="false" stroked="true" strokeweight=".48pt" strokecolor="#000008">
                      <v:path arrowok="t"/>
                    </v:shape>
                  </v:group>
                  <v:group style="position:absolute;left:1735;top:6;width:10;height:2" coordorigin="1735,6" coordsize="10,2">
                    <v:shape style="position:absolute;left:1735;top:6;width:10;height:2" coordorigin="1735,6" coordsize="10,0" path="m1735,6l1745,6e" filled="false" stroked="true" strokeweight=".48pt" strokecolor="#000008">
                      <v:path arrowok="t"/>
                    </v:shape>
                  </v:group>
                  <v:group style="position:absolute;left:1754;top:6;width:10;height:2" coordorigin="1754,6" coordsize="10,2">
                    <v:shape style="position:absolute;left:1754;top:6;width:10;height:2" coordorigin="1754,6" coordsize="10,0" path="m1754,6l1764,6e" filled="false" stroked="true" strokeweight=".48pt" strokecolor="#000008">
                      <v:path arrowok="t"/>
                    </v:shape>
                  </v:group>
                  <v:group style="position:absolute;left:1774;top:6;width:10;height:2" coordorigin="1774,6" coordsize="10,2">
                    <v:shape style="position:absolute;left:1774;top:6;width:10;height:2" coordorigin="1774,6" coordsize="10,0" path="m1774,6l1783,6e" filled="false" stroked="true" strokeweight=".48pt" strokecolor="#000008">
                      <v:path arrowok="t"/>
                    </v:shape>
                  </v:group>
                  <v:group style="position:absolute;left:1793;top:6;width:10;height:2" coordorigin="1793,6" coordsize="10,2">
                    <v:shape style="position:absolute;left:1793;top:6;width:10;height:2" coordorigin="1793,6" coordsize="10,0" path="m1793,6l180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w:pict>
            </w:r>
            <w:r>
              <w:rPr>
                <w:rFonts w:ascii="Microsoft JhengHei"/>
                <w:sz w:val="2"/>
              </w:rPr>
            </w:r>
            <w:r>
              <w:rPr>
                <w:rFonts w:ascii="Microsoft JhengHei"/>
                <w:sz w:val="2"/>
              </w:rPr>
              <w:tab/>
            </w:r>
            <w:r>
              <w:rPr>
                <w:rFonts w:ascii="Microsoft JhengHei"/>
                <w:sz w:val="2"/>
              </w:rPr>
              <w:pict>
                <v:group style="width:126.75pt;height:.6pt;mso-position-horizontal-relative:char;mso-position-vertical-relative:line" coordorigin="0,0" coordsize="253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8;height:2" coordorigin="2521,6" coordsize="8,2">
                    <v:shape style="position:absolute;left:2521;top:6;width:8;height:2" coordorigin="2521,6" coordsize="8,0" path="m2521,6l2528,6e" filled="false" stroked="true" strokeweight=".6pt" strokecolor="#000008">
                      <v:path arrowok="t"/>
                    </v:shape>
                  </v:group>
                </v:group>
              </w:pict>
            </w:r>
            <w:r>
              <w:rPr>
                <w:rFonts w:ascii="Microsoft JhengHei"/>
                <w:sz w:val="2"/>
              </w:rPr>
            </w:r>
          </w:p>
          <w:p>
            <w:pPr>
              <w:pStyle w:val="TableParagraph"/>
              <w:tabs>
                <w:tab w:pos="3821" w:val="left" w:leader="none"/>
              </w:tabs>
              <w:spacing w:line="240" w:lineRule="auto" w:before="58"/>
              <w:ind w:left="411" w:right="0"/>
              <w:jc w:val="left"/>
              <w:rPr>
                <w:rFonts w:ascii="Times New Roman" w:hAnsi="Times New Roman" w:cs="Times New Roman" w:eastAsia="Times New Roman" w:hint="default"/>
                <w:sz w:val="20"/>
                <w:szCs w:val="20"/>
              </w:rPr>
            </w:pPr>
            <w:r>
              <w:rPr>
                <w:rFonts w:ascii="Times New Roman"/>
                <w:b/>
                <w:spacing w:val="-1"/>
                <w:sz w:val="20"/>
              </w:rPr>
              <w:t>3,979,118,237.62</w:t>
              <w:tab/>
            </w:r>
            <w:r>
              <w:rPr>
                <w:rFonts w:ascii="Times New Roman"/>
                <w:b/>
                <w:sz w:val="20"/>
              </w:rPr>
              <w:t>3,379,106,034.22</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146"/>
          <w:footerReference w:type="default" r:id="rId147"/>
          <w:pgSz w:w="11910" w:h="16840"/>
          <w:pgMar w:header="943" w:footer="897" w:top="1500" w:bottom="1080" w:left="1660" w:right="620"/>
          <w:pgNumType w:start="107"/>
        </w:sectPr>
      </w:pPr>
    </w:p>
    <w:p>
      <w:pPr>
        <w:spacing w:line="240" w:lineRule="auto" w:before="15"/>
        <w:rPr>
          <w:rFonts w:ascii="Microsoft JhengHei" w:hAnsi="Microsoft JhengHei" w:cs="Microsoft JhengHei" w:eastAsia="Microsoft JhengHei" w:hint="default"/>
          <w:b/>
          <w:bCs/>
          <w:sz w:val="6"/>
          <w:szCs w:val="6"/>
        </w:rPr>
      </w:pPr>
    </w:p>
    <w:p>
      <w:pPr>
        <w:spacing w:line="20" w:lineRule="exact"/>
        <w:ind w:left="10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8.45pt;height:.75pt;mso-position-horizontal-relative:char;mso-position-vertical-relative:line" coordorigin="0,0" coordsize="8369,15">
            <v:group style="position:absolute;left:7;top:7;width:8355;height:2" coordorigin="7,7" coordsize="8355,2">
              <v:shape style="position:absolute;left:7;top:7;width:8355;height:2" coordorigin="7,7" coordsize="8355,0" path="m7,7l8362,7e" filled="false" stroked="true" strokeweight=".72pt" strokecolor="#000008">
                <v:path arrowok="t"/>
              </v:shape>
            </v:group>
          </v:group>
        </w:pict>
      </w:r>
      <w:r>
        <w:rPr>
          <w:rFonts w:ascii="Microsoft JhengHei" w:hAnsi="Microsoft JhengHei" w:cs="Microsoft JhengHei" w:eastAsia="Microsoft JhengHei" w:hint="default"/>
          <w:sz w:val="2"/>
          <w:szCs w:val="2"/>
        </w:rPr>
      </w:r>
    </w:p>
    <w:p>
      <w:pPr>
        <w:spacing w:line="240" w:lineRule="auto" w:before="17"/>
        <w:rPr>
          <w:rFonts w:ascii="Microsoft JhengHei" w:hAnsi="Microsoft JhengHei" w:cs="Microsoft JhengHei" w:eastAsia="Microsoft JhengHei" w:hint="default"/>
          <w:b/>
          <w:bCs/>
          <w:sz w:val="23"/>
          <w:szCs w:val="23"/>
        </w:rPr>
      </w:pPr>
    </w:p>
    <w:p>
      <w:pPr>
        <w:pStyle w:val="Heading2"/>
        <w:spacing w:line="240" w:lineRule="auto"/>
        <w:ind w:left="3152" w:right="3134"/>
        <w:jc w:val="center"/>
      </w:pPr>
      <w:r>
        <w:rPr/>
        <w:t>资产负债表（续）</w:t>
      </w:r>
    </w:p>
    <w:p>
      <w:pPr>
        <w:spacing w:before="41"/>
        <w:ind w:left="3152" w:right="3123" w:firstLine="0"/>
        <w:jc w:val="center"/>
        <w:rPr>
          <w:rFonts w:ascii="Microsoft JhengHei" w:hAnsi="Microsoft JhengHei" w:cs="Microsoft JhengHei" w:eastAsia="Microsoft JhengHei" w:hint="default"/>
          <w:sz w:val="20"/>
          <w:szCs w:val="20"/>
        </w:rPr>
      </w:pPr>
      <w:r>
        <w:rPr/>
        <w:pict>
          <v:group style="position:absolute;margin-left:89.759995pt;margin-top:58.431393pt;width:151.7pt;height:.1pt;mso-position-horizontal-relative:page;mso-position-vertical-relative:paragraph;z-index:-1139680" coordorigin="1795,1169" coordsize="3034,2">
            <v:shape style="position:absolute;left:1795;top:1169;width:3034;height:2" coordorigin="1795,1169" coordsize="3034,0" path="m1795,1169l4829,1169e" filled="false" stroked="true" strokeweight=".48pt" strokecolor="#000008">
              <v:path arrowok="t"/>
            </v:shape>
            <w10:wrap type="none"/>
          </v:group>
        </w:pict>
      </w: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35" w:type="dxa"/>
        <w:tblLayout w:type="fixed"/>
        <w:tblCellMar>
          <w:top w:w="0" w:type="dxa"/>
          <w:left w:w="0" w:type="dxa"/>
          <w:bottom w:w="0" w:type="dxa"/>
          <w:right w:w="0" w:type="dxa"/>
        </w:tblCellMar>
        <w:tblLook w:val="01E0"/>
      </w:tblPr>
      <w:tblGrid>
        <w:gridCol w:w="3560"/>
        <w:gridCol w:w="400"/>
        <w:gridCol w:w="252"/>
        <w:gridCol w:w="1908"/>
        <w:gridCol w:w="360"/>
        <w:gridCol w:w="2160"/>
      </w:tblGrid>
      <w:tr>
        <w:trPr>
          <w:trHeight w:val="411" w:hRule="exact"/>
        </w:trPr>
        <w:tc>
          <w:tcPr>
            <w:tcW w:w="3560" w:type="dxa"/>
            <w:tcBorders>
              <w:top w:val="nil" w:sz="6" w:space="0" w:color="auto"/>
              <w:left w:val="nil" w:sz="6" w:space="0" w:color="auto"/>
              <w:bottom w:val="single" w:sz="4" w:space="0" w:color="000008"/>
              <w:right w:val="nil" w:sz="6" w:space="0" w:color="auto"/>
            </w:tcBorders>
          </w:tcPr>
          <w:p>
            <w:pPr>
              <w:pStyle w:val="TableParagraph"/>
              <w:spacing w:line="320"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r>
            <w:r>
              <w:rPr>
                <w:rFonts w:ascii="Microsoft JhengHei" w:hAnsi="Microsoft JhengHei" w:cs="Microsoft JhengHei" w:eastAsia="Microsoft JhengHei" w:hint="default"/>
                <w:sz w:val="20"/>
                <w:szCs w:val="20"/>
              </w:rPr>
            </w:r>
          </w:p>
        </w:tc>
        <w:tc>
          <w:tcPr>
            <w:tcW w:w="400" w:type="dxa"/>
            <w:tcBorders>
              <w:top w:val="nil" w:sz="6" w:space="0" w:color="auto"/>
              <w:left w:val="nil" w:sz="6" w:space="0" w:color="auto"/>
              <w:bottom w:val="single" w:sz="4" w:space="0" w:color="000008"/>
              <w:right w:val="nil" w:sz="6" w:space="0" w:color="auto"/>
            </w:tcBorders>
          </w:tcPr>
          <w:p>
            <w:pPr/>
          </w:p>
        </w:tc>
        <w:tc>
          <w:tcPr>
            <w:tcW w:w="252" w:type="dxa"/>
            <w:tcBorders>
              <w:top w:val="nil" w:sz="6" w:space="0" w:color="auto"/>
              <w:left w:val="nil" w:sz="6" w:space="0" w:color="auto"/>
              <w:bottom w:val="single" w:sz="4" w:space="0" w:color="000008"/>
              <w:right w:val="nil" w:sz="6" w:space="0" w:color="auto"/>
            </w:tcBorders>
          </w:tcPr>
          <w:p>
            <w:pPr/>
          </w:p>
        </w:tc>
        <w:tc>
          <w:tcPr>
            <w:tcW w:w="1908" w:type="dxa"/>
            <w:tcBorders>
              <w:top w:val="nil" w:sz="6" w:space="0" w:color="auto"/>
              <w:left w:val="nil" w:sz="6" w:space="0" w:color="auto"/>
              <w:bottom w:val="single" w:sz="4" w:space="0" w:color="000008"/>
              <w:right w:val="nil" w:sz="6" w:space="0" w:color="auto"/>
            </w:tcBorders>
          </w:tcPr>
          <w:p>
            <w:pPr/>
          </w:p>
        </w:tc>
        <w:tc>
          <w:tcPr>
            <w:tcW w:w="360" w:type="dxa"/>
            <w:tcBorders>
              <w:top w:val="nil" w:sz="6" w:space="0" w:color="auto"/>
              <w:left w:val="nil" w:sz="6" w:space="0" w:color="auto"/>
              <w:bottom w:val="single" w:sz="4" w:space="0" w:color="000008"/>
              <w:right w:val="nil" w:sz="6" w:space="0" w:color="auto"/>
            </w:tcBorders>
          </w:tcPr>
          <w:p>
            <w:pPr/>
          </w:p>
        </w:tc>
        <w:tc>
          <w:tcPr>
            <w:tcW w:w="2160"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金额单位：人民币元</w:t>
            </w:r>
            <w:r>
              <w:rPr>
                <w:rFonts w:ascii="Microsoft JhengHei" w:hAnsi="Microsoft JhengHei" w:cs="Microsoft JhengHei" w:eastAsia="Microsoft JhengHei" w:hint="default"/>
                <w:sz w:val="20"/>
                <w:szCs w:val="20"/>
              </w:rPr>
            </w:r>
          </w:p>
        </w:tc>
      </w:tr>
      <w:tr>
        <w:trPr>
          <w:trHeight w:val="341" w:hRule="exact"/>
        </w:trPr>
        <w:tc>
          <w:tcPr>
            <w:tcW w:w="3560" w:type="dxa"/>
            <w:tcBorders>
              <w:top w:val="single" w:sz="4" w:space="0" w:color="000008"/>
              <w:left w:val="nil" w:sz="6" w:space="0" w:color="auto"/>
              <w:bottom w:val="single" w:sz="4" w:space="0" w:color="000008"/>
              <w:right w:val="nil" w:sz="6" w:space="0" w:color="auto"/>
            </w:tcBorders>
          </w:tcPr>
          <w:p>
            <w:pPr>
              <w:pStyle w:val="TableParagraph"/>
              <w:spacing w:line="288"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w w:val="99"/>
                <w:sz w:val="20"/>
                <w:szCs w:val="20"/>
              </w:rPr>
              <w:t>负债和所有者权</w:t>
            </w:r>
            <w:r>
              <w:rPr>
                <w:rFonts w:ascii="Microsoft JhengHei" w:hAnsi="Microsoft JhengHei" w:cs="Microsoft JhengHei" w:eastAsia="Microsoft JhengHei" w:hint="default"/>
                <w:b/>
                <w:bCs/>
                <w:spacing w:val="-94"/>
                <w:w w:val="99"/>
                <w:sz w:val="20"/>
                <w:szCs w:val="20"/>
              </w:rPr>
              <w:t>益</w:t>
            </w:r>
            <w:r>
              <w:rPr>
                <w:rFonts w:ascii="Microsoft JhengHei" w:hAnsi="Microsoft JhengHei" w:cs="Microsoft JhengHei" w:eastAsia="Microsoft JhengHei" w:hint="default"/>
                <w:b/>
                <w:bCs/>
                <w:spacing w:val="2"/>
                <w:w w:val="99"/>
                <w:sz w:val="20"/>
                <w:szCs w:val="20"/>
              </w:rPr>
              <w:t>（或股东权</w:t>
            </w:r>
            <w:r>
              <w:rPr>
                <w:rFonts w:ascii="Microsoft JhengHei" w:hAnsi="Microsoft JhengHei" w:cs="Microsoft JhengHei" w:eastAsia="Microsoft JhengHei" w:hint="default"/>
                <w:b/>
                <w:bCs/>
                <w:spacing w:val="-10"/>
                <w:w w:val="99"/>
                <w:sz w:val="20"/>
                <w:szCs w:val="20"/>
              </w:rPr>
              <w:t>益</w:t>
            </w:r>
            <w:r>
              <w:rPr>
                <w:rFonts w:ascii="Microsoft JhengHei" w:hAnsi="Microsoft JhengHei" w:cs="Microsoft JhengHei" w:eastAsia="Microsoft JhengHei" w:hint="default"/>
                <w:b/>
                <w:bCs/>
                <w:w w:val="50"/>
                <w:sz w:val="20"/>
                <w:szCs w:val="20"/>
              </w:rPr>
              <w:t>）</w:t>
            </w:r>
            <w:r>
              <w:rPr>
                <w:rFonts w:ascii="Microsoft JhengHei" w:hAnsi="Microsoft JhengHei" w:cs="Microsoft JhengHei" w:eastAsia="Microsoft JhengHei" w:hint="default"/>
                <w:sz w:val="20"/>
                <w:szCs w:val="20"/>
              </w:rPr>
            </w:r>
          </w:p>
        </w:tc>
        <w:tc>
          <w:tcPr>
            <w:tcW w:w="400" w:type="dxa"/>
            <w:tcBorders>
              <w:top w:val="single" w:sz="4" w:space="0" w:color="000008"/>
              <w:left w:val="nil" w:sz="6" w:space="0" w:color="auto"/>
              <w:bottom w:val="single" w:sz="4" w:space="0" w:color="000008"/>
              <w:right w:val="nil" w:sz="6" w:space="0" w:color="auto"/>
            </w:tcBorders>
          </w:tcPr>
          <w:p>
            <w:pPr>
              <w:pStyle w:val="TableParagraph"/>
              <w:spacing w:line="255" w:lineRule="exact"/>
              <w:ind w:left="2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附</w:t>
            </w:r>
            <w:r>
              <w:rPr>
                <w:rFonts w:ascii="Microsoft JhengHei" w:hAnsi="Microsoft JhengHei" w:cs="Microsoft JhengHei" w:eastAsia="Microsoft JhengHei" w:hint="default"/>
                <w:sz w:val="20"/>
                <w:szCs w:val="20"/>
              </w:rPr>
            </w:r>
          </w:p>
        </w:tc>
        <w:tc>
          <w:tcPr>
            <w:tcW w:w="252" w:type="dxa"/>
            <w:tcBorders>
              <w:top w:val="single" w:sz="4" w:space="0" w:color="000008"/>
              <w:left w:val="nil" w:sz="6" w:space="0" w:color="auto"/>
              <w:bottom w:val="nil" w:sz="6" w:space="0" w:color="auto"/>
              <w:right w:val="nil" w:sz="6" w:space="0" w:color="auto"/>
            </w:tcBorders>
          </w:tcPr>
          <w:p>
            <w:pPr/>
          </w:p>
        </w:tc>
        <w:tc>
          <w:tcPr>
            <w:tcW w:w="1908" w:type="dxa"/>
            <w:tcBorders>
              <w:top w:val="single" w:sz="4" w:space="0" w:color="000008"/>
              <w:left w:val="nil" w:sz="6" w:space="0" w:color="auto"/>
              <w:bottom w:val="single" w:sz="4" w:space="0" w:color="000008"/>
              <w:right w:val="nil" w:sz="6" w:space="0" w:color="auto"/>
            </w:tcBorders>
          </w:tcPr>
          <w:p>
            <w:pPr>
              <w:pStyle w:val="TableParagraph"/>
              <w:spacing w:line="288" w:lineRule="exact"/>
              <w:ind w:right="107"/>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360" w:type="dxa"/>
            <w:tcBorders>
              <w:top w:val="single" w:sz="4" w:space="0" w:color="000008"/>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single" w:sz="4" w:space="0" w:color="000008"/>
              <w:right w:val="nil" w:sz="6" w:space="0" w:color="auto"/>
            </w:tcBorders>
          </w:tcPr>
          <w:p>
            <w:pPr>
              <w:pStyle w:val="TableParagraph"/>
              <w:spacing w:line="288" w:lineRule="exact"/>
              <w:ind w:right="107"/>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2008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39" w:hRule="exact"/>
        </w:trPr>
        <w:tc>
          <w:tcPr>
            <w:tcW w:w="3560" w:type="dxa"/>
            <w:tcBorders>
              <w:top w:val="single" w:sz="4" w:space="0" w:color="000008"/>
              <w:left w:val="nil" w:sz="6" w:space="0" w:color="auto"/>
              <w:bottom w:val="nil" w:sz="6" w:space="0" w:color="auto"/>
              <w:right w:val="nil" w:sz="6" w:space="0" w:color="auto"/>
            </w:tcBorders>
          </w:tcPr>
          <w:p>
            <w:pPr>
              <w:pStyle w:val="TableParagraph"/>
              <w:spacing w:line="288"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400" w:type="dxa"/>
            <w:tcBorders>
              <w:top w:val="single" w:sz="4" w:space="0" w:color="000008"/>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single" w:sz="4" w:space="0" w:color="000008"/>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nil" w:sz="6" w:space="0" w:color="auto"/>
              <w:right w:val="nil" w:sz="6" w:space="0" w:color="auto"/>
            </w:tcBorders>
          </w:tcPr>
          <w:p>
            <w:pPr/>
          </w:p>
        </w:tc>
      </w:tr>
      <w:tr>
        <w:trPr>
          <w:trHeight w:val="2043"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312" w:lineRule="auto" w:before="6"/>
              <w:ind w:left="309" w:right="1854"/>
              <w:jc w:val="left"/>
              <w:rPr>
                <w:rFonts w:ascii="宋体" w:hAnsi="宋体" w:cs="宋体" w:eastAsia="宋体" w:hint="default"/>
                <w:sz w:val="20"/>
                <w:szCs w:val="20"/>
              </w:rPr>
            </w:pPr>
            <w:r>
              <w:rPr>
                <w:rFonts w:ascii="宋体" w:hAnsi="宋体" w:cs="宋体" w:eastAsia="宋体" w:hint="default"/>
                <w:sz w:val="20"/>
                <w:szCs w:val="20"/>
              </w:rPr>
              <w:t>短期借款</w:t>
            </w:r>
            <w:r>
              <w:rPr>
                <w:rFonts w:ascii="宋体" w:hAnsi="宋体" w:cs="宋体" w:eastAsia="宋体" w:hint="default"/>
                <w:w w:val="99"/>
                <w:sz w:val="20"/>
                <w:szCs w:val="20"/>
              </w:rPr>
              <w:t> </w:t>
            </w:r>
            <w:r>
              <w:rPr>
                <w:rFonts w:ascii="宋体" w:hAnsi="宋体" w:cs="宋体" w:eastAsia="宋体" w:hint="default"/>
                <w:w w:val="95"/>
                <w:sz w:val="20"/>
                <w:szCs w:val="20"/>
              </w:rPr>
              <w:t>交易性金融负债</w:t>
            </w:r>
            <w:r>
              <w:rPr>
                <w:rFonts w:ascii="宋体" w:hAnsi="宋体" w:cs="宋体" w:eastAsia="宋体" w:hint="default"/>
                <w:spacing w:val="-31"/>
                <w:w w:val="95"/>
                <w:sz w:val="20"/>
                <w:szCs w:val="20"/>
              </w:rPr>
              <w:t> </w:t>
            </w:r>
            <w:r>
              <w:rPr>
                <w:rFonts w:ascii="宋体" w:hAnsi="宋体" w:cs="宋体" w:eastAsia="宋体" w:hint="default"/>
                <w:sz w:val="20"/>
                <w:szCs w:val="20"/>
              </w:rPr>
              <w:t>应付票据</w:t>
            </w:r>
            <w:r>
              <w:rPr>
                <w:rFonts w:ascii="宋体" w:hAnsi="宋体" w:cs="宋体" w:eastAsia="宋体" w:hint="default"/>
                <w:w w:val="99"/>
                <w:sz w:val="20"/>
                <w:szCs w:val="20"/>
              </w:rPr>
              <w:t> </w:t>
            </w:r>
            <w:r>
              <w:rPr>
                <w:rFonts w:ascii="宋体" w:hAnsi="宋体" w:cs="宋体" w:eastAsia="宋体" w:hint="default"/>
                <w:sz w:val="20"/>
                <w:szCs w:val="20"/>
              </w:rPr>
              <w:t>应付账款</w:t>
            </w:r>
            <w:r>
              <w:rPr>
                <w:rFonts w:ascii="宋体" w:hAnsi="宋体" w:cs="宋体" w:eastAsia="宋体" w:hint="default"/>
                <w:w w:val="99"/>
                <w:sz w:val="20"/>
                <w:szCs w:val="20"/>
              </w:rPr>
              <w:t> </w:t>
            </w:r>
            <w:r>
              <w:rPr>
                <w:rFonts w:ascii="宋体" w:hAnsi="宋体" w:cs="宋体" w:eastAsia="宋体" w:hint="default"/>
                <w:sz w:val="20"/>
                <w:szCs w:val="20"/>
              </w:rPr>
              <w:t>预收款项</w:t>
            </w:r>
            <w:r>
              <w:rPr>
                <w:rFonts w:ascii="宋体" w:hAnsi="宋体" w:cs="宋体" w:eastAsia="宋体" w:hint="default"/>
                <w:w w:val="99"/>
                <w:sz w:val="20"/>
                <w:szCs w:val="20"/>
              </w:rPr>
              <w:t> </w:t>
            </w:r>
            <w:r>
              <w:rPr>
                <w:rFonts w:ascii="宋体" w:hAnsi="宋体" w:cs="宋体" w:eastAsia="宋体" w:hint="default"/>
                <w:sz w:val="20"/>
                <w:szCs w:val="20"/>
              </w:rPr>
              <w:t>应付职工薪酬</w:t>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0"/>
                <w:szCs w:val="20"/>
              </w:rPr>
            </w:pPr>
            <w:r>
              <w:rPr>
                <w:rFonts w:ascii="Times New Roman"/>
                <w:w w:val="95"/>
                <w:sz w:val="20"/>
              </w:rPr>
              <w:t>580,000,000.00</w:t>
            </w:r>
            <w:r>
              <w:rPr>
                <w:rFonts w:ascii="Times New Roman"/>
                <w:sz w:val="20"/>
              </w:rPr>
            </w:r>
          </w:p>
          <w:p>
            <w:pPr>
              <w:pStyle w:val="TableParagraph"/>
              <w:spacing w:line="240" w:lineRule="auto" w:before="10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1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1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650" w:right="104" w:firstLine="1082"/>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21,482,476.76</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0"/>
                <w:szCs w:val="20"/>
              </w:rPr>
            </w:pPr>
            <w:r>
              <w:rPr>
                <w:rFonts w:ascii="Times New Roman"/>
                <w:w w:val="95"/>
                <w:sz w:val="20"/>
              </w:rPr>
              <w:t>700,000,000.00</w:t>
            </w:r>
            <w:r>
              <w:rPr>
                <w:rFonts w:ascii="Times New Roman"/>
                <w:sz w:val="20"/>
              </w:rPr>
            </w:r>
          </w:p>
          <w:p>
            <w:pPr>
              <w:pStyle w:val="TableParagraph"/>
              <w:spacing w:line="240" w:lineRule="auto" w:before="10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1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1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08"/>
              <w:ind w:left="904" w:right="102" w:firstLine="1082"/>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10,196,431.05</w:t>
            </w:r>
            <w:r>
              <w:rPr>
                <w:rFonts w:ascii="Times New Roman"/>
                <w:sz w:val="20"/>
              </w:rPr>
            </w:r>
          </w:p>
        </w:tc>
      </w:tr>
      <w:tr>
        <w:trPr>
          <w:trHeight w:val="340"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20"/>
                <w:szCs w:val="20"/>
              </w:rPr>
            </w:pPr>
            <w:r>
              <w:rPr>
                <w:rFonts w:ascii="Times New Roman"/>
                <w:w w:val="95"/>
                <w:sz w:val="20"/>
              </w:rPr>
              <w:t>21,067,027.13</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20"/>
                <w:szCs w:val="20"/>
              </w:rPr>
            </w:pPr>
            <w:r>
              <w:rPr>
                <w:rFonts w:ascii="Times New Roman"/>
                <w:w w:val="95"/>
                <w:sz w:val="20"/>
              </w:rPr>
              <w:t>18,868,879.24</w:t>
            </w:r>
            <w:r>
              <w:rPr>
                <w:rFonts w:ascii="Times New Roman"/>
                <w:sz w:val="20"/>
              </w:rPr>
            </w:r>
          </w:p>
        </w:tc>
      </w:tr>
      <w:tr>
        <w:trPr>
          <w:trHeight w:val="340"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9"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950,000.00</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20"/>
                <w:szCs w:val="20"/>
              </w:rPr>
            </w:pPr>
            <w:r>
              <w:rPr>
                <w:rFonts w:ascii="Times New Roman"/>
                <w:w w:val="95"/>
                <w:sz w:val="20"/>
              </w:rPr>
              <w:t>5,861.96</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20"/>
                <w:szCs w:val="20"/>
              </w:rPr>
            </w:pPr>
            <w:r>
              <w:rPr>
                <w:rFonts w:ascii="Times New Roman"/>
                <w:w w:val="95"/>
                <w:sz w:val="20"/>
              </w:rPr>
              <w:t>5,861.96</w:t>
            </w:r>
            <w:r>
              <w:rPr>
                <w:rFonts w:ascii="Times New Roman"/>
                <w:sz w:val="20"/>
              </w:rPr>
            </w:r>
          </w:p>
        </w:tc>
      </w:tr>
      <w:tr>
        <w:trPr>
          <w:trHeight w:val="1019"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其他应付款</w:t>
            </w:r>
          </w:p>
          <w:p>
            <w:pPr>
              <w:pStyle w:val="TableParagraph"/>
              <w:spacing w:line="312" w:lineRule="auto" w:before="76"/>
              <w:ind w:left="309" w:right="757" w:firstLine="300"/>
              <w:jc w:val="left"/>
              <w:rPr>
                <w:rFonts w:ascii="宋体" w:hAnsi="宋体" w:cs="宋体" w:eastAsia="宋体" w:hint="default"/>
                <w:sz w:val="20"/>
                <w:szCs w:val="20"/>
              </w:rPr>
            </w:pPr>
            <w:r>
              <w:rPr>
                <w:rFonts w:ascii="宋体" w:hAnsi="宋体" w:cs="宋体" w:eastAsia="宋体" w:hint="default"/>
                <w:w w:val="95"/>
                <w:sz w:val="20"/>
                <w:szCs w:val="20"/>
              </w:rPr>
              <w:t>一年内到期的非流动负债</w:t>
            </w:r>
            <w:r>
              <w:rPr>
                <w:rFonts w:ascii="宋体" w:hAnsi="宋体" w:cs="宋体" w:eastAsia="宋体" w:hint="default"/>
                <w:w w:val="99"/>
                <w:sz w:val="20"/>
                <w:szCs w:val="20"/>
              </w:rPr>
              <w:t> </w:t>
            </w:r>
            <w:r>
              <w:rPr>
                <w:rFonts w:ascii="宋体" w:hAnsi="宋体" w:cs="宋体" w:eastAsia="宋体" w:hint="default"/>
                <w:sz w:val="20"/>
                <w:szCs w:val="20"/>
              </w:rPr>
              <w:t>其他流动负债</w:t>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left="650" w:right="0"/>
              <w:jc w:val="left"/>
              <w:rPr>
                <w:rFonts w:ascii="Times New Roman" w:hAnsi="Times New Roman" w:cs="Times New Roman" w:eastAsia="Times New Roman" w:hint="default"/>
                <w:sz w:val="20"/>
                <w:szCs w:val="20"/>
              </w:rPr>
            </w:pPr>
            <w:r>
              <w:rPr>
                <w:rFonts w:ascii="Times New Roman"/>
                <w:sz w:val="20"/>
              </w:rPr>
              <w:t>92,502,726.73</w:t>
            </w:r>
          </w:p>
          <w:p>
            <w:pPr>
              <w:pStyle w:val="TableParagraph"/>
              <w:spacing w:line="355" w:lineRule="auto" w:before="108"/>
              <w:ind w:left="552" w:right="102" w:firstLine="1180"/>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600,000,000.00</w:t>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20"/>
                <w:szCs w:val="20"/>
              </w:rPr>
            </w:pPr>
            <w:r>
              <w:rPr>
                <w:rFonts w:ascii="Times New Roman"/>
                <w:w w:val="95"/>
                <w:sz w:val="20"/>
              </w:rPr>
              <w:t>97,032,797.68</w:t>
            </w:r>
            <w:r>
              <w:rPr>
                <w:rFonts w:ascii="Times New Roman"/>
                <w:sz w:val="20"/>
              </w:rPr>
            </w:r>
          </w:p>
          <w:p>
            <w:pPr>
              <w:pStyle w:val="TableParagraph"/>
              <w:spacing w:line="240" w:lineRule="auto" w:before="10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1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8"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93"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single" w:sz="4" w:space="0" w:color="000008"/>
              <w:left w:val="nil" w:sz="6" w:space="0" w:color="auto"/>
              <w:bottom w:val="single" w:sz="4" w:space="0" w:color="000008"/>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20"/>
                <w:szCs w:val="20"/>
              </w:rPr>
            </w:pPr>
            <w:r>
              <w:rPr>
                <w:rFonts w:ascii="Times New Roman"/>
                <w:b/>
                <w:w w:val="95"/>
                <w:sz w:val="20"/>
              </w:rPr>
              <w:t>1,316,008,092.58</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single" w:sz="4" w:space="0" w:color="000008"/>
              <w:right w:val="nil" w:sz="6" w:space="0" w:color="auto"/>
            </w:tcBorders>
          </w:tcPr>
          <w:p>
            <w:pPr>
              <w:pStyle w:val="TableParagraph"/>
              <w:spacing w:line="240" w:lineRule="auto" w:before="51"/>
              <w:ind w:right="96"/>
              <w:jc w:val="right"/>
              <w:rPr>
                <w:rFonts w:ascii="Times New Roman" w:hAnsi="Times New Roman" w:cs="Times New Roman" w:eastAsia="Times New Roman" w:hint="default"/>
                <w:sz w:val="20"/>
                <w:szCs w:val="20"/>
              </w:rPr>
            </w:pPr>
            <w:r>
              <w:rPr>
                <w:rFonts w:ascii="Times New Roman"/>
                <w:b/>
                <w:w w:val="95"/>
                <w:sz w:val="20"/>
              </w:rPr>
              <w:t>826,103,969.93</w:t>
            </w:r>
            <w:r>
              <w:rPr>
                <w:rFonts w:ascii="Times New Roman"/>
                <w:sz w:val="20"/>
              </w:rPr>
            </w:r>
          </w:p>
        </w:tc>
      </w:tr>
      <w:tr>
        <w:trPr>
          <w:trHeight w:val="339"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93"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single" w:sz="4" w:space="0" w:color="000008"/>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nil" w:sz="6" w:space="0" w:color="auto"/>
              <w:right w:val="nil" w:sz="6" w:space="0" w:color="auto"/>
            </w:tcBorders>
          </w:tcPr>
          <w:p>
            <w:pPr/>
          </w:p>
        </w:tc>
      </w:tr>
      <w:tr>
        <w:trPr>
          <w:trHeight w:val="1703"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312" w:lineRule="auto" w:before="6"/>
              <w:ind w:left="309" w:right="2252"/>
              <w:jc w:val="left"/>
              <w:rPr>
                <w:rFonts w:ascii="宋体" w:hAnsi="宋体" w:cs="宋体" w:eastAsia="宋体" w:hint="default"/>
                <w:sz w:val="20"/>
                <w:szCs w:val="20"/>
              </w:rPr>
            </w:pPr>
            <w:r>
              <w:rPr>
                <w:rFonts w:ascii="宋体" w:hAnsi="宋体" w:cs="宋体" w:eastAsia="宋体" w:hint="default"/>
                <w:sz w:val="20"/>
                <w:szCs w:val="20"/>
              </w:rPr>
              <w:t>长期借款</w:t>
            </w:r>
            <w:r>
              <w:rPr>
                <w:rFonts w:ascii="宋体" w:hAnsi="宋体" w:cs="宋体" w:eastAsia="宋体" w:hint="default"/>
                <w:w w:val="99"/>
                <w:sz w:val="20"/>
                <w:szCs w:val="20"/>
              </w:rPr>
              <w:t> </w:t>
            </w:r>
            <w:r>
              <w:rPr>
                <w:rFonts w:ascii="宋体" w:hAnsi="宋体" w:cs="宋体" w:eastAsia="宋体" w:hint="default"/>
                <w:sz w:val="20"/>
                <w:szCs w:val="20"/>
              </w:rPr>
              <w:t>应付债券</w:t>
            </w:r>
            <w:r>
              <w:rPr>
                <w:rFonts w:ascii="宋体" w:hAnsi="宋体" w:cs="宋体" w:eastAsia="宋体" w:hint="default"/>
                <w:w w:val="99"/>
                <w:sz w:val="20"/>
                <w:szCs w:val="20"/>
              </w:rPr>
              <w:t> </w:t>
            </w:r>
            <w:r>
              <w:rPr>
                <w:rFonts w:ascii="宋体" w:hAnsi="宋体" w:cs="宋体" w:eastAsia="宋体" w:hint="default"/>
                <w:w w:val="95"/>
                <w:sz w:val="20"/>
                <w:szCs w:val="20"/>
              </w:rPr>
              <w:t>长期应付款</w:t>
            </w:r>
            <w:r>
              <w:rPr>
                <w:rFonts w:ascii="宋体" w:hAnsi="宋体" w:cs="宋体" w:eastAsia="宋体" w:hint="default"/>
                <w:spacing w:val="-49"/>
                <w:w w:val="95"/>
                <w:sz w:val="20"/>
                <w:szCs w:val="20"/>
              </w:rPr>
              <w:t> </w:t>
            </w:r>
            <w:r>
              <w:rPr>
                <w:rFonts w:ascii="宋体" w:hAnsi="宋体" w:cs="宋体" w:eastAsia="宋体" w:hint="default"/>
                <w:w w:val="95"/>
                <w:sz w:val="20"/>
                <w:szCs w:val="20"/>
              </w:rPr>
              <w:t>专项应付款</w:t>
            </w:r>
            <w:r>
              <w:rPr>
                <w:rFonts w:ascii="宋体" w:hAnsi="宋体" w:cs="宋体" w:eastAsia="宋体" w:hint="default"/>
                <w:spacing w:val="-49"/>
                <w:w w:val="95"/>
                <w:sz w:val="20"/>
                <w:szCs w:val="20"/>
              </w:rPr>
              <w:t> </w:t>
            </w:r>
            <w:r>
              <w:rPr>
                <w:rFonts w:ascii="宋体" w:hAnsi="宋体" w:cs="宋体" w:eastAsia="宋体" w:hint="default"/>
                <w:sz w:val="20"/>
                <w:szCs w:val="20"/>
              </w:rPr>
              <w:t>预计负债</w:t>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2" w:lineRule="auto" w:before="111"/>
              <w:ind w:left="751" w:right="104" w:firstLine="981"/>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2,030,000.00</w:t>
            </w:r>
            <w:r>
              <w:rPr>
                <w:rFonts w:ascii="Times New Roman"/>
                <w:sz w:val="20"/>
              </w:rPr>
            </w:r>
          </w:p>
          <w:p>
            <w:pPr>
              <w:pStyle w:val="TableParagraph"/>
              <w:spacing w:line="355" w:lineRule="auto" w:before="6"/>
              <w:ind w:left="650" w:right="104" w:firstLine="1082"/>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65,000,000.00</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2" w:lineRule="auto" w:before="111"/>
              <w:ind w:left="1003" w:right="104" w:firstLine="984"/>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2,030,000.00</w:t>
            </w:r>
          </w:p>
          <w:p>
            <w:pPr>
              <w:pStyle w:val="TableParagraph"/>
              <w:spacing w:line="355" w:lineRule="auto" w:before="6"/>
              <w:ind w:left="1003" w:right="104" w:firstLine="984"/>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4,000,000.00</w:t>
            </w:r>
          </w:p>
        </w:tc>
      </w:tr>
      <w:tr>
        <w:trPr>
          <w:trHeight w:val="340"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9"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79,196.04</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20"/>
                <w:szCs w:val="20"/>
              </w:rPr>
            </w:pPr>
            <w:r>
              <w:rPr>
                <w:rFonts w:ascii="Times New Roman"/>
                <w:w w:val="95"/>
                <w:sz w:val="20"/>
              </w:rPr>
              <w:t>23,041,852.14</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20"/>
                <w:szCs w:val="20"/>
              </w:rPr>
            </w:pPr>
            <w:r>
              <w:rPr>
                <w:rFonts w:ascii="Times New Roman"/>
                <w:w w:val="95"/>
                <w:sz w:val="20"/>
              </w:rPr>
              <w:t>20,084,901.02</w:t>
            </w:r>
            <w:r>
              <w:rPr>
                <w:rFonts w:ascii="Times New Roman"/>
                <w:sz w:val="20"/>
              </w:rPr>
            </w:r>
          </w:p>
        </w:tc>
      </w:tr>
      <w:tr>
        <w:trPr>
          <w:trHeight w:val="338"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93"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single" w:sz="4" w:space="0" w:color="000008"/>
              <w:left w:val="nil" w:sz="6" w:space="0" w:color="auto"/>
              <w:bottom w:val="single" w:sz="4" w:space="0" w:color="000008"/>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b/>
                <w:w w:val="95"/>
                <w:sz w:val="20"/>
              </w:rPr>
              <w:t>90,151,048.18</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single" w:sz="4" w:space="0" w:color="000008"/>
              <w:right w:val="nil" w:sz="6" w:space="0" w:color="auto"/>
            </w:tcBorders>
          </w:tcPr>
          <w:p>
            <w:pPr>
              <w:pStyle w:val="TableParagraph"/>
              <w:spacing w:line="240" w:lineRule="auto" w:before="51"/>
              <w:ind w:right="96"/>
              <w:jc w:val="right"/>
              <w:rPr>
                <w:rFonts w:ascii="Times New Roman" w:hAnsi="Times New Roman" w:cs="Times New Roman" w:eastAsia="Times New Roman" w:hint="default"/>
                <w:sz w:val="20"/>
                <w:szCs w:val="20"/>
              </w:rPr>
            </w:pPr>
            <w:r>
              <w:rPr>
                <w:rFonts w:ascii="Times New Roman"/>
                <w:b/>
                <w:w w:val="95"/>
                <w:sz w:val="20"/>
              </w:rPr>
              <w:t>26,114,901.02</w:t>
            </w:r>
            <w:r>
              <w:rPr>
                <w:rFonts w:ascii="Times New Roman"/>
                <w:sz w:val="20"/>
              </w:rPr>
            </w:r>
          </w:p>
        </w:tc>
      </w:tr>
      <w:tr>
        <w:trPr>
          <w:trHeight w:val="341"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93" w:lineRule="exact"/>
              <w:ind w:left="26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single" w:sz="4" w:space="0" w:color="000008"/>
              <w:left w:val="nil" w:sz="6" w:space="0" w:color="auto"/>
              <w:bottom w:val="single" w:sz="4" w:space="0" w:color="000008"/>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20"/>
                <w:szCs w:val="20"/>
              </w:rPr>
            </w:pPr>
            <w:r>
              <w:rPr>
                <w:rFonts w:ascii="Times New Roman"/>
                <w:b/>
                <w:w w:val="95"/>
                <w:sz w:val="20"/>
              </w:rPr>
              <w:t>1,406,159,140.76</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single" w:sz="4" w:space="0" w:color="000008"/>
              <w:right w:val="nil" w:sz="6" w:space="0" w:color="auto"/>
            </w:tcBorders>
          </w:tcPr>
          <w:p>
            <w:pPr>
              <w:pStyle w:val="TableParagraph"/>
              <w:spacing w:line="240" w:lineRule="auto" w:before="53"/>
              <w:ind w:right="96"/>
              <w:jc w:val="right"/>
              <w:rPr>
                <w:rFonts w:ascii="Times New Roman" w:hAnsi="Times New Roman" w:cs="Times New Roman" w:eastAsia="Times New Roman" w:hint="default"/>
                <w:sz w:val="20"/>
                <w:szCs w:val="20"/>
              </w:rPr>
            </w:pPr>
            <w:r>
              <w:rPr>
                <w:rFonts w:ascii="Times New Roman"/>
                <w:b/>
                <w:w w:val="95"/>
                <w:sz w:val="20"/>
              </w:rPr>
              <w:t>852,218,870.95</w:t>
            </w:r>
            <w:r>
              <w:rPr>
                <w:rFonts w:ascii="Times New Roman"/>
                <w:sz w:val="20"/>
              </w:rPr>
            </w:r>
          </w:p>
        </w:tc>
      </w:tr>
      <w:tr>
        <w:trPr>
          <w:trHeight w:val="339"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93"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所有者权益（或股东权益）：</w:t>
            </w:r>
            <w:r>
              <w:rPr>
                <w:rFonts w:ascii="Microsoft JhengHei" w:hAnsi="Microsoft JhengHei" w:cs="Microsoft JhengHei" w:eastAsia="Microsoft JhengHei" w:hint="default"/>
                <w:sz w:val="20"/>
                <w:szCs w:val="20"/>
              </w:rPr>
            </w:r>
          </w:p>
        </w:tc>
        <w:tc>
          <w:tcPr>
            <w:tcW w:w="40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r>
      <w:tr>
        <w:trPr>
          <w:trHeight w:val="343" w:hRule="exact"/>
        </w:trPr>
        <w:tc>
          <w:tcPr>
            <w:tcW w:w="42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309"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0"/>
                <w:szCs w:val="20"/>
              </w:rPr>
            </w:pPr>
            <w:r>
              <w:rPr>
                <w:rFonts w:ascii="Times New Roman"/>
                <w:w w:val="95"/>
                <w:sz w:val="20"/>
              </w:rPr>
              <w:t>768,507,851.00</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0"/>
                <w:szCs w:val="20"/>
              </w:rPr>
            </w:pPr>
            <w:r>
              <w:rPr>
                <w:rFonts w:ascii="Times New Roman"/>
                <w:w w:val="95"/>
                <w:sz w:val="20"/>
              </w:rPr>
              <w:t>452,063,442.00</w:t>
            </w:r>
            <w:r>
              <w:rPr>
                <w:rFonts w:ascii="Times New Roman"/>
                <w:sz w:val="20"/>
              </w:rPr>
            </w:r>
          </w:p>
        </w:tc>
      </w:tr>
      <w:tr>
        <w:trPr>
          <w:trHeight w:val="1360" w:hRule="exact"/>
        </w:trPr>
        <w:tc>
          <w:tcPr>
            <w:tcW w:w="4212" w:type="dxa"/>
            <w:gridSpan w:val="3"/>
            <w:tcBorders>
              <w:top w:val="nil" w:sz="6" w:space="0" w:color="auto"/>
              <w:left w:val="nil" w:sz="6" w:space="0" w:color="auto"/>
              <w:bottom w:val="nil" w:sz="6" w:space="0" w:color="auto"/>
              <w:right w:val="nil" w:sz="6" w:space="0" w:color="auto"/>
            </w:tcBorders>
          </w:tcPr>
          <w:p>
            <w:pPr>
              <w:pStyle w:val="TableParagraph"/>
              <w:spacing w:line="312" w:lineRule="auto" w:before="1"/>
              <w:ind w:left="309" w:right="2904"/>
              <w:jc w:val="left"/>
              <w:rPr>
                <w:rFonts w:ascii="宋体" w:hAnsi="宋体" w:cs="宋体" w:eastAsia="宋体" w:hint="default"/>
                <w:sz w:val="20"/>
                <w:szCs w:val="20"/>
              </w:rPr>
            </w:pPr>
            <w:r>
              <w:rPr>
                <w:rFonts w:ascii="宋体" w:hAnsi="宋体" w:cs="宋体" w:eastAsia="宋体" w:hint="default"/>
                <w:sz w:val="20"/>
                <w:szCs w:val="20"/>
              </w:rPr>
              <w:t>资本公积</w:t>
            </w:r>
            <w:r>
              <w:rPr>
                <w:rFonts w:ascii="宋体" w:hAnsi="宋体" w:cs="宋体" w:eastAsia="宋体" w:hint="default"/>
                <w:w w:val="99"/>
                <w:sz w:val="20"/>
                <w:szCs w:val="20"/>
              </w:rPr>
              <w:t> </w:t>
            </w:r>
            <w:r>
              <w:rPr>
                <w:rFonts w:ascii="宋体" w:hAnsi="宋体" w:cs="宋体" w:eastAsia="宋体" w:hint="default"/>
                <w:w w:val="95"/>
                <w:sz w:val="20"/>
                <w:szCs w:val="20"/>
              </w:rPr>
              <w:t>减：库存股</w:t>
            </w:r>
            <w:r>
              <w:rPr>
                <w:rFonts w:ascii="宋体" w:hAnsi="宋体" w:cs="宋体" w:eastAsia="宋体" w:hint="default"/>
                <w:spacing w:val="-49"/>
                <w:w w:val="95"/>
                <w:sz w:val="20"/>
                <w:szCs w:val="20"/>
              </w:rPr>
              <w:t> </w:t>
            </w:r>
            <w:r>
              <w:rPr>
                <w:rFonts w:ascii="宋体" w:hAnsi="宋体" w:cs="宋体" w:eastAsia="宋体" w:hint="default"/>
                <w:sz w:val="20"/>
                <w:szCs w:val="20"/>
              </w:rPr>
              <w:t>专项储备</w:t>
            </w:r>
            <w:r>
              <w:rPr>
                <w:rFonts w:ascii="宋体" w:hAnsi="宋体" w:cs="宋体" w:eastAsia="宋体" w:hint="default"/>
                <w:w w:val="99"/>
                <w:sz w:val="20"/>
                <w:szCs w:val="20"/>
              </w:rPr>
              <w:t> </w:t>
            </w:r>
            <w:r>
              <w:rPr>
                <w:rFonts w:ascii="宋体" w:hAnsi="宋体" w:cs="宋体" w:eastAsia="宋体" w:hint="default"/>
                <w:sz w:val="20"/>
                <w:szCs w:val="20"/>
              </w:rPr>
              <w:t>盈余公积</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1,556,894,091.47</w:t>
            </w:r>
            <w:r>
              <w:rPr>
                <w:rFonts w:ascii="Times New Roman"/>
                <w:sz w:val="20"/>
              </w:rPr>
            </w:r>
          </w:p>
          <w:p>
            <w:pPr>
              <w:pStyle w:val="TableParagraph"/>
              <w:spacing w:line="240" w:lineRule="auto" w:before="11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2" w:lineRule="auto" w:before="111"/>
              <w:ind w:left="650" w:right="104" w:firstLine="1082"/>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74,772,718.07</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1,873,057,714.51</w:t>
            </w:r>
            <w:r>
              <w:rPr>
                <w:rFonts w:ascii="Times New Roman"/>
                <w:sz w:val="20"/>
              </w:rPr>
            </w:r>
          </w:p>
          <w:p>
            <w:pPr>
              <w:pStyle w:val="TableParagraph"/>
              <w:spacing w:line="240" w:lineRule="auto" w:before="11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2" w:lineRule="auto" w:before="111"/>
              <w:ind w:left="904" w:right="102" w:firstLine="1082"/>
              <w:jc w:val="right"/>
              <w:rPr>
                <w:rFonts w:ascii="Times New Roman" w:hAnsi="Times New Roman" w:cs="Times New Roman" w:eastAsia="Times New Roman" w:hint="default"/>
                <w:sz w:val="20"/>
                <w:szCs w:val="20"/>
              </w:rPr>
            </w:pPr>
            <w:r>
              <w:rPr>
                <w:rFonts w:ascii="Times New Roman"/>
                <w:w w:val="95"/>
                <w:sz w:val="20"/>
              </w:rPr>
              <w:t>-</w:t>
            </w:r>
            <w:r>
              <w:rPr>
                <w:rFonts w:ascii="Times New Roman"/>
                <w:w w:val="99"/>
                <w:sz w:val="20"/>
              </w:rPr>
              <w:t> </w:t>
            </w:r>
            <w:r>
              <w:rPr>
                <w:rFonts w:ascii="Times New Roman"/>
                <w:w w:val="95"/>
                <w:sz w:val="20"/>
              </w:rPr>
              <w:t>62,921,920.08</w:t>
            </w:r>
            <w:r>
              <w:rPr>
                <w:rFonts w:ascii="Times New Roman"/>
                <w:sz w:val="20"/>
              </w:rPr>
            </w:r>
          </w:p>
        </w:tc>
      </w:tr>
      <w:tr>
        <w:trPr>
          <w:trHeight w:val="340" w:hRule="exact"/>
        </w:trPr>
        <w:tc>
          <w:tcPr>
            <w:tcW w:w="42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908"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20"/>
                <w:szCs w:val="20"/>
              </w:rPr>
            </w:pPr>
            <w:r>
              <w:rPr>
                <w:rFonts w:ascii="Times New Roman"/>
                <w:w w:val="95"/>
                <w:sz w:val="20"/>
              </w:rPr>
              <w:t>172,784,436.32</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20"/>
                <w:szCs w:val="20"/>
              </w:rPr>
            </w:pPr>
            <w:r>
              <w:rPr>
                <w:rFonts w:ascii="Times New Roman"/>
                <w:w w:val="95"/>
                <w:sz w:val="20"/>
              </w:rPr>
              <w:t>138,844,086.68</w:t>
            </w:r>
            <w:r>
              <w:rPr>
                <w:rFonts w:ascii="Times New Roman"/>
                <w:sz w:val="20"/>
              </w:rPr>
            </w:r>
          </w:p>
        </w:tc>
      </w:tr>
      <w:tr>
        <w:trPr>
          <w:trHeight w:val="338" w:hRule="exact"/>
        </w:trPr>
        <w:tc>
          <w:tcPr>
            <w:tcW w:w="4212" w:type="dxa"/>
            <w:gridSpan w:val="3"/>
            <w:tcBorders>
              <w:top w:val="nil" w:sz="6" w:space="0" w:color="auto"/>
              <w:left w:val="nil" w:sz="6" w:space="0" w:color="auto"/>
              <w:bottom w:val="nil" w:sz="6" w:space="0" w:color="auto"/>
              <w:right w:val="nil" w:sz="6" w:space="0" w:color="auto"/>
            </w:tcBorders>
          </w:tcPr>
          <w:p>
            <w:pPr>
              <w:pStyle w:val="TableParagraph"/>
              <w:spacing w:line="293" w:lineRule="exact"/>
              <w:ind w:left="7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1908" w:type="dxa"/>
            <w:tcBorders>
              <w:top w:val="single" w:sz="4" w:space="0" w:color="000008"/>
              <w:left w:val="nil" w:sz="6" w:space="0" w:color="auto"/>
              <w:bottom w:val="single" w:sz="4" w:space="0" w:color="000008"/>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b/>
                <w:w w:val="95"/>
                <w:sz w:val="20"/>
              </w:rPr>
              <w:t>2,572,959,096.86</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single" w:sz="4" w:space="0" w:color="000008"/>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b/>
                <w:w w:val="95"/>
                <w:sz w:val="20"/>
              </w:rPr>
              <w:t>2,526,887,163.27</w:t>
            </w:r>
            <w:r>
              <w:rPr>
                <w:rFonts w:ascii="Times New Roman"/>
                <w:sz w:val="20"/>
              </w:rPr>
            </w:r>
          </w:p>
        </w:tc>
      </w:tr>
      <w:tr>
        <w:trPr>
          <w:trHeight w:val="358" w:hRule="exact"/>
        </w:trPr>
        <w:tc>
          <w:tcPr>
            <w:tcW w:w="4212" w:type="dxa"/>
            <w:gridSpan w:val="3"/>
            <w:tcBorders>
              <w:top w:val="nil" w:sz="6" w:space="0" w:color="auto"/>
              <w:left w:val="nil" w:sz="6" w:space="0" w:color="auto"/>
              <w:bottom w:val="nil" w:sz="6" w:space="0" w:color="auto"/>
              <w:right w:val="nil" w:sz="6" w:space="0" w:color="auto"/>
            </w:tcBorders>
          </w:tcPr>
          <w:p>
            <w:pPr>
              <w:pStyle w:val="TableParagraph"/>
              <w:spacing w:line="293" w:lineRule="exact"/>
              <w:ind w:left="4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1908" w:type="dxa"/>
            <w:tcBorders>
              <w:top w:val="single" w:sz="4" w:space="0" w:color="000008"/>
              <w:left w:val="nil" w:sz="6" w:space="0" w:color="auto"/>
              <w:bottom w:val="single" w:sz="17" w:space="0" w:color="000008"/>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20"/>
                <w:szCs w:val="20"/>
              </w:rPr>
            </w:pPr>
            <w:r>
              <w:rPr>
                <w:rFonts w:ascii="Times New Roman"/>
                <w:b/>
                <w:w w:val="95"/>
                <w:sz w:val="20"/>
              </w:rPr>
              <w:t>3,979,118,237.62</w:t>
            </w:r>
            <w:r>
              <w:rPr>
                <w:rFonts w:ascii="Times New Roman"/>
                <w:sz w:val="20"/>
              </w:rPr>
            </w:r>
          </w:p>
        </w:tc>
        <w:tc>
          <w:tcPr>
            <w:tcW w:w="3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8"/>
              <w:left w:val="nil" w:sz="6" w:space="0" w:color="auto"/>
              <w:bottom w:val="single" w:sz="17" w:space="0" w:color="000008"/>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20"/>
                <w:szCs w:val="20"/>
              </w:rPr>
            </w:pPr>
            <w:r>
              <w:rPr>
                <w:rFonts w:ascii="Times New Roman"/>
                <w:b/>
                <w:w w:val="95"/>
                <w:sz w:val="20"/>
              </w:rPr>
              <w:t>3,379,106,034.22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943" w:footer="897" w:top="1500" w:bottom="1080" w:left="1660" w:right="1360"/>
        </w:sectPr>
      </w:pPr>
    </w:p>
    <w:p>
      <w:pPr>
        <w:spacing w:line="240" w:lineRule="auto" w:before="7"/>
        <w:rPr>
          <w:rFonts w:ascii="Microsoft JhengHei" w:hAnsi="Microsoft JhengHei" w:cs="Microsoft JhengHei" w:eastAsia="Microsoft JhengHei" w:hint="default"/>
          <w:b/>
          <w:bCs/>
          <w:sz w:val="16"/>
          <w:szCs w:val="16"/>
        </w:rPr>
      </w:pPr>
    </w:p>
    <w:p>
      <w:pPr>
        <w:pStyle w:val="Heading2"/>
        <w:spacing w:line="240" w:lineRule="auto"/>
        <w:ind w:left="4225" w:right="4202"/>
        <w:jc w:val="center"/>
      </w:pPr>
      <w:r>
        <w:rPr/>
        <w:t>利润表</w:t>
      </w:r>
    </w:p>
    <w:p>
      <w:pPr>
        <w:spacing w:before="178"/>
        <w:ind w:left="4225" w:right="4093"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2136" w:val="left" w:leader="none"/>
          <w:tab w:pos="4234" w:val="left" w:leader="none"/>
          <w:tab w:pos="6285" w:val="left" w:leader="none"/>
          <w:tab w:pos="7399" w:val="left" w:leader="none"/>
          <w:tab w:pos="8363" w:val="left" w:leader="none"/>
        </w:tabs>
        <w:spacing w:line="300" w:lineRule="auto" w:before="79"/>
        <w:ind w:left="1536" w:right="213" w:hanging="1292"/>
        <w:jc w:val="left"/>
        <w:rPr>
          <w:rFonts w:ascii="Microsoft JhengHei" w:hAnsi="Microsoft JhengHei" w:cs="Microsoft JhengHei" w:eastAsia="Microsoft JhengHei" w:hint="default"/>
          <w:sz w:val="20"/>
          <w:szCs w:val="20"/>
        </w:rPr>
      </w:pPr>
      <w:r>
        <w:rPr/>
        <w:pict>
          <v:group style="position:absolute;margin-left:89.759995pt;margin-top:26.011349pt;width:459pt;height:.1pt;mso-position-horizontal-relative:page;mso-position-vertical-relative:paragraph;z-index:-1139656" coordorigin="1795,520" coordsize="9180,2">
            <v:shape style="position:absolute;left:1795;top:520;width:9180;height:2" coordorigin="1795,520" coordsize="9180,0" path="m1795,520l10975,520e" filled="false" stroked="true" strokeweight=".48pt" strokecolor="#000008">
              <v:path arrowok="t"/>
            </v:shape>
            <w10:wrap type="none"/>
          </v:group>
        </w:pict>
      </w:r>
      <w:r>
        <w:rPr/>
        <w:pict>
          <v:group style="position:absolute;margin-left:89.759995pt;margin-top:48.211349pt;width:180pt;height:.1pt;mso-position-horizontal-relative:page;mso-position-vertical-relative:paragraph;z-index:2872" coordorigin="1795,964" coordsize="3600,2">
            <v:shape style="position:absolute;left:1795;top:964;width:3600;height:2" coordorigin="1795,964" coordsize="3600,0" path="m1795,964l5395,964e" filled="false" stroked="true" strokeweight=".48pt" strokecolor="#000008">
              <v:path arrowok="t"/>
            </v:shape>
            <w10:wrap type="none"/>
          </v:group>
        </w:pict>
      </w:r>
      <w:r>
        <w:rPr/>
        <w:pict>
          <v:group style="position:absolute;margin-left:287.759979pt;margin-top:48.211349pt;width:54pt;height:.1pt;mso-position-horizontal-relative:page;mso-position-vertical-relative:paragraph;z-index:2896" coordorigin="5755,964" coordsize="1080,2">
            <v:shape style="position:absolute;left:5755;top:964;width:1080;height:2" coordorigin="5755,964" coordsize="1080,0" path="m5755,964l6835,964e" filled="false" stroked="true" strokeweight=".48pt" strokecolor="#000008">
              <v:path arrowok="t"/>
            </v:shape>
            <w10:wrap type="none"/>
          </v:group>
        </w:pict>
      </w:r>
      <w:r>
        <w:rPr/>
        <w:pict>
          <v:group style="position:absolute;margin-left:353.639984pt;margin-top:48.211349pt;width:91.35pt;height:.1pt;mso-position-horizontal-relative:page;mso-position-vertical-relative:paragraph;z-index:2920" coordorigin="7073,964" coordsize="1827,2">
            <v:shape style="position:absolute;left:7073;top:964;width:1827;height:2" coordorigin="7073,964" coordsize="1827,0" path="m7073,964l8899,964e" filled="false" stroked="true" strokeweight=".48pt" strokecolor="#000008">
              <v:path arrowok="t"/>
            </v:shape>
            <w10:wrap type="none"/>
          </v:group>
        </w:pict>
      </w:r>
      <w:r>
        <w:rPr/>
        <w:pict>
          <v:group style="position:absolute;margin-left:458.759979pt;margin-top:48.211349pt;width:90pt;height:.1pt;mso-position-horizontal-relative:page;mso-position-vertical-relative:paragraph;z-index:2944" coordorigin="9175,964" coordsize="1800,2">
            <v:shape style="position:absolute;left:9175;top:964;width:1800;height:2" coordorigin="9175,964" coordsize="1800,0" path="m9175,964l10975,964e" filled="false" stroked="true" strokeweight=".48pt" strokecolor="#000008">
              <v:path arrowok="t"/>
            </v:shape>
            <w10:wrap type="none"/>
          </v:group>
        </w:pict>
      </w:r>
      <w:r>
        <w:rPr>
          <w:rFonts w:ascii="Microsoft JhengHei" w:hAnsi="Microsoft JhengHei" w:cs="Microsoft JhengHei" w:eastAsia="Microsoft JhengHei" w:hint="default"/>
          <w:b/>
          <w:bCs/>
          <w:spacing w:val="-1"/>
          <w:w w:val="95"/>
          <w:sz w:val="20"/>
          <w:szCs w:val="20"/>
        </w:rPr>
        <w:t>编制单位：深圳市农产品股份有限公司</w:t>
        <w:tab/>
        <w:tab/>
        <w:tab/>
      </w:r>
      <w:r>
        <w:rPr>
          <w:rFonts w:ascii="Microsoft JhengHei" w:hAnsi="Microsoft JhengHei" w:cs="Microsoft JhengHei" w:eastAsia="Microsoft JhengHei" w:hint="default"/>
          <w:b/>
          <w:bCs/>
          <w:spacing w:val="1"/>
          <w:sz w:val="20"/>
          <w:szCs w:val="20"/>
        </w:rPr>
        <w:t>金额单位：人民币元</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w w:val="95"/>
          <w:sz w:val="20"/>
          <w:szCs w:val="20"/>
        </w:rPr>
        <w:t>项</w:t>
        <w:tab/>
        <w:t>目</w:t>
        <w:tab/>
      </w:r>
      <w:r>
        <w:rPr>
          <w:rFonts w:ascii="Microsoft JhengHei" w:hAnsi="Microsoft JhengHei" w:cs="Microsoft JhengHei" w:eastAsia="Microsoft JhengHei" w:hint="default"/>
          <w:b/>
          <w:bCs/>
          <w:sz w:val="20"/>
          <w:szCs w:val="20"/>
        </w:rPr>
        <w:t>附注十一</w:t>
        <w:tab/>
      </w: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tab/>
        <w:tab/>
      </w: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4686" w:val="right" w:leader="none"/>
        </w:tabs>
        <w:spacing w:before="468"/>
        <w:ind w:left="245" w:right="0" w:firstLine="0"/>
        <w:jc w:val="left"/>
        <w:rPr>
          <w:rFonts w:ascii="Times New Roman" w:hAnsi="Times New Roman" w:cs="Times New Roman" w:eastAsia="Times New Roman" w:hint="default"/>
          <w:sz w:val="20"/>
          <w:szCs w:val="20"/>
        </w:rPr>
      </w:pPr>
      <w:r>
        <w:rPr/>
        <w:pict>
          <v:shape style="position:absolute;margin-left:369.889984pt;margin-top:36.126801pt;width:178.65pt;height:489.7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1"/>
                    <w:gridCol w:w="276"/>
                    <w:gridCol w:w="1795"/>
                  </w:tblGrid>
                  <w:tr>
                    <w:trPr>
                      <w:trHeight w:val="329"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04" w:lineRule="exact"/>
                          <w:ind w:right="104"/>
                          <w:jc w:val="right"/>
                          <w:rPr>
                            <w:rFonts w:ascii="Times New Roman" w:hAnsi="Times New Roman" w:cs="Times New Roman" w:eastAsia="Times New Roman" w:hint="default"/>
                            <w:sz w:val="20"/>
                            <w:szCs w:val="20"/>
                          </w:rPr>
                        </w:pPr>
                        <w:r>
                          <w:rPr>
                            <w:rFonts w:ascii="Times New Roman"/>
                            <w:w w:val="95"/>
                            <w:sz w:val="20"/>
                          </w:rPr>
                          <w:t>155,313,098.75</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04" w:lineRule="exact"/>
                          <w:ind w:right="97"/>
                          <w:jc w:val="right"/>
                          <w:rPr>
                            <w:rFonts w:ascii="Times New Roman" w:hAnsi="Times New Roman" w:cs="Times New Roman" w:eastAsia="Times New Roman" w:hint="default"/>
                            <w:sz w:val="20"/>
                            <w:szCs w:val="20"/>
                          </w:rPr>
                        </w:pPr>
                        <w:r>
                          <w:rPr>
                            <w:rFonts w:ascii="Times New Roman"/>
                            <w:w w:val="95"/>
                            <w:sz w:val="20"/>
                          </w:rPr>
                          <w:t>147,414,820.70</w:t>
                        </w:r>
                        <w:r>
                          <w:rPr>
                            <w:rFonts w:ascii="Times New Roman"/>
                            <w:sz w:val="20"/>
                          </w:rPr>
                        </w:r>
                      </w:p>
                    </w:tc>
                  </w:tr>
                  <w:tr>
                    <w:trPr>
                      <w:trHeight w:val="46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7"/>
                          <w:jc w:val="right"/>
                          <w:rPr>
                            <w:rFonts w:ascii="Times New Roman" w:hAnsi="Times New Roman" w:cs="Times New Roman" w:eastAsia="Times New Roman" w:hint="default"/>
                            <w:sz w:val="20"/>
                            <w:szCs w:val="20"/>
                          </w:rPr>
                        </w:pPr>
                        <w:r>
                          <w:rPr>
                            <w:rFonts w:ascii="Times New Roman"/>
                            <w:w w:val="95"/>
                            <w:sz w:val="20"/>
                          </w:rPr>
                          <w:t>86,012,577.52</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7"/>
                          <w:jc w:val="right"/>
                          <w:rPr>
                            <w:rFonts w:ascii="Times New Roman" w:hAnsi="Times New Roman" w:cs="Times New Roman" w:eastAsia="Times New Roman" w:hint="default"/>
                            <w:sz w:val="20"/>
                            <w:szCs w:val="20"/>
                          </w:rPr>
                        </w:pPr>
                        <w:r>
                          <w:rPr>
                            <w:rFonts w:ascii="Times New Roman"/>
                            <w:w w:val="95"/>
                            <w:sz w:val="20"/>
                          </w:rPr>
                          <w:t>72,651,161.34</w:t>
                        </w:r>
                        <w:r>
                          <w:rPr>
                            <w:rFonts w:ascii="Times New Roman"/>
                            <w:sz w:val="20"/>
                          </w:rPr>
                        </w:r>
                      </w:p>
                    </w:tc>
                  </w:tr>
                  <w:tr>
                    <w:trPr>
                      <w:trHeight w:val="138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42" w:right="0"/>
                          <w:jc w:val="left"/>
                          <w:rPr>
                            <w:rFonts w:ascii="Times New Roman" w:hAnsi="Times New Roman" w:cs="Times New Roman" w:eastAsia="Times New Roman" w:hint="default"/>
                            <w:sz w:val="20"/>
                            <w:szCs w:val="20"/>
                          </w:rPr>
                        </w:pPr>
                        <w:r>
                          <w:rPr>
                            <w:rFonts w:ascii="Times New Roman"/>
                            <w:sz w:val="20"/>
                          </w:rPr>
                          <w:t>6,959,737.35</w:t>
                        </w:r>
                      </w:p>
                      <w:p>
                        <w:pPr>
                          <w:pStyle w:val="TableParagraph"/>
                          <w:spacing w:line="460" w:lineRule="atLeast" w:before="1"/>
                          <w:ind w:left="241" w:right="106" w:firstLine="1084"/>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70,834,130.62</w:t>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43" w:right="0"/>
                          <w:jc w:val="left"/>
                          <w:rPr>
                            <w:rFonts w:ascii="Times New Roman" w:hAnsi="Times New Roman" w:cs="Times New Roman" w:eastAsia="Times New Roman" w:hint="default"/>
                            <w:sz w:val="20"/>
                            <w:szCs w:val="20"/>
                          </w:rPr>
                        </w:pPr>
                        <w:r>
                          <w:rPr>
                            <w:rFonts w:ascii="Times New Roman"/>
                            <w:sz w:val="20"/>
                          </w:rPr>
                          <w:t>8,135,951.31</w:t>
                        </w:r>
                      </w:p>
                      <w:p>
                        <w:pPr>
                          <w:pStyle w:val="TableParagraph"/>
                          <w:spacing w:line="460" w:lineRule="atLeast" w:before="1"/>
                          <w:ind w:left="544" w:right="97" w:firstLine="1082"/>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60,545,864.37</w:t>
                        </w:r>
                      </w:p>
                    </w:tc>
                  </w:tr>
                  <w:tr>
                    <w:trPr>
                      <w:trHeight w:val="461"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20"/>
                            <w:szCs w:val="20"/>
                          </w:rPr>
                        </w:pPr>
                        <w:r>
                          <w:rPr>
                            <w:rFonts w:ascii="Times New Roman"/>
                            <w:w w:val="95"/>
                            <w:sz w:val="20"/>
                          </w:rPr>
                          <w:t>2,776,619.48</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7"/>
                          <w:jc w:val="right"/>
                          <w:rPr>
                            <w:rFonts w:ascii="Times New Roman" w:hAnsi="Times New Roman" w:cs="Times New Roman" w:eastAsia="Times New Roman" w:hint="default"/>
                            <w:sz w:val="20"/>
                            <w:szCs w:val="20"/>
                          </w:rPr>
                        </w:pPr>
                        <w:r>
                          <w:rPr>
                            <w:rFonts w:ascii="Times New Roman"/>
                            <w:w w:val="95"/>
                            <w:sz w:val="20"/>
                          </w:rPr>
                          <w:t>15,883,119.21</w:t>
                        </w:r>
                        <w:r>
                          <w:rPr>
                            <w:rFonts w:ascii="Times New Roman"/>
                            <w:sz w:val="20"/>
                          </w:rPr>
                        </w:r>
                      </w:p>
                    </w:tc>
                  </w:tr>
                  <w:tr>
                    <w:trPr>
                      <w:trHeight w:val="474"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20"/>
                            <w:szCs w:val="20"/>
                          </w:rPr>
                        </w:pPr>
                        <w:r>
                          <w:rPr>
                            <w:rFonts w:ascii="Times New Roman"/>
                            <w:w w:val="95"/>
                            <w:sz w:val="20"/>
                          </w:rPr>
                          <w:t>42,504,808.43</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7"/>
                          <w:jc w:val="right"/>
                          <w:rPr>
                            <w:rFonts w:ascii="Times New Roman" w:hAnsi="Times New Roman" w:cs="Times New Roman" w:eastAsia="Times New Roman" w:hint="default"/>
                            <w:sz w:val="20"/>
                            <w:szCs w:val="20"/>
                          </w:rPr>
                        </w:pPr>
                        <w:r>
                          <w:rPr>
                            <w:rFonts w:ascii="Times New Roman"/>
                            <w:w w:val="95"/>
                            <w:sz w:val="20"/>
                          </w:rPr>
                          <w:t>71,511,922.60</w:t>
                        </w:r>
                        <w:r>
                          <w:rPr>
                            <w:rFonts w:ascii="Times New Roman"/>
                            <w:sz w:val="20"/>
                          </w:rPr>
                        </w:r>
                      </w:p>
                    </w:tc>
                  </w:tr>
                  <w:tr>
                    <w:trPr>
                      <w:trHeight w:val="504"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21"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20"/>
                            <w:szCs w:val="20"/>
                          </w:rPr>
                        </w:pPr>
                        <w:r>
                          <w:rPr>
                            <w:rFonts w:ascii="Times New Roman"/>
                            <w:w w:val="95"/>
                            <w:sz w:val="20"/>
                          </w:rPr>
                          <w:t>236,774,491.31</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7"/>
                          <w:jc w:val="right"/>
                          <w:rPr>
                            <w:rFonts w:ascii="Times New Roman" w:hAnsi="Times New Roman" w:cs="Times New Roman" w:eastAsia="Times New Roman" w:hint="default"/>
                            <w:sz w:val="20"/>
                            <w:szCs w:val="20"/>
                          </w:rPr>
                        </w:pPr>
                        <w:r>
                          <w:rPr>
                            <w:rFonts w:ascii="Times New Roman"/>
                            <w:w w:val="95"/>
                            <w:sz w:val="20"/>
                          </w:rPr>
                          <w:t>165,447,216.42</w:t>
                        </w:r>
                        <w:r>
                          <w:rPr>
                            <w:rFonts w:ascii="Times New Roman"/>
                            <w:sz w:val="20"/>
                          </w:rPr>
                        </w:r>
                      </w:p>
                    </w:tc>
                  </w:tr>
                  <w:tr>
                    <w:trPr>
                      <w:trHeight w:val="398" w:hRule="exact"/>
                    </w:trPr>
                    <w:tc>
                      <w:tcPr>
                        <w:tcW w:w="1501" w:type="dxa"/>
                        <w:tcBorders>
                          <w:top w:val="nil" w:sz="6" w:space="0" w:color="auto"/>
                          <w:left w:val="nil" w:sz="6" w:space="0" w:color="auto"/>
                          <w:bottom w:val="single" w:sz="4" w:space="0" w:color="000008"/>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20"/>
                            <w:szCs w:val="20"/>
                          </w:rPr>
                        </w:pPr>
                        <w:r>
                          <w:rPr>
                            <w:rFonts w:ascii="Times New Roman"/>
                            <w:w w:val="95"/>
                            <w:sz w:val="20"/>
                          </w:rPr>
                          <w:t>43,589,738.97</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8"/>
                          <w:right w:val="nil" w:sz="6" w:space="0" w:color="auto"/>
                        </w:tcBorders>
                      </w:tcPr>
                      <w:p>
                        <w:pPr>
                          <w:pStyle w:val="TableParagraph"/>
                          <w:spacing w:line="240" w:lineRule="auto" w:before="134"/>
                          <w:ind w:right="97"/>
                          <w:jc w:val="right"/>
                          <w:rPr>
                            <w:rFonts w:ascii="Times New Roman" w:hAnsi="Times New Roman" w:cs="Times New Roman" w:eastAsia="Times New Roman" w:hint="default"/>
                            <w:sz w:val="20"/>
                            <w:szCs w:val="20"/>
                          </w:rPr>
                        </w:pPr>
                        <w:r>
                          <w:rPr>
                            <w:rFonts w:ascii="Times New Roman"/>
                            <w:w w:val="95"/>
                            <w:sz w:val="20"/>
                          </w:rPr>
                          <w:t>11,503,633.68</w:t>
                        </w:r>
                        <w:r>
                          <w:rPr>
                            <w:rFonts w:ascii="Times New Roman"/>
                            <w:sz w:val="20"/>
                          </w:rPr>
                        </w:r>
                      </w:p>
                    </w:tc>
                  </w:tr>
                  <w:tr>
                    <w:trPr>
                      <w:trHeight w:val="470" w:hRule="exact"/>
                    </w:trPr>
                    <w:tc>
                      <w:tcPr>
                        <w:tcW w:w="1501" w:type="dxa"/>
                        <w:tcBorders>
                          <w:top w:val="single" w:sz="4" w:space="0" w:color="000008"/>
                          <w:left w:val="nil" w:sz="6" w:space="0" w:color="auto"/>
                          <w:bottom w:val="single" w:sz="4" w:space="0" w:color="000008"/>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b/>
                            <w:w w:val="95"/>
                            <w:sz w:val="20"/>
                          </w:rPr>
                          <w:t>182,999,716.66</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8"/>
                          <w:left w:val="nil" w:sz="6" w:space="0" w:color="auto"/>
                          <w:bottom w:val="single" w:sz="4" w:space="0" w:color="000008"/>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1"/>
                          <w:jc w:val="right"/>
                          <w:rPr>
                            <w:rFonts w:ascii="Times New Roman" w:hAnsi="Times New Roman" w:cs="Times New Roman" w:eastAsia="Times New Roman" w:hint="default"/>
                            <w:sz w:val="20"/>
                            <w:szCs w:val="20"/>
                          </w:rPr>
                        </w:pPr>
                        <w:r>
                          <w:rPr>
                            <w:rFonts w:ascii="Times New Roman"/>
                            <w:b/>
                            <w:w w:val="95"/>
                            <w:sz w:val="20"/>
                          </w:rPr>
                          <w:t>84,134,018.29</w:t>
                        </w:r>
                        <w:r>
                          <w:rPr>
                            <w:rFonts w:ascii="Times New Roman"/>
                            <w:sz w:val="20"/>
                          </w:rPr>
                        </w:r>
                      </w:p>
                    </w:tc>
                  </w:tr>
                  <w:tr>
                    <w:trPr>
                      <w:trHeight w:val="592" w:hRule="exact"/>
                    </w:trPr>
                    <w:tc>
                      <w:tcPr>
                        <w:tcW w:w="1501"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4,135,080.06</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8"/>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26,622,075.00</w:t>
                        </w:r>
                        <w:r>
                          <w:rPr>
                            <w:rFonts w:ascii="Times New Roman"/>
                            <w:sz w:val="20"/>
                          </w:rPr>
                        </w:r>
                      </w:p>
                    </w:tc>
                  </w:tr>
                  <w:tr>
                    <w:trPr>
                      <w:trHeight w:val="461"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20"/>
                            <w:szCs w:val="20"/>
                          </w:rPr>
                        </w:pPr>
                        <w:r>
                          <w:rPr>
                            <w:rFonts w:ascii="Times New Roman"/>
                            <w:w w:val="95"/>
                            <w:sz w:val="20"/>
                          </w:rPr>
                          <w:t>65,437,071.05</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7"/>
                          <w:jc w:val="right"/>
                          <w:rPr>
                            <w:rFonts w:ascii="Times New Roman" w:hAnsi="Times New Roman" w:cs="Times New Roman" w:eastAsia="Times New Roman" w:hint="default"/>
                            <w:sz w:val="20"/>
                            <w:szCs w:val="20"/>
                          </w:rPr>
                        </w:pPr>
                        <w:r>
                          <w:rPr>
                            <w:rFonts w:ascii="Times New Roman"/>
                            <w:w w:val="95"/>
                            <w:sz w:val="20"/>
                          </w:rPr>
                          <w:t>402,562.07</w:t>
                        </w:r>
                        <w:r>
                          <w:rPr>
                            <w:rFonts w:ascii="Times New Roman"/>
                            <w:sz w:val="20"/>
                          </w:rPr>
                        </w:r>
                      </w:p>
                    </w:tc>
                  </w:tr>
                  <w:tr>
                    <w:trPr>
                      <w:trHeight w:val="464" w:hRule="exact"/>
                    </w:trPr>
                    <w:tc>
                      <w:tcPr>
                        <w:tcW w:w="1501"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104"/>
                          <w:ind w:right="10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37,981.31</w:t>
                        </w:r>
                        <w:r>
                          <w:rPr>
                            <w:rFonts w:ascii="Times New Roman"/>
                            <w:w w:val="95"/>
                            <w:sz w:val="20"/>
                          </w:rPr>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tabs>
                            <w:tab w:pos="892" w:val="left" w:leader="none"/>
                          </w:tabs>
                          <w:spacing w:line="240" w:lineRule="auto" w:before="104"/>
                          <w:ind w:right="10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84,149.31</w:t>
                        </w:r>
                        <w:r>
                          <w:rPr>
                            <w:rFonts w:ascii="Times New Roman"/>
                            <w:w w:val="95"/>
                            <w:sz w:val="20"/>
                          </w:rPr>
                        </w:r>
                        <w:r>
                          <w:rPr>
                            <w:rFonts w:ascii="Times New Roman"/>
                            <w:sz w:val="20"/>
                          </w:rPr>
                        </w:r>
                      </w:p>
                    </w:tc>
                  </w:tr>
                  <w:tr>
                    <w:trPr>
                      <w:trHeight w:val="469"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333333"/>
                          </w:rPr>
                          <w:t> </w:t>
                        </w:r>
                        <w:r>
                          <w:rPr>
                            <w:rFonts w:ascii="Times New Roman"/>
                            <w:spacing w:val="14"/>
                            <w:sz w:val="20"/>
                            <w:u w:val="single" w:color="333333"/>
                          </w:rPr>
                          <w:t> </w:t>
                        </w:r>
                        <w:r>
                          <w:rPr>
                            <w:rFonts w:ascii="Times New Roman"/>
                            <w:b/>
                            <w:w w:val="95"/>
                            <w:sz w:val="20"/>
                            <w:u w:val="single" w:color="333333"/>
                          </w:rPr>
                          <w:t>121,697,725.67</w:t>
                        </w:r>
                        <w:r>
                          <w:rPr>
                            <w:rFonts w:ascii="Times New Roman"/>
                            <w:b/>
                            <w:w w:val="95"/>
                            <w:sz w:val="20"/>
                          </w:rPr>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8"/>
                          <w:ind w:right="9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333333"/>
                          </w:rPr>
                          <w:t> </w:t>
                        </w:r>
                        <w:r>
                          <w:rPr>
                            <w:rFonts w:ascii="Times New Roman"/>
                            <w:sz w:val="20"/>
                            <w:u w:val="single" w:color="333333"/>
                          </w:rPr>
                          <w:tab/>
                        </w:r>
                        <w:r>
                          <w:rPr>
                            <w:rFonts w:ascii="Times New Roman"/>
                            <w:b/>
                            <w:w w:val="95"/>
                            <w:sz w:val="20"/>
                            <w:u w:val="single" w:color="333333"/>
                          </w:rPr>
                          <w:t>110,353,531.22</w:t>
                        </w:r>
                        <w:r>
                          <w:rPr>
                            <w:rFonts w:ascii="Times New Roman"/>
                            <w:b/>
                            <w:w w:val="95"/>
                            <w:sz w:val="20"/>
                          </w:rPr>
                        </w:r>
                        <w:r>
                          <w:rPr>
                            <w:rFonts w:ascii="Times New Roman"/>
                            <w:sz w:val="20"/>
                          </w:rPr>
                        </w:r>
                      </w:p>
                    </w:tc>
                  </w:tr>
                  <w:tr>
                    <w:trPr>
                      <w:trHeight w:val="470" w:hRule="exact"/>
                    </w:trPr>
                    <w:tc>
                      <w:tcPr>
                        <w:tcW w:w="1501" w:type="dxa"/>
                        <w:tcBorders>
                          <w:top w:val="nil" w:sz="6" w:space="0" w:color="auto"/>
                          <w:left w:val="nil" w:sz="6" w:space="0" w:color="auto"/>
                          <w:bottom w:val="nil" w:sz="6" w:space="0" w:color="auto"/>
                          <w:right w:val="nil" w:sz="6" w:space="0" w:color="auto"/>
                        </w:tcBorders>
                      </w:tcPr>
                      <w:p>
                        <w:pPr>
                          <w:pStyle w:val="TableParagraph"/>
                          <w:tabs>
                            <w:tab w:pos="307" w:val="left" w:leader="none"/>
                          </w:tabs>
                          <w:spacing w:line="240" w:lineRule="auto" w:before="109"/>
                          <w:ind w:right="10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7,976,794.04</w:t>
                        </w:r>
                        <w:r>
                          <w:rPr>
                            <w:rFonts w:ascii="Times New Roman"/>
                            <w:w w:val="95"/>
                            <w:sz w:val="20"/>
                          </w:rPr>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109"/>
                          <w:ind w:right="10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-8,274,716.35</w:t>
                        </w:r>
                        <w:r>
                          <w:rPr>
                            <w:rFonts w:ascii="Times New Roman"/>
                            <w:w w:val="95"/>
                            <w:sz w:val="20"/>
                          </w:rPr>
                        </w:r>
                        <w:r>
                          <w:rPr>
                            <w:rFonts w:ascii="Times New Roman"/>
                            <w:sz w:val="20"/>
                          </w:rPr>
                        </w:r>
                      </w:p>
                    </w:tc>
                  </w:tr>
                  <w:tr>
                    <w:trPr>
                      <w:trHeight w:val="487"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333333"/>
                          </w:rPr>
                          <w:t> </w:t>
                        </w:r>
                        <w:r>
                          <w:rPr>
                            <w:rFonts w:ascii="Times New Roman"/>
                            <w:spacing w:val="14"/>
                            <w:sz w:val="20"/>
                            <w:u w:val="thick" w:color="333333"/>
                          </w:rPr>
                          <w:t> </w:t>
                        </w:r>
                        <w:r>
                          <w:rPr>
                            <w:rFonts w:ascii="Times New Roman"/>
                            <w:b/>
                            <w:w w:val="95"/>
                            <w:sz w:val="20"/>
                            <w:u w:val="thick" w:color="333333"/>
                          </w:rPr>
                          <w:t>113,720,931.63</w:t>
                        </w:r>
                        <w:r>
                          <w:rPr>
                            <w:rFonts w:ascii="Times New Roman"/>
                            <w:b/>
                            <w:w w:val="95"/>
                            <w:sz w:val="20"/>
                          </w:rPr>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9"/>
                          <w:ind w:right="9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333333"/>
                          </w:rPr>
                          <w:t> </w:t>
                        </w:r>
                        <w:r>
                          <w:rPr>
                            <w:rFonts w:ascii="Times New Roman"/>
                            <w:sz w:val="20"/>
                            <w:u w:val="thick" w:color="333333"/>
                          </w:rPr>
                          <w:tab/>
                        </w:r>
                        <w:r>
                          <w:rPr>
                            <w:rFonts w:ascii="Times New Roman"/>
                            <w:b/>
                            <w:w w:val="95"/>
                            <w:sz w:val="20"/>
                            <w:u w:val="thick" w:color="333333"/>
                          </w:rPr>
                          <w:t>118,628,247.57</w:t>
                        </w:r>
                        <w:r>
                          <w:rPr>
                            <w:rFonts w:ascii="Times New Roman"/>
                            <w:b/>
                            <w:w w:val="95"/>
                            <w:sz w:val="20"/>
                          </w:rPr>
                        </w:r>
                        <w:r>
                          <w:rPr>
                            <w:rFonts w:ascii="Times New Roman"/>
                            <w:sz w:val="20"/>
                          </w:rPr>
                        </w:r>
                      </w:p>
                    </w:tc>
                  </w:tr>
                  <w:tr>
                    <w:trPr>
                      <w:trHeight w:val="481"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1"/>
                          <w:jc w:val="right"/>
                          <w:rPr>
                            <w:rFonts w:ascii="Times New Roman" w:hAnsi="Times New Roman" w:cs="Times New Roman" w:eastAsia="Times New Roman" w:hint="default"/>
                            <w:sz w:val="20"/>
                            <w:szCs w:val="20"/>
                          </w:rPr>
                        </w:pPr>
                        <w:r>
                          <w:rPr>
                            <w:rFonts w:ascii="Times New Roman"/>
                            <w:b/>
                            <w:w w:val="95"/>
                            <w:sz w:val="20"/>
                          </w:rPr>
                          <w:t>0.15</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4"/>
                          <w:jc w:val="right"/>
                          <w:rPr>
                            <w:rFonts w:ascii="Times New Roman" w:hAnsi="Times New Roman" w:cs="Times New Roman" w:eastAsia="Times New Roman" w:hint="default"/>
                            <w:sz w:val="20"/>
                            <w:szCs w:val="20"/>
                          </w:rPr>
                        </w:pPr>
                        <w:r>
                          <w:rPr>
                            <w:rFonts w:ascii="Times New Roman"/>
                            <w:b/>
                            <w:w w:val="95"/>
                            <w:sz w:val="20"/>
                          </w:rPr>
                          <w:t>0.28</w:t>
                        </w:r>
                        <w:r>
                          <w:rPr>
                            <w:rFonts w:ascii="Times New Roman"/>
                            <w:sz w:val="20"/>
                          </w:rPr>
                        </w:r>
                      </w:p>
                    </w:tc>
                  </w:tr>
                  <w:tr>
                    <w:trPr>
                      <w:trHeight w:val="466" w:hRule="exact"/>
                    </w:trPr>
                    <w:tc>
                      <w:tcPr>
                        <w:tcW w:w="1501" w:type="dxa"/>
                        <w:tcBorders>
                          <w:top w:val="nil" w:sz="6" w:space="0" w:color="auto"/>
                          <w:left w:val="nil" w:sz="6" w:space="0" w:color="auto"/>
                          <w:bottom w:val="nil" w:sz="6" w:space="0" w:color="auto"/>
                          <w:right w:val="nil" w:sz="6" w:space="0" w:color="auto"/>
                        </w:tcBorders>
                      </w:tcPr>
                      <w:p>
                        <w:pPr>
                          <w:pStyle w:val="TableParagraph"/>
                          <w:tabs>
                            <w:tab w:pos="1013" w:val="left" w:leader="none"/>
                          </w:tabs>
                          <w:spacing w:line="240" w:lineRule="auto" w:before="103"/>
                          <w:ind w:right="10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b/>
                            <w:w w:val="95"/>
                            <w:sz w:val="20"/>
                            <w:u w:val="single" w:color="000008"/>
                          </w:rPr>
                          <w:t>0.15</w:t>
                        </w:r>
                        <w:r>
                          <w:rPr>
                            <w:rFonts w:ascii="Times New Roman"/>
                            <w:b/>
                            <w:w w:val="95"/>
                            <w:sz w:val="20"/>
                          </w:rPr>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tabs>
                            <w:tab w:pos="1349" w:val="left" w:leader="none"/>
                          </w:tabs>
                          <w:spacing w:line="240" w:lineRule="auto" w:before="103"/>
                          <w:ind w:right="9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b/>
                            <w:w w:val="95"/>
                            <w:sz w:val="20"/>
                            <w:u w:val="single" w:color="000008"/>
                          </w:rPr>
                          <w:t>0.28</w:t>
                        </w:r>
                        <w:r>
                          <w:rPr>
                            <w:rFonts w:ascii="Times New Roman"/>
                            <w:b/>
                            <w:w w:val="95"/>
                            <w:sz w:val="20"/>
                          </w:rPr>
                        </w:r>
                        <w:r>
                          <w:rPr>
                            <w:rFonts w:ascii="Times New Roman"/>
                            <w:sz w:val="20"/>
                          </w:rPr>
                        </w:r>
                      </w:p>
                    </w:tc>
                  </w:tr>
                  <w:tr>
                    <w:trPr>
                      <w:trHeight w:val="472" w:hRule="exact"/>
                    </w:trPr>
                    <w:tc>
                      <w:tcPr>
                        <w:tcW w:w="1501" w:type="dxa"/>
                        <w:tcBorders>
                          <w:top w:val="nil" w:sz="6" w:space="0" w:color="auto"/>
                          <w:left w:val="nil" w:sz="6" w:space="0" w:color="auto"/>
                          <w:bottom w:val="nil" w:sz="6" w:space="0" w:color="auto"/>
                          <w:right w:val="nil" w:sz="6" w:space="0" w:color="auto"/>
                        </w:tcBorders>
                      </w:tcPr>
                      <w:p>
                        <w:pPr>
                          <w:pStyle w:val="TableParagraph"/>
                          <w:tabs>
                            <w:tab w:pos="464" w:val="left" w:leader="none"/>
                          </w:tabs>
                          <w:spacing w:line="240" w:lineRule="auto" w:before="110"/>
                          <w:ind w:right="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b/>
                            <w:w w:val="95"/>
                            <w:sz w:val="20"/>
                            <w:u w:val="single" w:color="000008"/>
                          </w:rPr>
                          <w:t>268,759.19</w:t>
                        </w:r>
                        <w:r>
                          <w:rPr>
                            <w:rFonts w:ascii="Times New Roman"/>
                            <w:b/>
                            <w:w w:val="95"/>
                            <w:sz w:val="20"/>
                          </w:rPr>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tabs>
                            <w:tab w:pos="1633" w:val="left" w:leader="none"/>
                          </w:tabs>
                          <w:spacing w:line="240" w:lineRule="auto" w:before="110"/>
                          <w:ind w:right="9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b/>
                            <w:w w:val="95"/>
                            <w:sz w:val="20"/>
                            <w:u w:val="single" w:color="000008"/>
                          </w:rPr>
                          <w:t>-</w:t>
                        </w:r>
                        <w:r>
                          <w:rPr>
                            <w:rFonts w:ascii="Times New Roman"/>
                            <w:b/>
                            <w:w w:val="95"/>
                            <w:sz w:val="20"/>
                          </w:rPr>
                        </w:r>
                        <w:r>
                          <w:rPr>
                            <w:rFonts w:ascii="Times New Roman"/>
                            <w:sz w:val="20"/>
                          </w:rPr>
                        </w:r>
                      </w:p>
                    </w:tc>
                  </w:tr>
                  <w:tr>
                    <w:trPr>
                      <w:trHeight w:val="435"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pacing w:val="14"/>
                            <w:sz w:val="20"/>
                            <w:u w:val="thick" w:color="000008"/>
                          </w:rPr>
                          <w:t> </w:t>
                        </w:r>
                        <w:r>
                          <w:rPr>
                            <w:rFonts w:ascii="Times New Roman"/>
                            <w:b/>
                            <w:w w:val="95"/>
                            <w:sz w:val="20"/>
                            <w:u w:val="thick" w:color="000008"/>
                          </w:rPr>
                          <w:t>113,989,690.82</w:t>
                        </w:r>
                        <w:r>
                          <w:rPr>
                            <w:rFonts w:ascii="Times New Roman"/>
                            <w:b/>
                            <w:w w:val="95"/>
                            <w:sz w:val="20"/>
                          </w:rPr>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9"/>
                          <w:ind w:right="9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z w:val="20"/>
                            <w:u w:val="thick" w:color="000008"/>
                          </w:rPr>
                          <w:tab/>
                        </w:r>
                        <w:r>
                          <w:rPr>
                            <w:rFonts w:ascii="Times New Roman"/>
                            <w:b/>
                            <w:w w:val="95"/>
                            <w:sz w:val="20"/>
                            <w:u w:val="thick" w:color="000008"/>
                          </w:rPr>
                          <w:t>118,628,247.57</w:t>
                        </w:r>
                        <w:r>
                          <w:rPr>
                            <w:rFonts w:ascii="Times New Roman"/>
                            <w:b/>
                            <w:w w:val="95"/>
                            <w:sz w:val="20"/>
                          </w:rPr>
                        </w:r>
                        <w:r>
                          <w:rPr>
                            <w:rFonts w:ascii="Times New Roman"/>
                            <w:sz w:val="20"/>
                          </w:rPr>
                        </w:r>
                      </w:p>
                    </w:tc>
                  </w:tr>
                </w:tbl>
                <w:p>
                  <w:pPr/>
                </w:p>
              </w:txbxContent>
            </v:textbox>
            <w10:wrap type="none"/>
          </v:shape>
        </w:pict>
      </w:r>
      <w:r>
        <w:rPr>
          <w:rFonts w:ascii="Microsoft JhengHei" w:hAnsi="Microsoft JhengHei" w:cs="Microsoft JhengHei" w:eastAsia="Microsoft JhengHei" w:hint="default"/>
          <w:b/>
          <w:bCs/>
          <w:sz w:val="20"/>
          <w:szCs w:val="20"/>
        </w:rPr>
        <w:t>一、营业收入</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4</w:t>
      </w:r>
    </w:p>
    <w:p>
      <w:pPr>
        <w:tabs>
          <w:tab w:pos="4686" w:val="right" w:leader="none"/>
        </w:tabs>
        <w:spacing w:before="176"/>
        <w:ind w:left="64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减：营业成本</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4</w:t>
      </w:r>
    </w:p>
    <w:p>
      <w:pPr>
        <w:spacing w:line="240" w:lineRule="auto" w:before="11"/>
        <w:rPr>
          <w:rFonts w:ascii="Times New Roman" w:hAnsi="Times New Roman" w:cs="Times New Roman" w:eastAsia="Times New Roman" w:hint="default"/>
          <w:sz w:val="15"/>
          <w:szCs w:val="15"/>
        </w:rPr>
      </w:pPr>
    </w:p>
    <w:p>
      <w:pPr>
        <w:spacing w:line="422" w:lineRule="auto" w:before="0"/>
        <w:ind w:left="1044" w:right="6803" w:firstLine="0"/>
        <w:jc w:val="left"/>
        <w:rPr>
          <w:rFonts w:ascii="宋体" w:hAnsi="宋体" w:cs="宋体" w:eastAsia="宋体" w:hint="default"/>
          <w:sz w:val="20"/>
          <w:szCs w:val="20"/>
        </w:rPr>
      </w:pPr>
      <w:r>
        <w:rPr>
          <w:rFonts w:ascii="宋体" w:hAnsi="宋体" w:cs="宋体" w:eastAsia="宋体" w:hint="default"/>
          <w:w w:val="95"/>
          <w:sz w:val="20"/>
          <w:szCs w:val="20"/>
        </w:rPr>
        <w:t>营业税金及附加</w:t>
      </w:r>
      <w:r>
        <w:rPr>
          <w:rFonts w:ascii="宋体" w:hAnsi="宋体" w:cs="宋体" w:eastAsia="宋体" w:hint="default"/>
          <w:spacing w:val="-31"/>
          <w:w w:val="95"/>
          <w:sz w:val="20"/>
          <w:szCs w:val="20"/>
        </w:rPr>
        <w:t> </w:t>
      </w:r>
      <w:r>
        <w:rPr>
          <w:rFonts w:ascii="宋体" w:hAnsi="宋体" w:cs="宋体" w:eastAsia="宋体" w:hint="default"/>
          <w:sz w:val="20"/>
          <w:szCs w:val="20"/>
        </w:rPr>
        <w:t>销售费用</w:t>
      </w:r>
      <w:r>
        <w:rPr>
          <w:rFonts w:ascii="宋体" w:hAnsi="宋体" w:cs="宋体" w:eastAsia="宋体" w:hint="default"/>
          <w:w w:val="99"/>
          <w:sz w:val="20"/>
          <w:szCs w:val="20"/>
        </w:rPr>
        <w:t> </w:t>
      </w:r>
      <w:r>
        <w:rPr>
          <w:rFonts w:ascii="宋体" w:hAnsi="宋体" w:cs="宋体" w:eastAsia="宋体" w:hint="default"/>
          <w:sz w:val="20"/>
          <w:szCs w:val="20"/>
        </w:rPr>
        <w:t>管理费用</w:t>
      </w:r>
      <w:r>
        <w:rPr>
          <w:rFonts w:ascii="宋体" w:hAnsi="宋体" w:cs="宋体" w:eastAsia="宋体" w:hint="default"/>
          <w:w w:val="99"/>
          <w:sz w:val="20"/>
          <w:szCs w:val="20"/>
        </w:rPr>
        <w:t> </w:t>
      </w:r>
      <w:r>
        <w:rPr>
          <w:rFonts w:ascii="宋体" w:hAnsi="宋体" w:cs="宋体" w:eastAsia="宋体" w:hint="default"/>
          <w:sz w:val="20"/>
          <w:szCs w:val="20"/>
        </w:rPr>
        <w:t>财务费用</w:t>
      </w:r>
      <w:r>
        <w:rPr>
          <w:rFonts w:ascii="宋体" w:hAnsi="宋体" w:cs="宋体" w:eastAsia="宋体" w:hint="default"/>
          <w:w w:val="99"/>
          <w:sz w:val="20"/>
          <w:szCs w:val="20"/>
        </w:rPr>
        <w:t> </w:t>
      </w:r>
      <w:r>
        <w:rPr>
          <w:rFonts w:ascii="宋体" w:hAnsi="宋体" w:cs="宋体" w:eastAsia="宋体" w:hint="default"/>
          <w:sz w:val="20"/>
          <w:szCs w:val="20"/>
        </w:rPr>
        <w:t>资产减值损失</w:t>
      </w:r>
    </w:p>
    <w:p>
      <w:pPr>
        <w:spacing w:line="214" w:lineRule="exact" w:before="0"/>
        <w:ind w:left="643" w:right="213" w:firstLine="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w:t>
      </w:r>
    </w:p>
    <w:p>
      <w:pPr>
        <w:spacing w:line="253" w:lineRule="exact" w:before="0"/>
        <w:ind w:left="245" w:right="213" w:firstLine="0"/>
        <w:jc w:val="left"/>
        <w:rPr>
          <w:rFonts w:ascii="宋体" w:hAnsi="宋体" w:cs="宋体" w:eastAsia="宋体" w:hint="default"/>
          <w:sz w:val="20"/>
          <w:szCs w:val="20"/>
        </w:rPr>
      </w:pPr>
      <w:r>
        <w:rPr>
          <w:rFonts w:ascii="宋体" w:hAnsi="宋体" w:cs="宋体" w:eastAsia="宋体" w:hint="default"/>
          <w:sz w:val="20"/>
          <w:szCs w:val="20"/>
        </w:rPr>
        <w:t>填列）</w:t>
      </w:r>
    </w:p>
    <w:p>
      <w:pPr>
        <w:spacing w:line="219" w:lineRule="exact" w:before="0"/>
        <w:ind w:left="1044" w:right="213" w:firstLine="0"/>
        <w:jc w:val="left"/>
        <w:rPr>
          <w:rFonts w:ascii="宋体" w:hAnsi="宋体" w:cs="宋体" w:eastAsia="宋体" w:hint="default"/>
          <w:sz w:val="20"/>
          <w:szCs w:val="20"/>
        </w:rPr>
      </w:pPr>
      <w:r>
        <w:rPr>
          <w:rFonts w:ascii="宋体" w:hAnsi="宋体" w:cs="宋体" w:eastAsia="宋体" w:hint="default"/>
          <w:sz w:val="20"/>
          <w:szCs w:val="20"/>
        </w:rPr>
        <w:t>投资收益（损失以“-”号填</w:t>
      </w:r>
    </w:p>
    <w:p>
      <w:pPr>
        <w:tabs>
          <w:tab w:pos="4686" w:val="right" w:leader="none"/>
        </w:tabs>
        <w:spacing w:line="302" w:lineRule="exact" w:before="0"/>
        <w:ind w:left="245" w:right="0" w:firstLine="0"/>
        <w:jc w:val="left"/>
        <w:rPr>
          <w:rFonts w:ascii="Times New Roman" w:hAnsi="Times New Roman" w:cs="Times New Roman" w:eastAsia="Times New Roman" w:hint="default"/>
          <w:sz w:val="20"/>
          <w:szCs w:val="20"/>
        </w:rPr>
      </w:pPr>
      <w:r>
        <w:rPr>
          <w:rFonts w:ascii="宋体" w:hAnsi="宋体" w:cs="宋体" w:eastAsia="宋体" w:hint="default"/>
          <w:position w:val="-12"/>
          <w:sz w:val="20"/>
          <w:szCs w:val="20"/>
        </w:rPr>
        <w:t>列）</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5</w:t>
      </w:r>
    </w:p>
    <w:p>
      <w:pPr>
        <w:spacing w:line="260" w:lineRule="exact" w:before="25"/>
        <w:ind w:left="245" w:right="5794" w:firstLine="799"/>
        <w:jc w:val="left"/>
        <w:rPr>
          <w:rFonts w:ascii="宋体" w:hAnsi="宋体" w:cs="宋体" w:eastAsia="宋体" w:hint="default"/>
          <w:sz w:val="20"/>
          <w:szCs w:val="20"/>
        </w:rPr>
      </w:pPr>
      <w:r>
        <w:rPr>
          <w:rFonts w:ascii="宋体" w:hAnsi="宋体" w:cs="宋体" w:eastAsia="宋体" w:hint="default"/>
          <w:spacing w:val="-1"/>
          <w:w w:val="95"/>
          <w:sz w:val="20"/>
          <w:szCs w:val="20"/>
        </w:rPr>
        <w:t>其中：对联营企业和合营企业</w:t>
      </w:r>
      <w:r>
        <w:rPr>
          <w:rFonts w:ascii="宋体" w:hAnsi="宋体" w:cs="宋体" w:eastAsia="宋体" w:hint="default"/>
          <w:w w:val="99"/>
          <w:sz w:val="20"/>
          <w:szCs w:val="20"/>
        </w:rPr>
        <w:t> </w:t>
      </w:r>
      <w:r>
        <w:rPr>
          <w:rFonts w:ascii="宋体" w:hAnsi="宋体" w:cs="宋体" w:eastAsia="宋体" w:hint="default"/>
          <w:sz w:val="20"/>
          <w:szCs w:val="20"/>
        </w:rPr>
        <w:t>的投资收益</w:t>
      </w:r>
    </w:p>
    <w:p>
      <w:pPr>
        <w:spacing w:before="20"/>
        <w:ind w:left="245" w:right="213"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二、营业利润（亏损以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p>
      <w:pPr>
        <w:spacing w:line="240" w:lineRule="auto" w:before="12"/>
        <w:rPr>
          <w:rFonts w:ascii="Microsoft JhengHei" w:hAnsi="Microsoft JhengHei" w:cs="Microsoft JhengHei" w:eastAsia="Microsoft JhengHei" w:hint="default"/>
          <w:b/>
          <w:bCs/>
          <w:sz w:val="10"/>
          <w:szCs w:val="10"/>
        </w:rPr>
      </w:pPr>
    </w:p>
    <w:p>
      <w:pPr>
        <w:spacing w:line="422" w:lineRule="auto" w:before="0"/>
        <w:ind w:left="643" w:right="6803" w:firstLine="0"/>
        <w:jc w:val="left"/>
        <w:rPr>
          <w:rFonts w:ascii="宋体" w:hAnsi="宋体" w:cs="宋体" w:eastAsia="宋体" w:hint="default"/>
          <w:sz w:val="20"/>
          <w:szCs w:val="20"/>
        </w:rPr>
      </w:pPr>
      <w:r>
        <w:rPr>
          <w:rFonts w:ascii="宋体" w:hAnsi="宋体" w:cs="宋体" w:eastAsia="宋体" w:hint="default"/>
          <w:w w:val="95"/>
          <w:sz w:val="20"/>
          <w:szCs w:val="20"/>
        </w:rPr>
        <w:t>加：营业外收入</w:t>
      </w:r>
      <w:r>
        <w:rPr>
          <w:rFonts w:ascii="宋体" w:hAnsi="宋体" w:cs="宋体" w:eastAsia="宋体" w:hint="default"/>
          <w:spacing w:val="-31"/>
          <w:w w:val="95"/>
          <w:sz w:val="20"/>
          <w:szCs w:val="20"/>
        </w:rPr>
        <w:t> </w:t>
      </w:r>
      <w:r>
        <w:rPr>
          <w:rFonts w:ascii="宋体" w:hAnsi="宋体" w:cs="宋体" w:eastAsia="宋体" w:hint="default"/>
          <w:w w:val="95"/>
          <w:sz w:val="20"/>
          <w:szCs w:val="20"/>
        </w:rPr>
        <w:t>减：营业外支出</w:t>
      </w:r>
      <w:r>
        <w:rPr>
          <w:rFonts w:ascii="宋体" w:hAnsi="宋体" w:cs="宋体" w:eastAsia="宋体" w:hint="default"/>
          <w:sz w:val="20"/>
          <w:szCs w:val="20"/>
        </w:rPr>
      </w:r>
    </w:p>
    <w:p>
      <w:pPr>
        <w:spacing w:line="372" w:lineRule="auto" w:before="44"/>
        <w:ind w:left="245" w:right="5794" w:firstLine="799"/>
        <w:jc w:val="left"/>
        <w:rPr>
          <w:rFonts w:ascii="Microsoft JhengHei" w:hAnsi="Microsoft JhengHei" w:cs="Microsoft JhengHei" w:eastAsia="Microsoft JhengHei" w:hint="default"/>
          <w:sz w:val="20"/>
          <w:szCs w:val="20"/>
        </w:rPr>
      </w:pPr>
      <w:r>
        <w:rPr/>
        <w:pict>
          <v:group style="position:absolute;margin-left:371.279999pt;margin-top:21.739683pt;width:74.05pt;height:.6pt;mso-position-horizontal-relative:page;mso-position-vertical-relative:paragraph;z-index:2968" coordorigin="7426,435" coordsize="1481,12">
            <v:group style="position:absolute;left:7432;top:441;width:12;height:2" coordorigin="7432,441" coordsize="12,2">
              <v:shape style="position:absolute;left:7432;top:441;width:12;height:2" coordorigin="7432,441" coordsize="12,0" path="m7432,441l7444,441e" filled="false" stroked="true" strokeweight=".6pt" strokecolor="#000008">
                <v:path arrowok="t"/>
              </v:shape>
            </v:group>
            <v:group style="position:absolute;left:7451;top:441;width:12;height:2" coordorigin="7451,441" coordsize="12,2">
              <v:shape style="position:absolute;left:7451;top:441;width:12;height:2" coordorigin="7451,441" coordsize="12,0" path="m7451,441l7463,441e" filled="false" stroked="true" strokeweight=".6pt" strokecolor="#000008">
                <v:path arrowok="t"/>
              </v:shape>
            </v:group>
            <v:group style="position:absolute;left:7470;top:441;width:12;height:2" coordorigin="7470,441" coordsize="12,2">
              <v:shape style="position:absolute;left:7470;top:441;width:12;height:2" coordorigin="7470,441" coordsize="12,0" path="m7470,441l7482,441e" filled="false" stroked="true" strokeweight=".6pt" strokecolor="#000008">
                <v:path arrowok="t"/>
              </v:shape>
            </v:group>
            <v:group style="position:absolute;left:7489;top:441;width:12;height:2" coordorigin="7489,441" coordsize="12,2">
              <v:shape style="position:absolute;left:7489;top:441;width:12;height:2" coordorigin="7489,441" coordsize="12,0" path="m7489,441l7501,441e" filled="false" stroked="true" strokeweight=".6pt" strokecolor="#000008">
                <v:path arrowok="t"/>
              </v:shape>
            </v:group>
            <v:group style="position:absolute;left:7508;top:441;width:12;height:2" coordorigin="7508,441" coordsize="12,2">
              <v:shape style="position:absolute;left:7508;top:441;width:12;height:2" coordorigin="7508,441" coordsize="12,0" path="m7508,441l7520,441e" filled="false" stroked="true" strokeweight=".6pt" strokecolor="#000008">
                <v:path arrowok="t"/>
              </v:shape>
            </v:group>
            <v:group style="position:absolute;left:7528;top:441;width:12;height:2" coordorigin="7528,441" coordsize="12,2">
              <v:shape style="position:absolute;left:7528;top:441;width:12;height:2" coordorigin="7528,441" coordsize="12,0" path="m7528,441l7540,441e" filled="false" stroked="true" strokeweight=".6pt" strokecolor="#000008">
                <v:path arrowok="t"/>
              </v:shape>
            </v:group>
            <v:group style="position:absolute;left:7547;top:441;width:12;height:2" coordorigin="7547,441" coordsize="12,2">
              <v:shape style="position:absolute;left:7547;top:441;width:12;height:2" coordorigin="7547,441" coordsize="12,0" path="m7547,441l7559,441e" filled="false" stroked="true" strokeweight=".6pt" strokecolor="#000008">
                <v:path arrowok="t"/>
              </v:shape>
            </v:group>
            <v:group style="position:absolute;left:7566;top:441;width:12;height:2" coordorigin="7566,441" coordsize="12,2">
              <v:shape style="position:absolute;left:7566;top:441;width:12;height:2" coordorigin="7566,441" coordsize="12,0" path="m7566,441l7578,441e" filled="false" stroked="true" strokeweight=".6pt" strokecolor="#000008">
                <v:path arrowok="t"/>
              </v:shape>
            </v:group>
            <v:group style="position:absolute;left:7585;top:441;width:12;height:2" coordorigin="7585,441" coordsize="12,2">
              <v:shape style="position:absolute;left:7585;top:441;width:12;height:2" coordorigin="7585,441" coordsize="12,0" path="m7585,441l7597,441e" filled="false" stroked="true" strokeweight=".6pt" strokecolor="#000008">
                <v:path arrowok="t"/>
              </v:shape>
            </v:group>
            <v:group style="position:absolute;left:7604;top:441;width:12;height:2" coordorigin="7604,441" coordsize="12,2">
              <v:shape style="position:absolute;left:7604;top:441;width:12;height:2" coordorigin="7604,441" coordsize="12,0" path="m7604,441l7616,441e" filled="false" stroked="true" strokeweight=".6pt" strokecolor="#000008">
                <v:path arrowok="t"/>
              </v:shape>
            </v:group>
            <v:group style="position:absolute;left:7624;top:441;width:12;height:2" coordorigin="7624,441" coordsize="12,2">
              <v:shape style="position:absolute;left:7624;top:441;width:12;height:2" coordorigin="7624,441" coordsize="12,0" path="m7624,441l7636,441e" filled="false" stroked="true" strokeweight=".6pt" strokecolor="#000008">
                <v:path arrowok="t"/>
              </v:shape>
            </v:group>
            <v:group style="position:absolute;left:7643;top:441;width:12;height:2" coordorigin="7643,441" coordsize="12,2">
              <v:shape style="position:absolute;left:7643;top:441;width:12;height:2" coordorigin="7643,441" coordsize="12,0" path="m7643,441l7655,441e" filled="false" stroked="true" strokeweight=".6pt" strokecolor="#000008">
                <v:path arrowok="t"/>
              </v:shape>
            </v:group>
            <v:group style="position:absolute;left:7662;top:441;width:12;height:2" coordorigin="7662,441" coordsize="12,2">
              <v:shape style="position:absolute;left:7662;top:441;width:12;height:2" coordorigin="7662,441" coordsize="12,0" path="m7662,441l7674,441e" filled="false" stroked="true" strokeweight=".6pt" strokecolor="#000008">
                <v:path arrowok="t"/>
              </v:shape>
            </v:group>
            <v:group style="position:absolute;left:7681;top:441;width:12;height:2" coordorigin="7681,441" coordsize="12,2">
              <v:shape style="position:absolute;left:7681;top:441;width:12;height:2" coordorigin="7681,441" coordsize="12,0" path="m7681,441l7693,441e" filled="false" stroked="true" strokeweight=".6pt" strokecolor="#000008">
                <v:path arrowok="t"/>
              </v:shape>
            </v:group>
            <v:group style="position:absolute;left:7700;top:441;width:12;height:2" coordorigin="7700,441" coordsize="12,2">
              <v:shape style="position:absolute;left:7700;top:441;width:12;height:2" coordorigin="7700,441" coordsize="12,0" path="m7700,441l7712,441e" filled="false" stroked="true" strokeweight=".6pt" strokecolor="#000008">
                <v:path arrowok="t"/>
              </v:shape>
            </v:group>
            <v:group style="position:absolute;left:7720;top:441;width:12;height:2" coordorigin="7720,441" coordsize="12,2">
              <v:shape style="position:absolute;left:7720;top:441;width:12;height:2" coordorigin="7720,441" coordsize="12,0" path="m7720,441l7732,441e" filled="false" stroked="true" strokeweight=".6pt" strokecolor="#000008">
                <v:path arrowok="t"/>
              </v:shape>
            </v:group>
            <v:group style="position:absolute;left:7739;top:441;width:12;height:2" coordorigin="7739,441" coordsize="12,2">
              <v:shape style="position:absolute;left:7739;top:441;width:12;height:2" coordorigin="7739,441" coordsize="12,0" path="m7739,441l7751,441e" filled="false" stroked="true" strokeweight=".6pt" strokecolor="#000008">
                <v:path arrowok="t"/>
              </v:shape>
            </v:group>
            <v:group style="position:absolute;left:7758;top:441;width:12;height:2" coordorigin="7758,441" coordsize="12,2">
              <v:shape style="position:absolute;left:7758;top:441;width:12;height:2" coordorigin="7758,441" coordsize="12,0" path="m7758,441l7770,441e" filled="false" stroked="true" strokeweight=".6pt" strokecolor="#000008">
                <v:path arrowok="t"/>
              </v:shape>
            </v:group>
            <v:group style="position:absolute;left:7777;top:441;width:12;height:2" coordorigin="7777,441" coordsize="12,2">
              <v:shape style="position:absolute;left:7777;top:441;width:12;height:2" coordorigin="7777,441" coordsize="12,0" path="m7777,441l7789,441e" filled="false" stroked="true" strokeweight=".6pt" strokecolor="#000008">
                <v:path arrowok="t"/>
              </v:shape>
            </v:group>
            <v:group style="position:absolute;left:7796;top:441;width:12;height:2" coordorigin="7796,441" coordsize="12,2">
              <v:shape style="position:absolute;left:7796;top:441;width:12;height:2" coordorigin="7796,441" coordsize="12,0" path="m7796,441l7808,441e" filled="false" stroked="true" strokeweight=".6pt" strokecolor="#000008">
                <v:path arrowok="t"/>
              </v:shape>
            </v:group>
            <v:group style="position:absolute;left:7816;top:441;width:12;height:2" coordorigin="7816,441" coordsize="12,2">
              <v:shape style="position:absolute;left:7816;top:441;width:12;height:2" coordorigin="7816,441" coordsize="12,0" path="m7816,441l7828,441e" filled="false" stroked="true" strokeweight=".6pt" strokecolor="#000008">
                <v:path arrowok="t"/>
              </v:shape>
            </v:group>
            <v:group style="position:absolute;left:7835;top:441;width:12;height:2" coordorigin="7835,441" coordsize="12,2">
              <v:shape style="position:absolute;left:7835;top:441;width:12;height:2" coordorigin="7835,441" coordsize="12,0" path="m7835,441l7847,441e" filled="false" stroked="true" strokeweight=".6pt" strokecolor="#000008">
                <v:path arrowok="t"/>
              </v:shape>
            </v:group>
            <v:group style="position:absolute;left:7854;top:441;width:12;height:2" coordorigin="7854,441" coordsize="12,2">
              <v:shape style="position:absolute;left:7854;top:441;width:12;height:2" coordorigin="7854,441" coordsize="12,0" path="m7854,441l7866,441e" filled="false" stroked="true" strokeweight=".6pt" strokecolor="#000008">
                <v:path arrowok="t"/>
              </v:shape>
            </v:group>
            <v:group style="position:absolute;left:7873;top:441;width:12;height:2" coordorigin="7873,441" coordsize="12,2">
              <v:shape style="position:absolute;left:7873;top:441;width:12;height:2" coordorigin="7873,441" coordsize="12,0" path="m7873,441l7885,441e" filled="false" stroked="true" strokeweight=".6pt" strokecolor="#000008">
                <v:path arrowok="t"/>
              </v:shape>
            </v:group>
            <v:group style="position:absolute;left:7892;top:441;width:12;height:2" coordorigin="7892,441" coordsize="12,2">
              <v:shape style="position:absolute;left:7892;top:441;width:12;height:2" coordorigin="7892,441" coordsize="12,0" path="m7892,441l7904,441e" filled="false" stroked="true" strokeweight=".6pt" strokecolor="#000008">
                <v:path arrowok="t"/>
              </v:shape>
            </v:group>
            <v:group style="position:absolute;left:7912;top:441;width:12;height:2" coordorigin="7912,441" coordsize="12,2">
              <v:shape style="position:absolute;left:7912;top:441;width:12;height:2" coordorigin="7912,441" coordsize="12,0" path="m7912,441l7924,441e" filled="false" stroked="true" strokeweight=".6pt" strokecolor="#000008">
                <v:path arrowok="t"/>
              </v:shape>
            </v:group>
            <v:group style="position:absolute;left:7931;top:441;width:12;height:2" coordorigin="7931,441" coordsize="12,2">
              <v:shape style="position:absolute;left:7931;top:441;width:12;height:2" coordorigin="7931,441" coordsize="12,0" path="m7931,441l7943,441e" filled="false" stroked="true" strokeweight=".6pt" strokecolor="#000008">
                <v:path arrowok="t"/>
              </v:shape>
            </v:group>
            <v:group style="position:absolute;left:7950;top:441;width:12;height:2" coordorigin="7950,441" coordsize="12,2">
              <v:shape style="position:absolute;left:7950;top:441;width:12;height:2" coordorigin="7950,441" coordsize="12,0" path="m7950,441l7962,441e" filled="false" stroked="true" strokeweight=".6pt" strokecolor="#000008">
                <v:path arrowok="t"/>
              </v:shape>
            </v:group>
            <v:group style="position:absolute;left:7969;top:441;width:12;height:2" coordorigin="7969,441" coordsize="12,2">
              <v:shape style="position:absolute;left:7969;top:441;width:12;height:2" coordorigin="7969,441" coordsize="12,0" path="m7969,441l7981,441e" filled="false" stroked="true" strokeweight=".6pt" strokecolor="#000008">
                <v:path arrowok="t"/>
              </v:shape>
            </v:group>
            <v:group style="position:absolute;left:7988;top:441;width:12;height:2" coordorigin="7988,441" coordsize="12,2">
              <v:shape style="position:absolute;left:7988;top:441;width:12;height:2" coordorigin="7988,441" coordsize="12,0" path="m7988,441l8000,441e" filled="false" stroked="true" strokeweight=".6pt" strokecolor="#000008">
                <v:path arrowok="t"/>
              </v:shape>
            </v:group>
            <v:group style="position:absolute;left:8008;top:441;width:12;height:2" coordorigin="8008,441" coordsize="12,2">
              <v:shape style="position:absolute;left:8008;top:441;width:12;height:2" coordorigin="8008,441" coordsize="12,0" path="m8008,441l8020,441e" filled="false" stroked="true" strokeweight=".6pt" strokecolor="#000008">
                <v:path arrowok="t"/>
              </v:shape>
            </v:group>
            <v:group style="position:absolute;left:8027;top:441;width:12;height:2" coordorigin="8027,441" coordsize="12,2">
              <v:shape style="position:absolute;left:8027;top:441;width:12;height:2" coordorigin="8027,441" coordsize="12,0" path="m8027,441l8039,441e" filled="false" stroked="true" strokeweight=".6pt" strokecolor="#000008">
                <v:path arrowok="t"/>
              </v:shape>
            </v:group>
            <v:group style="position:absolute;left:8046;top:441;width:12;height:2" coordorigin="8046,441" coordsize="12,2">
              <v:shape style="position:absolute;left:8046;top:441;width:12;height:2" coordorigin="8046,441" coordsize="12,0" path="m8046,441l8058,441e" filled="false" stroked="true" strokeweight=".6pt" strokecolor="#000008">
                <v:path arrowok="t"/>
              </v:shape>
            </v:group>
            <v:group style="position:absolute;left:8065;top:441;width:12;height:2" coordorigin="8065,441" coordsize="12,2">
              <v:shape style="position:absolute;left:8065;top:441;width:12;height:2" coordorigin="8065,441" coordsize="12,0" path="m8065,441l8077,441e" filled="false" stroked="true" strokeweight=".6pt" strokecolor="#000008">
                <v:path arrowok="t"/>
              </v:shape>
            </v:group>
            <v:group style="position:absolute;left:8084;top:441;width:12;height:2" coordorigin="8084,441" coordsize="12,2">
              <v:shape style="position:absolute;left:8084;top:441;width:12;height:2" coordorigin="8084,441" coordsize="12,0" path="m8084,441l8096,441e" filled="false" stroked="true" strokeweight=".6pt" strokecolor="#000008">
                <v:path arrowok="t"/>
              </v:shape>
            </v:group>
            <v:group style="position:absolute;left:8104;top:441;width:12;height:2" coordorigin="8104,441" coordsize="12,2">
              <v:shape style="position:absolute;left:8104;top:441;width:12;height:2" coordorigin="8104,441" coordsize="12,0" path="m8104,441l8116,441e" filled="false" stroked="true" strokeweight=".6pt" strokecolor="#000008">
                <v:path arrowok="t"/>
              </v:shape>
            </v:group>
            <v:group style="position:absolute;left:8123;top:441;width:12;height:2" coordorigin="8123,441" coordsize="12,2">
              <v:shape style="position:absolute;left:8123;top:441;width:12;height:2" coordorigin="8123,441" coordsize="12,0" path="m8123,441l8135,441e" filled="false" stroked="true" strokeweight=".6pt" strokecolor="#000008">
                <v:path arrowok="t"/>
              </v:shape>
            </v:group>
            <v:group style="position:absolute;left:8142;top:441;width:12;height:2" coordorigin="8142,441" coordsize="12,2">
              <v:shape style="position:absolute;left:8142;top:441;width:12;height:2" coordorigin="8142,441" coordsize="12,0" path="m8142,441l8154,441e" filled="false" stroked="true" strokeweight=".6pt" strokecolor="#000008">
                <v:path arrowok="t"/>
              </v:shape>
            </v:group>
            <v:group style="position:absolute;left:8161;top:441;width:12;height:2" coordorigin="8161,441" coordsize="12,2">
              <v:shape style="position:absolute;left:8161;top:441;width:12;height:2" coordorigin="8161,441" coordsize="12,0" path="m8161,441l8173,441e" filled="false" stroked="true" strokeweight=".6pt" strokecolor="#000008">
                <v:path arrowok="t"/>
              </v:shape>
            </v:group>
            <v:group style="position:absolute;left:8180;top:441;width:12;height:2" coordorigin="8180,441" coordsize="12,2">
              <v:shape style="position:absolute;left:8180;top:441;width:12;height:2" coordorigin="8180,441" coordsize="12,0" path="m8180,441l8192,441e" filled="false" stroked="true" strokeweight=".6pt" strokecolor="#000008">
                <v:path arrowok="t"/>
              </v:shape>
            </v:group>
            <v:group style="position:absolute;left:8200;top:441;width:12;height:2" coordorigin="8200,441" coordsize="12,2">
              <v:shape style="position:absolute;left:8200;top:441;width:12;height:2" coordorigin="8200,441" coordsize="12,0" path="m8200,441l8212,441e" filled="false" stroked="true" strokeweight=".6pt" strokecolor="#000008">
                <v:path arrowok="t"/>
              </v:shape>
            </v:group>
            <v:group style="position:absolute;left:8219;top:441;width:12;height:2" coordorigin="8219,441" coordsize="12,2">
              <v:shape style="position:absolute;left:8219;top:441;width:12;height:2" coordorigin="8219,441" coordsize="12,0" path="m8219,441l8231,441e" filled="false" stroked="true" strokeweight=".6pt" strokecolor="#000008">
                <v:path arrowok="t"/>
              </v:shape>
            </v:group>
            <v:group style="position:absolute;left:8238;top:441;width:12;height:2" coordorigin="8238,441" coordsize="12,2">
              <v:shape style="position:absolute;left:8238;top:441;width:12;height:2" coordorigin="8238,441" coordsize="12,0" path="m8238,441l8250,441e" filled="false" stroked="true" strokeweight=".6pt" strokecolor="#000008">
                <v:path arrowok="t"/>
              </v:shape>
            </v:group>
            <v:group style="position:absolute;left:8257;top:441;width:12;height:2" coordorigin="8257,441" coordsize="12,2">
              <v:shape style="position:absolute;left:8257;top:441;width:12;height:2" coordorigin="8257,441" coordsize="12,0" path="m8257,441l8269,441e" filled="false" stroked="true" strokeweight=".6pt" strokecolor="#000008">
                <v:path arrowok="t"/>
              </v:shape>
            </v:group>
            <v:group style="position:absolute;left:8276;top:441;width:12;height:2" coordorigin="8276,441" coordsize="12,2">
              <v:shape style="position:absolute;left:8276;top:441;width:12;height:2" coordorigin="8276,441" coordsize="12,0" path="m8276,441l8288,441e" filled="false" stroked="true" strokeweight=".6pt" strokecolor="#000008">
                <v:path arrowok="t"/>
              </v:shape>
            </v:group>
            <v:group style="position:absolute;left:8296;top:441;width:12;height:2" coordorigin="8296,441" coordsize="12,2">
              <v:shape style="position:absolute;left:8296;top:441;width:12;height:2" coordorigin="8296,441" coordsize="12,0" path="m8296,441l8308,441e" filled="false" stroked="true" strokeweight=".6pt" strokecolor="#000008">
                <v:path arrowok="t"/>
              </v:shape>
            </v:group>
            <v:group style="position:absolute;left:8315;top:441;width:12;height:2" coordorigin="8315,441" coordsize="12,2">
              <v:shape style="position:absolute;left:8315;top:441;width:12;height:2" coordorigin="8315,441" coordsize="12,0" path="m8315,441l8327,441e" filled="false" stroked="true" strokeweight=".6pt" strokecolor="#000008">
                <v:path arrowok="t"/>
              </v:shape>
            </v:group>
            <v:group style="position:absolute;left:8334;top:441;width:12;height:2" coordorigin="8334,441" coordsize="12,2">
              <v:shape style="position:absolute;left:8334;top:441;width:12;height:2" coordorigin="8334,441" coordsize="12,0" path="m8334,441l8346,441e" filled="false" stroked="true" strokeweight=".6pt" strokecolor="#000008">
                <v:path arrowok="t"/>
              </v:shape>
            </v:group>
            <v:group style="position:absolute;left:8353;top:441;width:12;height:2" coordorigin="8353,441" coordsize="12,2">
              <v:shape style="position:absolute;left:8353;top:441;width:12;height:2" coordorigin="8353,441" coordsize="12,0" path="m8353,441l8365,441e" filled="false" stroked="true" strokeweight=".6pt" strokecolor="#000008">
                <v:path arrowok="t"/>
              </v:shape>
            </v:group>
            <v:group style="position:absolute;left:8372;top:441;width:12;height:2" coordorigin="8372,441" coordsize="12,2">
              <v:shape style="position:absolute;left:8372;top:441;width:12;height:2" coordorigin="8372,441" coordsize="12,0" path="m8372,441l8384,441e" filled="false" stroked="true" strokeweight=".6pt" strokecolor="#000008">
                <v:path arrowok="t"/>
              </v:shape>
            </v:group>
            <v:group style="position:absolute;left:8392;top:441;width:12;height:2" coordorigin="8392,441" coordsize="12,2">
              <v:shape style="position:absolute;left:8392;top:441;width:12;height:2" coordorigin="8392,441" coordsize="12,0" path="m8392,441l8404,441e" filled="false" stroked="true" strokeweight=".6pt" strokecolor="#000008">
                <v:path arrowok="t"/>
              </v:shape>
            </v:group>
            <v:group style="position:absolute;left:8411;top:441;width:12;height:2" coordorigin="8411,441" coordsize="12,2">
              <v:shape style="position:absolute;left:8411;top:441;width:12;height:2" coordorigin="8411,441" coordsize="12,0" path="m8411,441l8423,441e" filled="false" stroked="true" strokeweight=".6pt" strokecolor="#000008">
                <v:path arrowok="t"/>
              </v:shape>
            </v:group>
            <v:group style="position:absolute;left:8430;top:441;width:12;height:2" coordorigin="8430,441" coordsize="12,2">
              <v:shape style="position:absolute;left:8430;top:441;width:12;height:2" coordorigin="8430,441" coordsize="12,0" path="m8430,441l8442,441e" filled="false" stroked="true" strokeweight=".6pt" strokecolor="#000008">
                <v:path arrowok="t"/>
              </v:shape>
            </v:group>
            <v:group style="position:absolute;left:8449;top:441;width:12;height:2" coordorigin="8449,441" coordsize="12,2">
              <v:shape style="position:absolute;left:8449;top:441;width:12;height:2" coordorigin="8449,441" coordsize="12,0" path="m8449,441l8461,441e" filled="false" stroked="true" strokeweight=".6pt" strokecolor="#000008">
                <v:path arrowok="t"/>
              </v:shape>
            </v:group>
            <v:group style="position:absolute;left:8468;top:441;width:12;height:2" coordorigin="8468,441" coordsize="12,2">
              <v:shape style="position:absolute;left:8468;top:441;width:12;height:2" coordorigin="8468,441" coordsize="12,0" path="m8468,441l8480,441e" filled="false" stroked="true" strokeweight=".6pt" strokecolor="#000008">
                <v:path arrowok="t"/>
              </v:shape>
            </v:group>
            <v:group style="position:absolute;left:8488;top:441;width:12;height:2" coordorigin="8488,441" coordsize="12,2">
              <v:shape style="position:absolute;left:8488;top:441;width:12;height:2" coordorigin="8488,441" coordsize="12,0" path="m8488,441l8500,441e" filled="false" stroked="true" strokeweight=".6pt" strokecolor="#000008">
                <v:path arrowok="t"/>
              </v:shape>
            </v:group>
            <v:group style="position:absolute;left:8507;top:441;width:12;height:2" coordorigin="8507,441" coordsize="12,2">
              <v:shape style="position:absolute;left:8507;top:441;width:12;height:2" coordorigin="8507,441" coordsize="12,0" path="m8507,441l8519,441e" filled="false" stroked="true" strokeweight=".6pt" strokecolor="#000008">
                <v:path arrowok="t"/>
              </v:shape>
            </v:group>
            <v:group style="position:absolute;left:8526;top:441;width:12;height:2" coordorigin="8526,441" coordsize="12,2">
              <v:shape style="position:absolute;left:8526;top:441;width:12;height:2" coordorigin="8526,441" coordsize="12,0" path="m8526,441l8538,441e" filled="false" stroked="true" strokeweight=".6pt" strokecolor="#000008">
                <v:path arrowok="t"/>
              </v:shape>
            </v:group>
            <v:group style="position:absolute;left:8545;top:441;width:12;height:2" coordorigin="8545,441" coordsize="12,2">
              <v:shape style="position:absolute;left:8545;top:441;width:12;height:2" coordorigin="8545,441" coordsize="12,0" path="m8545,441l8557,441e" filled="false" stroked="true" strokeweight=".6pt" strokecolor="#000008">
                <v:path arrowok="t"/>
              </v:shape>
            </v:group>
            <v:group style="position:absolute;left:8564;top:441;width:12;height:2" coordorigin="8564,441" coordsize="12,2">
              <v:shape style="position:absolute;left:8564;top:441;width:12;height:2" coordorigin="8564,441" coordsize="12,0" path="m8564,441l8576,441e" filled="false" stroked="true" strokeweight=".6pt" strokecolor="#000008">
                <v:path arrowok="t"/>
              </v:shape>
            </v:group>
            <v:group style="position:absolute;left:8584;top:441;width:12;height:2" coordorigin="8584,441" coordsize="12,2">
              <v:shape style="position:absolute;left:8584;top:441;width:12;height:2" coordorigin="8584,441" coordsize="12,0" path="m8584,441l8596,441e" filled="false" stroked="true" strokeweight=".6pt" strokecolor="#000008">
                <v:path arrowok="t"/>
              </v:shape>
            </v:group>
            <v:group style="position:absolute;left:8603;top:441;width:12;height:2" coordorigin="8603,441" coordsize="12,2">
              <v:shape style="position:absolute;left:8603;top:441;width:12;height:2" coordorigin="8603,441" coordsize="12,0" path="m8603,441l8615,441e" filled="false" stroked="true" strokeweight=".6pt" strokecolor="#000008">
                <v:path arrowok="t"/>
              </v:shape>
            </v:group>
            <v:group style="position:absolute;left:8622;top:441;width:12;height:2" coordorigin="8622,441" coordsize="12,2">
              <v:shape style="position:absolute;left:8622;top:441;width:12;height:2" coordorigin="8622,441" coordsize="12,0" path="m8622,441l8634,441e" filled="false" stroked="true" strokeweight=".6pt" strokecolor="#000008">
                <v:path arrowok="t"/>
              </v:shape>
            </v:group>
            <v:group style="position:absolute;left:8641;top:441;width:12;height:2" coordorigin="8641,441" coordsize="12,2">
              <v:shape style="position:absolute;left:8641;top:441;width:12;height:2" coordorigin="8641,441" coordsize="12,0" path="m8641,441l8653,441e" filled="false" stroked="true" strokeweight=".6pt" strokecolor="#000008">
                <v:path arrowok="t"/>
              </v:shape>
            </v:group>
            <v:group style="position:absolute;left:8660;top:441;width:12;height:2" coordorigin="8660,441" coordsize="12,2">
              <v:shape style="position:absolute;left:8660;top:441;width:12;height:2" coordorigin="8660,441" coordsize="12,0" path="m8660,441l8672,441e" filled="false" stroked="true" strokeweight=".6pt" strokecolor="#000008">
                <v:path arrowok="t"/>
              </v:shape>
            </v:group>
            <v:group style="position:absolute;left:8680;top:441;width:12;height:2" coordorigin="8680,441" coordsize="12,2">
              <v:shape style="position:absolute;left:8680;top:441;width:12;height:2" coordorigin="8680,441" coordsize="12,0" path="m8680,441l8692,441e" filled="false" stroked="true" strokeweight=".6pt" strokecolor="#000008">
                <v:path arrowok="t"/>
              </v:shape>
            </v:group>
            <v:group style="position:absolute;left:8699;top:441;width:12;height:2" coordorigin="8699,441" coordsize="12,2">
              <v:shape style="position:absolute;left:8699;top:441;width:12;height:2" coordorigin="8699,441" coordsize="12,0" path="m8699,441l8711,441e" filled="false" stroked="true" strokeweight=".6pt" strokecolor="#000008">
                <v:path arrowok="t"/>
              </v:shape>
            </v:group>
            <v:group style="position:absolute;left:8718;top:441;width:12;height:2" coordorigin="8718,441" coordsize="12,2">
              <v:shape style="position:absolute;left:8718;top:441;width:12;height:2" coordorigin="8718,441" coordsize="12,0" path="m8718,441l8730,441e" filled="false" stroked="true" strokeweight=".6pt" strokecolor="#000008">
                <v:path arrowok="t"/>
              </v:shape>
            </v:group>
            <v:group style="position:absolute;left:8737;top:441;width:12;height:2" coordorigin="8737,441" coordsize="12,2">
              <v:shape style="position:absolute;left:8737;top:441;width:12;height:2" coordorigin="8737,441" coordsize="12,0" path="m8737,441l8749,441e" filled="false" stroked="true" strokeweight=".6pt" strokecolor="#000008">
                <v:path arrowok="t"/>
              </v:shape>
            </v:group>
            <v:group style="position:absolute;left:8756;top:441;width:12;height:2" coordorigin="8756,441" coordsize="12,2">
              <v:shape style="position:absolute;left:8756;top:441;width:12;height:2" coordorigin="8756,441" coordsize="12,0" path="m8756,441l8768,441e" filled="false" stroked="true" strokeweight=".6pt" strokecolor="#000008">
                <v:path arrowok="t"/>
              </v:shape>
            </v:group>
            <v:group style="position:absolute;left:8776;top:441;width:12;height:2" coordorigin="8776,441" coordsize="12,2">
              <v:shape style="position:absolute;left:8776;top:441;width:12;height:2" coordorigin="8776,441" coordsize="12,0" path="m8776,441l8788,441e" filled="false" stroked="true" strokeweight=".6pt" strokecolor="#000008">
                <v:path arrowok="t"/>
              </v:shape>
            </v:group>
            <v:group style="position:absolute;left:8795;top:441;width:12;height:2" coordorigin="8795,441" coordsize="12,2">
              <v:shape style="position:absolute;left:8795;top:441;width:12;height:2" coordorigin="8795,441" coordsize="12,0" path="m8795,441l8807,441e" filled="false" stroked="true" strokeweight=".6pt" strokecolor="#000008">
                <v:path arrowok="t"/>
              </v:shape>
            </v:group>
            <v:group style="position:absolute;left:8814;top:441;width:12;height:2" coordorigin="8814,441" coordsize="12,2">
              <v:shape style="position:absolute;left:8814;top:441;width:12;height:2" coordorigin="8814,441" coordsize="12,0" path="m8814,441l8826,441e" filled="false" stroked="true" strokeweight=".6pt" strokecolor="#000008">
                <v:path arrowok="t"/>
              </v:shape>
            </v:group>
            <v:group style="position:absolute;left:8833;top:441;width:12;height:2" coordorigin="8833,441" coordsize="12,2">
              <v:shape style="position:absolute;left:8833;top:441;width:12;height:2" coordorigin="8833,441" coordsize="12,0" path="m8833,441l8845,441e" filled="false" stroked="true" strokeweight=".6pt" strokecolor="#000008">
                <v:path arrowok="t"/>
              </v:shape>
            </v:group>
            <v:group style="position:absolute;left:8852;top:441;width:12;height:2" coordorigin="8852,441" coordsize="12,2">
              <v:shape style="position:absolute;left:8852;top:441;width:12;height:2" coordorigin="8852,441" coordsize="12,0" path="m8852,441l8864,441e" filled="false" stroked="true" strokeweight=".6pt" strokecolor="#000008">
                <v:path arrowok="t"/>
              </v:shape>
            </v:group>
            <v:group style="position:absolute;left:8872;top:441;width:12;height:2" coordorigin="8872,441" coordsize="12,2">
              <v:shape style="position:absolute;left:8872;top:441;width:12;height:2" coordorigin="8872,441" coordsize="12,0" path="m8872,441l8884,441e" filled="false" stroked="true" strokeweight=".6pt" strokecolor="#000008">
                <v:path arrowok="t"/>
              </v:shape>
            </v:group>
            <v:group style="position:absolute;left:8891;top:441;width:10;height:2" coordorigin="8891,441" coordsize="10,2">
              <v:shape style="position:absolute;left:8891;top:441;width:10;height:2" coordorigin="8891,441" coordsize="10,0" path="m8891,441l8900,441e" filled="false" stroked="true" strokeweight=".6pt" strokecolor="#000008">
                <v:path arrowok="t"/>
              </v:shape>
            </v:group>
            <w10:wrap type="none"/>
          </v:group>
        </w:pict>
      </w:r>
      <w:r>
        <w:rPr/>
        <w:pict>
          <v:group style="position:absolute;margin-left:458.399994pt;margin-top:21.739683pt;width:90.5pt;height:.6pt;mso-position-horizontal-relative:page;mso-position-vertical-relative:paragraph;z-index:2992" coordorigin="9168,435" coordsize="1810,12">
            <v:group style="position:absolute;left:9174;top:441;width:12;height:2" coordorigin="9174,441" coordsize="12,2">
              <v:shape style="position:absolute;left:9174;top:441;width:12;height:2" coordorigin="9174,441" coordsize="12,0" path="m9174,441l9186,441e" filled="false" stroked="true" strokeweight=".6pt" strokecolor="#000008">
                <v:path arrowok="t"/>
              </v:shape>
            </v:group>
            <v:group style="position:absolute;left:9193;top:441;width:12;height:2" coordorigin="9193,441" coordsize="12,2">
              <v:shape style="position:absolute;left:9193;top:441;width:12;height:2" coordorigin="9193,441" coordsize="12,0" path="m9193,441l9205,441e" filled="false" stroked="true" strokeweight=".6pt" strokecolor="#000008">
                <v:path arrowok="t"/>
              </v:shape>
            </v:group>
            <v:group style="position:absolute;left:9212;top:441;width:12;height:2" coordorigin="9212,441" coordsize="12,2">
              <v:shape style="position:absolute;left:9212;top:441;width:12;height:2" coordorigin="9212,441" coordsize="12,0" path="m9212,441l9224,441e" filled="false" stroked="true" strokeweight=".6pt" strokecolor="#000008">
                <v:path arrowok="t"/>
              </v:shape>
            </v:group>
            <v:group style="position:absolute;left:9232;top:441;width:12;height:2" coordorigin="9232,441" coordsize="12,2">
              <v:shape style="position:absolute;left:9232;top:441;width:12;height:2" coordorigin="9232,441" coordsize="12,0" path="m9232,441l9244,441e" filled="false" stroked="true" strokeweight=".6pt" strokecolor="#000008">
                <v:path arrowok="t"/>
              </v:shape>
            </v:group>
            <v:group style="position:absolute;left:9251;top:441;width:12;height:2" coordorigin="9251,441" coordsize="12,2">
              <v:shape style="position:absolute;left:9251;top:441;width:12;height:2" coordorigin="9251,441" coordsize="12,0" path="m9251,441l9263,441e" filled="false" stroked="true" strokeweight=".6pt" strokecolor="#000008">
                <v:path arrowok="t"/>
              </v:shape>
            </v:group>
            <v:group style="position:absolute;left:9270;top:441;width:12;height:2" coordorigin="9270,441" coordsize="12,2">
              <v:shape style="position:absolute;left:9270;top:441;width:12;height:2" coordorigin="9270,441" coordsize="12,0" path="m9270,441l9282,441e" filled="false" stroked="true" strokeweight=".6pt" strokecolor="#000008">
                <v:path arrowok="t"/>
              </v:shape>
            </v:group>
            <v:group style="position:absolute;left:9289;top:441;width:12;height:2" coordorigin="9289,441" coordsize="12,2">
              <v:shape style="position:absolute;left:9289;top:441;width:12;height:2" coordorigin="9289,441" coordsize="12,0" path="m9289,441l9301,441e" filled="false" stroked="true" strokeweight=".6pt" strokecolor="#000008">
                <v:path arrowok="t"/>
              </v:shape>
            </v:group>
            <v:group style="position:absolute;left:9308;top:441;width:12;height:2" coordorigin="9308,441" coordsize="12,2">
              <v:shape style="position:absolute;left:9308;top:441;width:12;height:2" coordorigin="9308,441" coordsize="12,0" path="m9308,441l9320,441e" filled="false" stroked="true" strokeweight=".6pt" strokecolor="#000008">
                <v:path arrowok="t"/>
              </v:shape>
            </v:group>
            <v:group style="position:absolute;left:9328;top:441;width:12;height:2" coordorigin="9328,441" coordsize="12,2">
              <v:shape style="position:absolute;left:9328;top:441;width:12;height:2" coordorigin="9328,441" coordsize="12,0" path="m9328,441l9340,441e" filled="false" stroked="true" strokeweight=".6pt" strokecolor="#000008">
                <v:path arrowok="t"/>
              </v:shape>
            </v:group>
            <v:group style="position:absolute;left:9347;top:441;width:12;height:2" coordorigin="9347,441" coordsize="12,2">
              <v:shape style="position:absolute;left:9347;top:441;width:12;height:2" coordorigin="9347,441" coordsize="12,0" path="m9347,441l9359,441e" filled="false" stroked="true" strokeweight=".6pt" strokecolor="#000008">
                <v:path arrowok="t"/>
              </v:shape>
            </v:group>
            <v:group style="position:absolute;left:9366;top:441;width:12;height:2" coordorigin="9366,441" coordsize="12,2">
              <v:shape style="position:absolute;left:9366;top:441;width:12;height:2" coordorigin="9366,441" coordsize="12,0" path="m9366,441l9378,441e" filled="false" stroked="true" strokeweight=".6pt" strokecolor="#000008">
                <v:path arrowok="t"/>
              </v:shape>
            </v:group>
            <v:group style="position:absolute;left:9385;top:441;width:12;height:2" coordorigin="9385,441" coordsize="12,2">
              <v:shape style="position:absolute;left:9385;top:441;width:12;height:2" coordorigin="9385,441" coordsize="12,0" path="m9385,441l9397,441e" filled="false" stroked="true" strokeweight=".6pt" strokecolor="#000008">
                <v:path arrowok="t"/>
              </v:shape>
            </v:group>
            <v:group style="position:absolute;left:9404;top:441;width:12;height:2" coordorigin="9404,441" coordsize="12,2">
              <v:shape style="position:absolute;left:9404;top:441;width:12;height:2" coordorigin="9404,441" coordsize="12,0" path="m9404,441l9416,441e" filled="false" stroked="true" strokeweight=".6pt" strokecolor="#000008">
                <v:path arrowok="t"/>
              </v:shape>
            </v:group>
            <v:group style="position:absolute;left:9424;top:441;width:12;height:2" coordorigin="9424,441" coordsize="12,2">
              <v:shape style="position:absolute;left:9424;top:441;width:12;height:2" coordorigin="9424,441" coordsize="12,0" path="m9424,441l9436,441e" filled="false" stroked="true" strokeweight=".6pt" strokecolor="#000008">
                <v:path arrowok="t"/>
              </v:shape>
            </v:group>
            <v:group style="position:absolute;left:9443;top:441;width:12;height:2" coordorigin="9443,441" coordsize="12,2">
              <v:shape style="position:absolute;left:9443;top:441;width:12;height:2" coordorigin="9443,441" coordsize="12,0" path="m9443,441l9455,441e" filled="false" stroked="true" strokeweight=".6pt" strokecolor="#000008">
                <v:path arrowok="t"/>
              </v:shape>
            </v:group>
            <v:group style="position:absolute;left:9462;top:441;width:12;height:2" coordorigin="9462,441" coordsize="12,2">
              <v:shape style="position:absolute;left:9462;top:441;width:12;height:2" coordorigin="9462,441" coordsize="12,0" path="m9462,441l9474,441e" filled="false" stroked="true" strokeweight=".6pt" strokecolor="#000008">
                <v:path arrowok="t"/>
              </v:shape>
            </v:group>
            <v:group style="position:absolute;left:9481;top:441;width:12;height:2" coordorigin="9481,441" coordsize="12,2">
              <v:shape style="position:absolute;left:9481;top:441;width:12;height:2" coordorigin="9481,441" coordsize="12,0" path="m9481,441l9493,441e" filled="false" stroked="true" strokeweight=".6pt" strokecolor="#000008">
                <v:path arrowok="t"/>
              </v:shape>
            </v:group>
            <v:group style="position:absolute;left:9500;top:441;width:12;height:2" coordorigin="9500,441" coordsize="12,2">
              <v:shape style="position:absolute;left:9500;top:441;width:12;height:2" coordorigin="9500,441" coordsize="12,0" path="m9500,441l9512,441e" filled="false" stroked="true" strokeweight=".6pt" strokecolor="#000008">
                <v:path arrowok="t"/>
              </v:shape>
            </v:group>
            <v:group style="position:absolute;left:9520;top:441;width:12;height:2" coordorigin="9520,441" coordsize="12,2">
              <v:shape style="position:absolute;left:9520;top:441;width:12;height:2" coordorigin="9520,441" coordsize="12,0" path="m9520,441l9532,441e" filled="false" stroked="true" strokeweight=".6pt" strokecolor="#000008">
                <v:path arrowok="t"/>
              </v:shape>
            </v:group>
            <v:group style="position:absolute;left:9539;top:441;width:12;height:2" coordorigin="9539,441" coordsize="12,2">
              <v:shape style="position:absolute;left:9539;top:441;width:12;height:2" coordorigin="9539,441" coordsize="12,0" path="m9539,441l9551,441e" filled="false" stroked="true" strokeweight=".6pt" strokecolor="#000008">
                <v:path arrowok="t"/>
              </v:shape>
            </v:group>
            <v:group style="position:absolute;left:9558;top:441;width:12;height:2" coordorigin="9558,441" coordsize="12,2">
              <v:shape style="position:absolute;left:9558;top:441;width:12;height:2" coordorigin="9558,441" coordsize="12,0" path="m9558,441l9570,441e" filled="false" stroked="true" strokeweight=".6pt" strokecolor="#000008">
                <v:path arrowok="t"/>
              </v:shape>
            </v:group>
            <v:group style="position:absolute;left:9577;top:441;width:12;height:2" coordorigin="9577,441" coordsize="12,2">
              <v:shape style="position:absolute;left:9577;top:441;width:12;height:2" coordorigin="9577,441" coordsize="12,0" path="m9577,441l9589,441e" filled="false" stroked="true" strokeweight=".6pt" strokecolor="#000008">
                <v:path arrowok="t"/>
              </v:shape>
            </v:group>
            <v:group style="position:absolute;left:9596;top:441;width:12;height:2" coordorigin="9596,441" coordsize="12,2">
              <v:shape style="position:absolute;left:9596;top:441;width:12;height:2" coordorigin="9596,441" coordsize="12,0" path="m9596,441l9608,441e" filled="false" stroked="true" strokeweight=".6pt" strokecolor="#000008">
                <v:path arrowok="t"/>
              </v:shape>
            </v:group>
            <v:group style="position:absolute;left:9616;top:441;width:12;height:2" coordorigin="9616,441" coordsize="12,2">
              <v:shape style="position:absolute;left:9616;top:441;width:12;height:2" coordorigin="9616,441" coordsize="12,0" path="m9616,441l9628,441e" filled="false" stroked="true" strokeweight=".6pt" strokecolor="#000008">
                <v:path arrowok="t"/>
              </v:shape>
            </v:group>
            <v:group style="position:absolute;left:9635;top:441;width:12;height:2" coordorigin="9635,441" coordsize="12,2">
              <v:shape style="position:absolute;left:9635;top:441;width:12;height:2" coordorigin="9635,441" coordsize="12,0" path="m9635,441l9647,441e" filled="false" stroked="true" strokeweight=".6pt" strokecolor="#000008">
                <v:path arrowok="t"/>
              </v:shape>
            </v:group>
            <v:group style="position:absolute;left:9654;top:441;width:12;height:2" coordorigin="9654,441" coordsize="12,2">
              <v:shape style="position:absolute;left:9654;top:441;width:12;height:2" coordorigin="9654,441" coordsize="12,0" path="m9654,441l9666,441e" filled="false" stroked="true" strokeweight=".6pt" strokecolor="#000008">
                <v:path arrowok="t"/>
              </v:shape>
            </v:group>
            <v:group style="position:absolute;left:9673;top:441;width:12;height:2" coordorigin="9673,441" coordsize="12,2">
              <v:shape style="position:absolute;left:9673;top:441;width:12;height:2" coordorigin="9673,441" coordsize="12,0" path="m9673,441l9685,441e" filled="false" stroked="true" strokeweight=".6pt" strokecolor="#000008">
                <v:path arrowok="t"/>
              </v:shape>
            </v:group>
            <v:group style="position:absolute;left:9692;top:441;width:12;height:2" coordorigin="9692,441" coordsize="12,2">
              <v:shape style="position:absolute;left:9692;top:441;width:12;height:2" coordorigin="9692,441" coordsize="12,0" path="m9692,441l9704,441e" filled="false" stroked="true" strokeweight=".6pt" strokecolor="#000008">
                <v:path arrowok="t"/>
              </v:shape>
            </v:group>
            <v:group style="position:absolute;left:9712;top:441;width:12;height:2" coordorigin="9712,441" coordsize="12,2">
              <v:shape style="position:absolute;left:9712;top:441;width:12;height:2" coordorigin="9712,441" coordsize="12,0" path="m9712,441l9724,441e" filled="false" stroked="true" strokeweight=".6pt" strokecolor="#000008">
                <v:path arrowok="t"/>
              </v:shape>
            </v:group>
            <v:group style="position:absolute;left:9731;top:441;width:12;height:2" coordorigin="9731,441" coordsize="12,2">
              <v:shape style="position:absolute;left:9731;top:441;width:12;height:2" coordorigin="9731,441" coordsize="12,0" path="m9731,441l9743,441e" filled="false" stroked="true" strokeweight=".6pt" strokecolor="#000008">
                <v:path arrowok="t"/>
              </v:shape>
            </v:group>
            <v:group style="position:absolute;left:9750;top:441;width:12;height:2" coordorigin="9750,441" coordsize="12,2">
              <v:shape style="position:absolute;left:9750;top:441;width:12;height:2" coordorigin="9750,441" coordsize="12,0" path="m9750,441l9762,441e" filled="false" stroked="true" strokeweight=".6pt" strokecolor="#000008">
                <v:path arrowok="t"/>
              </v:shape>
            </v:group>
            <v:group style="position:absolute;left:9769;top:441;width:12;height:2" coordorigin="9769,441" coordsize="12,2">
              <v:shape style="position:absolute;left:9769;top:441;width:12;height:2" coordorigin="9769,441" coordsize="12,0" path="m9769,441l9781,441e" filled="false" stroked="true" strokeweight=".6pt" strokecolor="#000008">
                <v:path arrowok="t"/>
              </v:shape>
            </v:group>
            <v:group style="position:absolute;left:9788;top:441;width:12;height:2" coordorigin="9788,441" coordsize="12,2">
              <v:shape style="position:absolute;left:9788;top:441;width:12;height:2" coordorigin="9788,441" coordsize="12,0" path="m9788,441l9800,441e" filled="false" stroked="true" strokeweight=".6pt" strokecolor="#000008">
                <v:path arrowok="t"/>
              </v:shape>
            </v:group>
            <v:group style="position:absolute;left:9808;top:441;width:12;height:2" coordorigin="9808,441" coordsize="12,2">
              <v:shape style="position:absolute;left:9808;top:441;width:12;height:2" coordorigin="9808,441" coordsize="12,0" path="m9808,441l9820,441e" filled="false" stroked="true" strokeweight=".6pt" strokecolor="#000008">
                <v:path arrowok="t"/>
              </v:shape>
            </v:group>
            <v:group style="position:absolute;left:9827;top:441;width:12;height:2" coordorigin="9827,441" coordsize="12,2">
              <v:shape style="position:absolute;left:9827;top:441;width:12;height:2" coordorigin="9827,441" coordsize="12,0" path="m9827,441l9839,441e" filled="false" stroked="true" strokeweight=".6pt" strokecolor="#000008">
                <v:path arrowok="t"/>
              </v:shape>
            </v:group>
            <v:group style="position:absolute;left:9846;top:441;width:12;height:2" coordorigin="9846,441" coordsize="12,2">
              <v:shape style="position:absolute;left:9846;top:441;width:12;height:2" coordorigin="9846,441" coordsize="12,0" path="m9846,441l9858,441e" filled="false" stroked="true" strokeweight=".6pt" strokecolor="#000008">
                <v:path arrowok="t"/>
              </v:shape>
            </v:group>
            <v:group style="position:absolute;left:9865;top:441;width:12;height:2" coordorigin="9865,441" coordsize="12,2">
              <v:shape style="position:absolute;left:9865;top:441;width:12;height:2" coordorigin="9865,441" coordsize="12,0" path="m9865,441l9877,441e" filled="false" stroked="true" strokeweight=".6pt" strokecolor="#000008">
                <v:path arrowok="t"/>
              </v:shape>
            </v:group>
            <v:group style="position:absolute;left:9884;top:441;width:12;height:2" coordorigin="9884,441" coordsize="12,2">
              <v:shape style="position:absolute;left:9884;top:441;width:12;height:2" coordorigin="9884,441" coordsize="12,0" path="m9884,441l9896,441e" filled="false" stroked="true" strokeweight=".6pt" strokecolor="#000008">
                <v:path arrowok="t"/>
              </v:shape>
            </v:group>
            <v:group style="position:absolute;left:9904;top:441;width:12;height:2" coordorigin="9904,441" coordsize="12,2">
              <v:shape style="position:absolute;left:9904;top:441;width:12;height:2" coordorigin="9904,441" coordsize="12,0" path="m9904,441l9916,441e" filled="false" stroked="true" strokeweight=".6pt" strokecolor="#000008">
                <v:path arrowok="t"/>
              </v:shape>
            </v:group>
            <v:group style="position:absolute;left:9923;top:441;width:12;height:2" coordorigin="9923,441" coordsize="12,2">
              <v:shape style="position:absolute;left:9923;top:441;width:12;height:2" coordorigin="9923,441" coordsize="12,0" path="m9923,441l9935,441e" filled="false" stroked="true" strokeweight=".6pt" strokecolor="#000008">
                <v:path arrowok="t"/>
              </v:shape>
            </v:group>
            <v:group style="position:absolute;left:9942;top:441;width:12;height:2" coordorigin="9942,441" coordsize="12,2">
              <v:shape style="position:absolute;left:9942;top:441;width:12;height:2" coordorigin="9942,441" coordsize="12,0" path="m9942,441l9954,441e" filled="false" stroked="true" strokeweight=".6pt" strokecolor="#000008">
                <v:path arrowok="t"/>
              </v:shape>
            </v:group>
            <v:group style="position:absolute;left:9961;top:441;width:12;height:2" coordorigin="9961,441" coordsize="12,2">
              <v:shape style="position:absolute;left:9961;top:441;width:12;height:2" coordorigin="9961,441" coordsize="12,0" path="m9961,441l9973,441e" filled="false" stroked="true" strokeweight=".6pt" strokecolor="#000008">
                <v:path arrowok="t"/>
              </v:shape>
            </v:group>
            <v:group style="position:absolute;left:9980;top:441;width:12;height:2" coordorigin="9980,441" coordsize="12,2">
              <v:shape style="position:absolute;left:9980;top:441;width:12;height:2" coordorigin="9980,441" coordsize="12,0" path="m9980,441l9992,441e" filled="false" stroked="true" strokeweight=".6pt" strokecolor="#000008">
                <v:path arrowok="t"/>
              </v:shape>
            </v:group>
            <v:group style="position:absolute;left:10000;top:441;width:12;height:2" coordorigin="10000,441" coordsize="12,2">
              <v:shape style="position:absolute;left:10000;top:441;width:12;height:2" coordorigin="10000,441" coordsize="12,0" path="m10000,441l10012,441e" filled="false" stroked="true" strokeweight=".6pt" strokecolor="#000008">
                <v:path arrowok="t"/>
              </v:shape>
            </v:group>
            <v:group style="position:absolute;left:10019;top:441;width:12;height:2" coordorigin="10019,441" coordsize="12,2">
              <v:shape style="position:absolute;left:10019;top:441;width:12;height:2" coordorigin="10019,441" coordsize="12,0" path="m10019,441l10031,441e" filled="false" stroked="true" strokeweight=".6pt" strokecolor="#000008">
                <v:path arrowok="t"/>
              </v:shape>
            </v:group>
            <v:group style="position:absolute;left:10038;top:441;width:12;height:2" coordorigin="10038,441" coordsize="12,2">
              <v:shape style="position:absolute;left:10038;top:441;width:12;height:2" coordorigin="10038,441" coordsize="12,0" path="m10038,441l10050,441e" filled="false" stroked="true" strokeweight=".6pt" strokecolor="#000008">
                <v:path arrowok="t"/>
              </v:shape>
            </v:group>
            <v:group style="position:absolute;left:10057;top:441;width:12;height:2" coordorigin="10057,441" coordsize="12,2">
              <v:shape style="position:absolute;left:10057;top:441;width:12;height:2" coordorigin="10057,441" coordsize="12,0" path="m10057,441l10069,441e" filled="false" stroked="true" strokeweight=".6pt" strokecolor="#000008">
                <v:path arrowok="t"/>
              </v:shape>
            </v:group>
            <v:group style="position:absolute;left:10076;top:441;width:12;height:2" coordorigin="10076,441" coordsize="12,2">
              <v:shape style="position:absolute;left:10076;top:441;width:12;height:2" coordorigin="10076,441" coordsize="12,0" path="m10076,441l10088,441e" filled="false" stroked="true" strokeweight=".6pt" strokecolor="#000008">
                <v:path arrowok="t"/>
              </v:shape>
            </v:group>
            <v:group style="position:absolute;left:10096;top:441;width:12;height:2" coordorigin="10096,441" coordsize="12,2">
              <v:shape style="position:absolute;left:10096;top:441;width:12;height:2" coordorigin="10096,441" coordsize="12,0" path="m10096,441l10108,441e" filled="false" stroked="true" strokeweight=".6pt" strokecolor="#000008">
                <v:path arrowok="t"/>
              </v:shape>
            </v:group>
            <v:group style="position:absolute;left:10115;top:441;width:12;height:2" coordorigin="10115,441" coordsize="12,2">
              <v:shape style="position:absolute;left:10115;top:441;width:12;height:2" coordorigin="10115,441" coordsize="12,0" path="m10115,441l10127,441e" filled="false" stroked="true" strokeweight=".6pt" strokecolor="#000008">
                <v:path arrowok="t"/>
              </v:shape>
            </v:group>
            <v:group style="position:absolute;left:10134;top:441;width:12;height:2" coordorigin="10134,441" coordsize="12,2">
              <v:shape style="position:absolute;left:10134;top:441;width:12;height:2" coordorigin="10134,441" coordsize="12,0" path="m10134,441l10146,441e" filled="false" stroked="true" strokeweight=".6pt" strokecolor="#000008">
                <v:path arrowok="t"/>
              </v:shape>
            </v:group>
            <v:group style="position:absolute;left:10153;top:441;width:12;height:2" coordorigin="10153,441" coordsize="12,2">
              <v:shape style="position:absolute;left:10153;top:441;width:12;height:2" coordorigin="10153,441" coordsize="12,0" path="m10153,441l10165,441e" filled="false" stroked="true" strokeweight=".6pt" strokecolor="#000008">
                <v:path arrowok="t"/>
              </v:shape>
            </v:group>
            <v:group style="position:absolute;left:10172;top:441;width:12;height:2" coordorigin="10172,441" coordsize="12,2">
              <v:shape style="position:absolute;left:10172;top:441;width:12;height:2" coordorigin="10172,441" coordsize="12,0" path="m10172,441l10184,441e" filled="false" stroked="true" strokeweight=".6pt" strokecolor="#000008">
                <v:path arrowok="t"/>
              </v:shape>
            </v:group>
            <v:group style="position:absolute;left:10192;top:441;width:12;height:2" coordorigin="10192,441" coordsize="12,2">
              <v:shape style="position:absolute;left:10192;top:441;width:12;height:2" coordorigin="10192,441" coordsize="12,0" path="m10192,441l10204,441e" filled="false" stroked="true" strokeweight=".6pt" strokecolor="#000008">
                <v:path arrowok="t"/>
              </v:shape>
            </v:group>
            <v:group style="position:absolute;left:10211;top:441;width:12;height:2" coordorigin="10211,441" coordsize="12,2">
              <v:shape style="position:absolute;left:10211;top:441;width:12;height:2" coordorigin="10211,441" coordsize="12,0" path="m10211,441l10223,441e" filled="false" stroked="true" strokeweight=".6pt" strokecolor="#000008">
                <v:path arrowok="t"/>
              </v:shape>
            </v:group>
            <v:group style="position:absolute;left:10230;top:441;width:12;height:2" coordorigin="10230,441" coordsize="12,2">
              <v:shape style="position:absolute;left:10230;top:441;width:12;height:2" coordorigin="10230,441" coordsize="12,0" path="m10230,441l10242,441e" filled="false" stroked="true" strokeweight=".6pt" strokecolor="#000008">
                <v:path arrowok="t"/>
              </v:shape>
            </v:group>
            <v:group style="position:absolute;left:10249;top:441;width:12;height:2" coordorigin="10249,441" coordsize="12,2">
              <v:shape style="position:absolute;left:10249;top:441;width:12;height:2" coordorigin="10249,441" coordsize="12,0" path="m10249,441l10261,441e" filled="false" stroked="true" strokeweight=".6pt" strokecolor="#000008">
                <v:path arrowok="t"/>
              </v:shape>
            </v:group>
            <v:group style="position:absolute;left:10268;top:441;width:12;height:2" coordorigin="10268,441" coordsize="12,2">
              <v:shape style="position:absolute;left:10268;top:441;width:12;height:2" coordorigin="10268,441" coordsize="12,0" path="m10268,441l10280,441e" filled="false" stroked="true" strokeweight=".6pt" strokecolor="#000008">
                <v:path arrowok="t"/>
              </v:shape>
            </v:group>
            <v:group style="position:absolute;left:10288;top:441;width:12;height:2" coordorigin="10288,441" coordsize="12,2">
              <v:shape style="position:absolute;left:10288;top:441;width:12;height:2" coordorigin="10288,441" coordsize="12,0" path="m10288,441l10300,441e" filled="false" stroked="true" strokeweight=".6pt" strokecolor="#000008">
                <v:path arrowok="t"/>
              </v:shape>
            </v:group>
            <v:group style="position:absolute;left:10307;top:441;width:12;height:2" coordorigin="10307,441" coordsize="12,2">
              <v:shape style="position:absolute;left:10307;top:441;width:12;height:2" coordorigin="10307,441" coordsize="12,0" path="m10307,441l10319,441e" filled="false" stroked="true" strokeweight=".6pt" strokecolor="#000008">
                <v:path arrowok="t"/>
              </v:shape>
            </v:group>
            <v:group style="position:absolute;left:10326;top:441;width:12;height:2" coordorigin="10326,441" coordsize="12,2">
              <v:shape style="position:absolute;left:10326;top:441;width:12;height:2" coordorigin="10326,441" coordsize="12,0" path="m10326,441l10338,441e" filled="false" stroked="true" strokeweight=".6pt" strokecolor="#000008">
                <v:path arrowok="t"/>
              </v:shape>
            </v:group>
            <v:group style="position:absolute;left:10345;top:441;width:12;height:2" coordorigin="10345,441" coordsize="12,2">
              <v:shape style="position:absolute;left:10345;top:441;width:12;height:2" coordorigin="10345,441" coordsize="12,0" path="m10345,441l10357,441e" filled="false" stroked="true" strokeweight=".6pt" strokecolor="#000008">
                <v:path arrowok="t"/>
              </v:shape>
            </v:group>
            <v:group style="position:absolute;left:10364;top:441;width:12;height:2" coordorigin="10364,441" coordsize="12,2">
              <v:shape style="position:absolute;left:10364;top:441;width:12;height:2" coordorigin="10364,441" coordsize="12,0" path="m10364,441l10376,441e" filled="false" stroked="true" strokeweight=".6pt" strokecolor="#000008">
                <v:path arrowok="t"/>
              </v:shape>
            </v:group>
            <v:group style="position:absolute;left:10384;top:441;width:12;height:2" coordorigin="10384,441" coordsize="12,2">
              <v:shape style="position:absolute;left:10384;top:441;width:12;height:2" coordorigin="10384,441" coordsize="12,0" path="m10384,441l10396,441e" filled="false" stroked="true" strokeweight=".6pt" strokecolor="#000008">
                <v:path arrowok="t"/>
              </v:shape>
            </v:group>
            <v:group style="position:absolute;left:10403;top:441;width:12;height:2" coordorigin="10403,441" coordsize="12,2">
              <v:shape style="position:absolute;left:10403;top:441;width:12;height:2" coordorigin="10403,441" coordsize="12,0" path="m10403,441l10415,441e" filled="false" stroked="true" strokeweight=".6pt" strokecolor="#000008">
                <v:path arrowok="t"/>
              </v:shape>
            </v:group>
            <v:group style="position:absolute;left:10422;top:441;width:12;height:2" coordorigin="10422,441" coordsize="12,2">
              <v:shape style="position:absolute;left:10422;top:441;width:12;height:2" coordorigin="10422,441" coordsize="12,0" path="m10422,441l10434,441e" filled="false" stroked="true" strokeweight=".6pt" strokecolor="#000008">
                <v:path arrowok="t"/>
              </v:shape>
            </v:group>
            <v:group style="position:absolute;left:10441;top:441;width:12;height:2" coordorigin="10441,441" coordsize="12,2">
              <v:shape style="position:absolute;left:10441;top:441;width:12;height:2" coordorigin="10441,441" coordsize="12,0" path="m10441,441l10453,441e" filled="false" stroked="true" strokeweight=".6pt" strokecolor="#000008">
                <v:path arrowok="t"/>
              </v:shape>
            </v:group>
            <v:group style="position:absolute;left:10460;top:441;width:12;height:2" coordorigin="10460,441" coordsize="12,2">
              <v:shape style="position:absolute;left:10460;top:441;width:12;height:2" coordorigin="10460,441" coordsize="12,0" path="m10460,441l10472,441e" filled="false" stroked="true" strokeweight=".6pt" strokecolor="#000008">
                <v:path arrowok="t"/>
              </v:shape>
            </v:group>
            <v:group style="position:absolute;left:10480;top:441;width:12;height:2" coordorigin="10480,441" coordsize="12,2">
              <v:shape style="position:absolute;left:10480;top:441;width:12;height:2" coordorigin="10480,441" coordsize="12,0" path="m10480,441l10492,441e" filled="false" stroked="true" strokeweight=".6pt" strokecolor="#000008">
                <v:path arrowok="t"/>
              </v:shape>
            </v:group>
            <v:group style="position:absolute;left:10499;top:441;width:12;height:2" coordorigin="10499,441" coordsize="12,2">
              <v:shape style="position:absolute;left:10499;top:441;width:12;height:2" coordorigin="10499,441" coordsize="12,0" path="m10499,441l10511,441e" filled="false" stroked="true" strokeweight=".6pt" strokecolor="#000008">
                <v:path arrowok="t"/>
              </v:shape>
            </v:group>
            <v:group style="position:absolute;left:10518;top:441;width:12;height:2" coordorigin="10518,441" coordsize="12,2">
              <v:shape style="position:absolute;left:10518;top:441;width:12;height:2" coordorigin="10518,441" coordsize="12,0" path="m10518,441l10530,441e" filled="false" stroked="true" strokeweight=".6pt" strokecolor="#000008">
                <v:path arrowok="t"/>
              </v:shape>
            </v:group>
            <v:group style="position:absolute;left:10537;top:441;width:12;height:2" coordorigin="10537,441" coordsize="12,2">
              <v:shape style="position:absolute;left:10537;top:441;width:12;height:2" coordorigin="10537,441" coordsize="12,0" path="m10537,441l10549,441e" filled="false" stroked="true" strokeweight=".6pt" strokecolor="#000008">
                <v:path arrowok="t"/>
              </v:shape>
            </v:group>
            <v:group style="position:absolute;left:10556;top:441;width:12;height:2" coordorigin="10556,441" coordsize="12,2">
              <v:shape style="position:absolute;left:10556;top:441;width:12;height:2" coordorigin="10556,441" coordsize="12,0" path="m10556,441l10568,441e" filled="false" stroked="true" strokeweight=".6pt" strokecolor="#000008">
                <v:path arrowok="t"/>
              </v:shape>
            </v:group>
            <v:group style="position:absolute;left:10576;top:441;width:12;height:2" coordorigin="10576,441" coordsize="12,2">
              <v:shape style="position:absolute;left:10576;top:441;width:12;height:2" coordorigin="10576,441" coordsize="12,0" path="m10576,441l10588,441e" filled="false" stroked="true" strokeweight=".6pt" strokecolor="#000008">
                <v:path arrowok="t"/>
              </v:shape>
            </v:group>
            <v:group style="position:absolute;left:10595;top:441;width:12;height:2" coordorigin="10595,441" coordsize="12,2">
              <v:shape style="position:absolute;left:10595;top:441;width:12;height:2" coordorigin="10595,441" coordsize="12,0" path="m10595,441l10607,441e" filled="false" stroked="true" strokeweight=".6pt" strokecolor="#000008">
                <v:path arrowok="t"/>
              </v:shape>
            </v:group>
            <v:group style="position:absolute;left:10614;top:441;width:12;height:2" coordorigin="10614,441" coordsize="12,2">
              <v:shape style="position:absolute;left:10614;top:441;width:12;height:2" coordorigin="10614,441" coordsize="12,0" path="m10614,441l10626,441e" filled="false" stroked="true" strokeweight=".6pt" strokecolor="#000008">
                <v:path arrowok="t"/>
              </v:shape>
            </v:group>
            <v:group style="position:absolute;left:10633;top:441;width:12;height:2" coordorigin="10633,441" coordsize="12,2">
              <v:shape style="position:absolute;left:10633;top:441;width:12;height:2" coordorigin="10633,441" coordsize="12,0" path="m10633,441l10645,441e" filled="false" stroked="true" strokeweight=".6pt" strokecolor="#000008">
                <v:path arrowok="t"/>
              </v:shape>
            </v:group>
            <v:group style="position:absolute;left:10652;top:441;width:12;height:2" coordorigin="10652,441" coordsize="12,2">
              <v:shape style="position:absolute;left:10652;top:441;width:12;height:2" coordorigin="10652,441" coordsize="12,0" path="m10652,441l10664,441e" filled="false" stroked="true" strokeweight=".6pt" strokecolor="#000008">
                <v:path arrowok="t"/>
              </v:shape>
            </v:group>
            <v:group style="position:absolute;left:10672;top:441;width:12;height:2" coordorigin="10672,441" coordsize="12,2">
              <v:shape style="position:absolute;left:10672;top:441;width:12;height:2" coordorigin="10672,441" coordsize="12,0" path="m10672,441l10684,441e" filled="false" stroked="true" strokeweight=".6pt" strokecolor="#000008">
                <v:path arrowok="t"/>
              </v:shape>
            </v:group>
            <v:group style="position:absolute;left:10691;top:441;width:12;height:2" coordorigin="10691,441" coordsize="12,2">
              <v:shape style="position:absolute;left:10691;top:441;width:12;height:2" coordorigin="10691,441" coordsize="12,0" path="m10691,441l10703,441e" filled="false" stroked="true" strokeweight=".6pt" strokecolor="#000008">
                <v:path arrowok="t"/>
              </v:shape>
            </v:group>
            <v:group style="position:absolute;left:10710;top:441;width:12;height:2" coordorigin="10710,441" coordsize="12,2">
              <v:shape style="position:absolute;left:10710;top:441;width:12;height:2" coordorigin="10710,441" coordsize="12,0" path="m10710,441l10722,441e" filled="false" stroked="true" strokeweight=".6pt" strokecolor="#000008">
                <v:path arrowok="t"/>
              </v:shape>
            </v:group>
            <v:group style="position:absolute;left:10729;top:441;width:12;height:2" coordorigin="10729,441" coordsize="12,2">
              <v:shape style="position:absolute;left:10729;top:441;width:12;height:2" coordorigin="10729,441" coordsize="12,0" path="m10729,441l10741,441e" filled="false" stroked="true" strokeweight=".6pt" strokecolor="#000008">
                <v:path arrowok="t"/>
              </v:shape>
            </v:group>
            <v:group style="position:absolute;left:10748;top:441;width:12;height:2" coordorigin="10748,441" coordsize="12,2">
              <v:shape style="position:absolute;left:10748;top:441;width:12;height:2" coordorigin="10748,441" coordsize="12,0" path="m10748,441l10760,441e" filled="false" stroked="true" strokeweight=".6pt" strokecolor="#000008">
                <v:path arrowok="t"/>
              </v:shape>
            </v:group>
            <v:group style="position:absolute;left:10768;top:441;width:12;height:2" coordorigin="10768,441" coordsize="12,2">
              <v:shape style="position:absolute;left:10768;top:441;width:12;height:2" coordorigin="10768,441" coordsize="12,0" path="m10768,441l10780,441e" filled="false" stroked="true" strokeweight=".6pt" strokecolor="#000008">
                <v:path arrowok="t"/>
              </v:shape>
            </v:group>
            <v:group style="position:absolute;left:10787;top:441;width:12;height:2" coordorigin="10787,441" coordsize="12,2">
              <v:shape style="position:absolute;left:10787;top:441;width:12;height:2" coordorigin="10787,441" coordsize="12,0" path="m10787,441l10799,441e" filled="false" stroked="true" strokeweight=".6pt" strokecolor="#000008">
                <v:path arrowok="t"/>
              </v:shape>
            </v:group>
            <v:group style="position:absolute;left:10806;top:441;width:12;height:2" coordorigin="10806,441" coordsize="12,2">
              <v:shape style="position:absolute;left:10806;top:441;width:12;height:2" coordorigin="10806,441" coordsize="12,0" path="m10806,441l10818,441e" filled="false" stroked="true" strokeweight=".6pt" strokecolor="#000008">
                <v:path arrowok="t"/>
              </v:shape>
            </v:group>
            <v:group style="position:absolute;left:10825;top:441;width:12;height:2" coordorigin="10825,441" coordsize="12,2">
              <v:shape style="position:absolute;left:10825;top:441;width:12;height:2" coordorigin="10825,441" coordsize="12,0" path="m10825,441l10837,441e" filled="false" stroked="true" strokeweight=".6pt" strokecolor="#000008">
                <v:path arrowok="t"/>
              </v:shape>
            </v:group>
            <v:group style="position:absolute;left:10844;top:441;width:12;height:2" coordorigin="10844,441" coordsize="12,2">
              <v:shape style="position:absolute;left:10844;top:441;width:12;height:2" coordorigin="10844,441" coordsize="12,0" path="m10844,441l10856,441e" filled="false" stroked="true" strokeweight=".6pt" strokecolor="#000008">
                <v:path arrowok="t"/>
              </v:shape>
            </v:group>
            <v:group style="position:absolute;left:10864;top:441;width:12;height:2" coordorigin="10864,441" coordsize="12,2">
              <v:shape style="position:absolute;left:10864;top:441;width:12;height:2" coordorigin="10864,441" coordsize="12,0" path="m10864,441l10876,441e" filled="false" stroked="true" strokeweight=".6pt" strokecolor="#000008">
                <v:path arrowok="t"/>
              </v:shape>
            </v:group>
            <v:group style="position:absolute;left:10883;top:441;width:12;height:2" coordorigin="10883,441" coordsize="12,2">
              <v:shape style="position:absolute;left:10883;top:441;width:12;height:2" coordorigin="10883,441" coordsize="12,0" path="m10883,441l10895,441e" filled="false" stroked="true" strokeweight=".6pt" strokecolor="#000008">
                <v:path arrowok="t"/>
              </v:shape>
            </v:group>
            <v:group style="position:absolute;left:10902;top:441;width:12;height:2" coordorigin="10902,441" coordsize="12,2">
              <v:shape style="position:absolute;left:10902;top:441;width:12;height:2" coordorigin="10902,441" coordsize="12,0" path="m10902,441l10914,441e" filled="false" stroked="true" strokeweight=".6pt" strokecolor="#000008">
                <v:path arrowok="t"/>
              </v:shape>
            </v:group>
            <v:group style="position:absolute;left:10921;top:441;width:12;height:2" coordorigin="10921,441" coordsize="12,2">
              <v:shape style="position:absolute;left:10921;top:441;width:12;height:2" coordorigin="10921,441" coordsize="12,0" path="m10921,441l10933,441e" filled="false" stroked="true" strokeweight=".6pt" strokecolor="#000008">
                <v:path arrowok="t"/>
              </v:shape>
            </v:group>
            <v:group style="position:absolute;left:10940;top:441;width:12;height:2" coordorigin="10940,441" coordsize="12,2">
              <v:shape style="position:absolute;left:10940;top:441;width:12;height:2" coordorigin="10940,441" coordsize="12,0" path="m10940,441l10952,441e" filled="false" stroked="true" strokeweight=".6pt" strokecolor="#000008">
                <v:path arrowok="t"/>
              </v:shape>
            </v:group>
            <v:group style="position:absolute;left:10960;top:441;width:12;height:2" coordorigin="10960,441" coordsize="12,2">
              <v:shape style="position:absolute;left:10960;top:441;width:12;height:2" coordorigin="10960,441" coordsize="12,0" path="m10960,441l10972,441e" filled="false" stroked="true" strokeweight=".6pt" strokecolor="#000008">
                <v:path arrowok="t"/>
              </v:shape>
            </v:group>
            <w10:wrap type="none"/>
          </v:group>
        </w:pict>
      </w:r>
      <w:r>
        <w:rPr>
          <w:rFonts w:ascii="宋体" w:hAnsi="宋体" w:cs="宋体" w:eastAsia="宋体" w:hint="default"/>
          <w:sz w:val="20"/>
          <w:szCs w:val="20"/>
        </w:rPr>
        <w:t>其中：非流动资产处置损失</w:t>
      </w:r>
      <w:r>
        <w:rPr>
          <w:rFonts w:ascii="宋体" w:hAnsi="宋体" w:cs="宋体" w:eastAsia="宋体" w:hint="default"/>
          <w:w w:val="99"/>
          <w:sz w:val="20"/>
          <w:szCs w:val="20"/>
        </w:rPr>
        <w:t> </w:t>
      </w:r>
      <w:r>
        <w:rPr>
          <w:rFonts w:ascii="Microsoft JhengHei" w:hAnsi="Microsoft JhengHei" w:cs="Microsoft JhengHei" w:eastAsia="Microsoft JhengHei" w:hint="default"/>
          <w:b/>
          <w:bCs/>
          <w:spacing w:val="2"/>
          <w:w w:val="99"/>
          <w:sz w:val="20"/>
          <w:szCs w:val="20"/>
        </w:rPr>
        <w:t>三</w:t>
      </w:r>
      <w:r>
        <w:rPr>
          <w:rFonts w:ascii="Microsoft JhengHei" w:hAnsi="Microsoft JhengHei" w:cs="Microsoft JhengHei" w:eastAsia="Microsoft JhengHei" w:hint="default"/>
          <w:b/>
          <w:bCs/>
          <w:spacing w:val="-12"/>
          <w:w w:val="99"/>
          <w:sz w:val="20"/>
          <w:szCs w:val="20"/>
        </w:rPr>
        <w:t>、</w:t>
      </w:r>
      <w:r>
        <w:rPr>
          <w:rFonts w:ascii="Microsoft JhengHei" w:hAnsi="Microsoft JhengHei" w:cs="Microsoft JhengHei" w:eastAsia="Microsoft JhengHei" w:hint="default"/>
          <w:b/>
          <w:bCs/>
          <w:spacing w:val="2"/>
          <w:w w:val="99"/>
          <w:sz w:val="20"/>
          <w:szCs w:val="20"/>
        </w:rPr>
        <w:t>利润总</w:t>
      </w:r>
      <w:r>
        <w:rPr>
          <w:rFonts w:ascii="Microsoft JhengHei" w:hAnsi="Microsoft JhengHei" w:cs="Microsoft JhengHei" w:eastAsia="Microsoft JhengHei" w:hint="default"/>
          <w:b/>
          <w:bCs/>
          <w:spacing w:val="-15"/>
          <w:w w:val="99"/>
          <w:sz w:val="20"/>
          <w:szCs w:val="20"/>
        </w:rPr>
        <w:t>额</w:t>
      </w:r>
      <w:r>
        <w:rPr>
          <w:rFonts w:ascii="Microsoft JhengHei" w:hAnsi="Microsoft JhengHei" w:cs="Microsoft JhengHei" w:eastAsia="Microsoft JhengHei" w:hint="default"/>
          <w:b/>
          <w:bCs/>
          <w:spacing w:val="2"/>
          <w:w w:val="99"/>
          <w:sz w:val="20"/>
          <w:szCs w:val="20"/>
        </w:rPr>
        <w:t>（亏损总额</w:t>
      </w:r>
      <w:r>
        <w:rPr>
          <w:rFonts w:ascii="Microsoft JhengHei" w:hAnsi="Microsoft JhengHei" w:cs="Microsoft JhengHei" w:eastAsia="Microsoft JhengHei" w:hint="default"/>
          <w:b/>
          <w:bCs/>
          <w:spacing w:val="-2"/>
          <w:w w:val="99"/>
          <w:sz w:val="20"/>
          <w:szCs w:val="20"/>
        </w:rPr>
        <w:t>以</w:t>
      </w:r>
      <w:r>
        <w:rPr>
          <w:rFonts w:ascii="Times New Roman" w:hAnsi="Times New Roman" w:cs="Times New Roman" w:eastAsia="Times New Roman" w:hint="default"/>
          <w:b/>
          <w:bCs/>
          <w:spacing w:val="-5"/>
          <w:w w:val="99"/>
          <w:sz w:val="20"/>
          <w:szCs w:val="20"/>
        </w:rPr>
        <w:t>“</w:t>
      </w:r>
      <w:r>
        <w:rPr>
          <w:rFonts w:ascii="Microsoft JhengHei" w:hAnsi="Microsoft JhengHei" w:cs="Microsoft JhengHei" w:eastAsia="Microsoft JhengHei" w:hint="default"/>
          <w:b/>
          <w:bCs/>
          <w:spacing w:val="7"/>
          <w:w w:val="114"/>
          <w:sz w:val="20"/>
          <w:szCs w:val="20"/>
        </w:rPr>
        <w:t>-</w:t>
      </w:r>
      <w:r>
        <w:rPr>
          <w:rFonts w:ascii="Times New Roman" w:hAnsi="Times New Roman" w:cs="Times New Roman" w:eastAsia="Times New Roman" w:hint="default"/>
          <w:b/>
          <w:bCs/>
          <w:spacing w:val="-5"/>
          <w:w w:val="99"/>
          <w:sz w:val="20"/>
          <w:szCs w:val="20"/>
        </w:rPr>
        <w:t>”</w:t>
      </w:r>
      <w:r>
        <w:rPr>
          <w:rFonts w:ascii="Microsoft JhengHei" w:hAnsi="Microsoft JhengHei" w:cs="Microsoft JhengHei" w:eastAsia="Microsoft JhengHei" w:hint="default"/>
          <w:b/>
          <w:bCs/>
          <w:spacing w:val="2"/>
          <w:w w:val="99"/>
          <w:sz w:val="20"/>
          <w:szCs w:val="20"/>
        </w:rPr>
        <w:t>号填</w:t>
      </w:r>
      <w:r>
        <w:rPr>
          <w:rFonts w:ascii="Microsoft JhengHei" w:hAnsi="Microsoft JhengHei" w:cs="Microsoft JhengHei" w:eastAsia="Microsoft JhengHei" w:hint="default"/>
          <w:b/>
          <w:bCs/>
          <w:w w:val="99"/>
          <w:sz w:val="20"/>
          <w:szCs w:val="20"/>
        </w:rPr>
        <w:t>列</w:t>
      </w:r>
      <w:r>
        <w:rPr>
          <w:rFonts w:ascii="Microsoft JhengHei" w:hAnsi="Microsoft JhengHei" w:cs="Microsoft JhengHei" w:eastAsia="Microsoft JhengHei" w:hint="default"/>
          <w:b/>
          <w:bCs/>
          <w:w w:val="50"/>
          <w:sz w:val="20"/>
          <w:szCs w:val="20"/>
        </w:rPr>
        <w:t>）</w:t>
      </w:r>
      <w:r>
        <w:rPr>
          <w:rFonts w:ascii="Microsoft JhengHei" w:hAnsi="Microsoft JhengHei" w:cs="Microsoft JhengHei" w:eastAsia="Microsoft JhengHei" w:hint="default"/>
          <w:sz w:val="20"/>
          <w:szCs w:val="20"/>
        </w:rPr>
      </w:r>
    </w:p>
    <w:p>
      <w:pPr>
        <w:spacing w:line="372" w:lineRule="auto" w:before="39"/>
        <w:ind w:left="245" w:right="6066" w:firstLine="398"/>
        <w:jc w:val="left"/>
        <w:rPr>
          <w:rFonts w:ascii="Microsoft JhengHei" w:hAnsi="Microsoft JhengHei" w:cs="Microsoft JhengHei" w:eastAsia="Microsoft JhengHei" w:hint="default"/>
          <w:sz w:val="20"/>
          <w:szCs w:val="20"/>
        </w:rPr>
      </w:pPr>
      <w:r>
        <w:rPr/>
        <w:pict>
          <v:group style="position:absolute;margin-left:371.279999pt;margin-top:21.489674pt;width:74.05pt;height:.6pt;mso-position-horizontal-relative:page;mso-position-vertical-relative:paragraph;z-index:3016" coordorigin="7426,430" coordsize="1481,12">
            <v:group style="position:absolute;left:7432;top:436;width:12;height:2" coordorigin="7432,436" coordsize="12,2">
              <v:shape style="position:absolute;left:7432;top:436;width:12;height:2" coordorigin="7432,436" coordsize="12,0" path="m7432,436l7444,436e" filled="false" stroked="true" strokeweight=".6pt" strokecolor="#000008">
                <v:path arrowok="t"/>
              </v:shape>
            </v:group>
            <v:group style="position:absolute;left:7451;top:436;width:12;height:2" coordorigin="7451,436" coordsize="12,2">
              <v:shape style="position:absolute;left:7451;top:436;width:12;height:2" coordorigin="7451,436" coordsize="12,0" path="m7451,436l7463,436e" filled="false" stroked="true" strokeweight=".6pt" strokecolor="#000008">
                <v:path arrowok="t"/>
              </v:shape>
            </v:group>
            <v:group style="position:absolute;left:7470;top:436;width:12;height:2" coordorigin="7470,436" coordsize="12,2">
              <v:shape style="position:absolute;left:7470;top:436;width:12;height:2" coordorigin="7470,436" coordsize="12,0" path="m7470,436l7482,436e" filled="false" stroked="true" strokeweight=".6pt" strokecolor="#000008">
                <v:path arrowok="t"/>
              </v:shape>
            </v:group>
            <v:group style="position:absolute;left:7489;top:436;width:12;height:2" coordorigin="7489,436" coordsize="12,2">
              <v:shape style="position:absolute;left:7489;top:436;width:12;height:2" coordorigin="7489,436" coordsize="12,0" path="m7489,436l7501,436e" filled="false" stroked="true" strokeweight=".6pt" strokecolor="#000008">
                <v:path arrowok="t"/>
              </v:shape>
            </v:group>
            <v:group style="position:absolute;left:7508;top:436;width:12;height:2" coordorigin="7508,436" coordsize="12,2">
              <v:shape style="position:absolute;left:7508;top:436;width:12;height:2" coordorigin="7508,436" coordsize="12,0" path="m7508,436l7520,436e" filled="false" stroked="true" strokeweight=".6pt" strokecolor="#000008">
                <v:path arrowok="t"/>
              </v:shape>
            </v:group>
            <v:group style="position:absolute;left:7528;top:436;width:12;height:2" coordorigin="7528,436" coordsize="12,2">
              <v:shape style="position:absolute;left:7528;top:436;width:12;height:2" coordorigin="7528,436" coordsize="12,0" path="m7528,436l7540,436e" filled="false" stroked="true" strokeweight=".6pt" strokecolor="#000008">
                <v:path arrowok="t"/>
              </v:shape>
            </v:group>
            <v:group style="position:absolute;left:7547;top:436;width:12;height:2" coordorigin="7547,436" coordsize="12,2">
              <v:shape style="position:absolute;left:7547;top:436;width:12;height:2" coordorigin="7547,436" coordsize="12,0" path="m7547,436l7559,436e" filled="false" stroked="true" strokeweight=".6pt" strokecolor="#000008">
                <v:path arrowok="t"/>
              </v:shape>
            </v:group>
            <v:group style="position:absolute;left:7566;top:436;width:12;height:2" coordorigin="7566,436" coordsize="12,2">
              <v:shape style="position:absolute;left:7566;top:436;width:12;height:2" coordorigin="7566,436" coordsize="12,0" path="m7566,436l7578,436e" filled="false" stroked="true" strokeweight=".6pt" strokecolor="#000008">
                <v:path arrowok="t"/>
              </v:shape>
            </v:group>
            <v:group style="position:absolute;left:7585;top:436;width:12;height:2" coordorigin="7585,436" coordsize="12,2">
              <v:shape style="position:absolute;left:7585;top:436;width:12;height:2" coordorigin="7585,436" coordsize="12,0" path="m7585,436l7597,436e" filled="false" stroked="true" strokeweight=".6pt" strokecolor="#000008">
                <v:path arrowok="t"/>
              </v:shape>
            </v:group>
            <v:group style="position:absolute;left:7604;top:436;width:12;height:2" coordorigin="7604,436" coordsize="12,2">
              <v:shape style="position:absolute;left:7604;top:436;width:12;height:2" coordorigin="7604,436" coordsize="12,0" path="m7604,436l7616,436e" filled="false" stroked="true" strokeweight=".6pt" strokecolor="#000008">
                <v:path arrowok="t"/>
              </v:shape>
            </v:group>
            <v:group style="position:absolute;left:7624;top:436;width:12;height:2" coordorigin="7624,436" coordsize="12,2">
              <v:shape style="position:absolute;left:7624;top:436;width:12;height:2" coordorigin="7624,436" coordsize="12,0" path="m7624,436l7636,436e" filled="false" stroked="true" strokeweight=".6pt" strokecolor="#000008">
                <v:path arrowok="t"/>
              </v:shape>
            </v:group>
            <v:group style="position:absolute;left:7643;top:436;width:12;height:2" coordorigin="7643,436" coordsize="12,2">
              <v:shape style="position:absolute;left:7643;top:436;width:12;height:2" coordorigin="7643,436" coordsize="12,0" path="m7643,436l7655,436e" filled="false" stroked="true" strokeweight=".6pt" strokecolor="#000008">
                <v:path arrowok="t"/>
              </v:shape>
            </v:group>
            <v:group style="position:absolute;left:7662;top:436;width:12;height:2" coordorigin="7662,436" coordsize="12,2">
              <v:shape style="position:absolute;left:7662;top:436;width:12;height:2" coordorigin="7662,436" coordsize="12,0" path="m7662,436l7674,436e" filled="false" stroked="true" strokeweight=".6pt" strokecolor="#000008">
                <v:path arrowok="t"/>
              </v:shape>
            </v:group>
            <v:group style="position:absolute;left:7681;top:436;width:12;height:2" coordorigin="7681,436" coordsize="12,2">
              <v:shape style="position:absolute;left:7681;top:436;width:12;height:2" coordorigin="7681,436" coordsize="12,0" path="m7681,436l7693,436e" filled="false" stroked="true" strokeweight=".6pt" strokecolor="#000008">
                <v:path arrowok="t"/>
              </v:shape>
            </v:group>
            <v:group style="position:absolute;left:7700;top:436;width:12;height:2" coordorigin="7700,436" coordsize="12,2">
              <v:shape style="position:absolute;left:7700;top:436;width:12;height:2" coordorigin="7700,436" coordsize="12,0" path="m7700,436l7712,436e" filled="false" stroked="true" strokeweight=".6pt" strokecolor="#000008">
                <v:path arrowok="t"/>
              </v:shape>
            </v:group>
            <v:group style="position:absolute;left:7720;top:436;width:12;height:2" coordorigin="7720,436" coordsize="12,2">
              <v:shape style="position:absolute;left:7720;top:436;width:12;height:2" coordorigin="7720,436" coordsize="12,0" path="m7720,436l7732,436e" filled="false" stroked="true" strokeweight=".6pt" strokecolor="#000008">
                <v:path arrowok="t"/>
              </v:shape>
            </v:group>
            <v:group style="position:absolute;left:7739;top:436;width:12;height:2" coordorigin="7739,436" coordsize="12,2">
              <v:shape style="position:absolute;left:7739;top:436;width:12;height:2" coordorigin="7739,436" coordsize="12,0" path="m7739,436l7751,436e" filled="false" stroked="true" strokeweight=".6pt" strokecolor="#000008">
                <v:path arrowok="t"/>
              </v:shape>
            </v:group>
            <v:group style="position:absolute;left:7758;top:436;width:12;height:2" coordorigin="7758,436" coordsize="12,2">
              <v:shape style="position:absolute;left:7758;top:436;width:12;height:2" coordorigin="7758,436" coordsize="12,0" path="m7758,436l7770,436e" filled="false" stroked="true" strokeweight=".6pt" strokecolor="#000008">
                <v:path arrowok="t"/>
              </v:shape>
            </v:group>
            <v:group style="position:absolute;left:7777;top:436;width:12;height:2" coordorigin="7777,436" coordsize="12,2">
              <v:shape style="position:absolute;left:7777;top:436;width:12;height:2" coordorigin="7777,436" coordsize="12,0" path="m7777,436l7789,436e" filled="false" stroked="true" strokeweight=".6pt" strokecolor="#000008">
                <v:path arrowok="t"/>
              </v:shape>
            </v:group>
            <v:group style="position:absolute;left:7796;top:436;width:12;height:2" coordorigin="7796,436" coordsize="12,2">
              <v:shape style="position:absolute;left:7796;top:436;width:12;height:2" coordorigin="7796,436" coordsize="12,0" path="m7796,436l7808,436e" filled="false" stroked="true" strokeweight=".6pt" strokecolor="#000008">
                <v:path arrowok="t"/>
              </v:shape>
            </v:group>
            <v:group style="position:absolute;left:7816;top:436;width:12;height:2" coordorigin="7816,436" coordsize="12,2">
              <v:shape style="position:absolute;left:7816;top:436;width:12;height:2" coordorigin="7816,436" coordsize="12,0" path="m7816,436l7828,436e" filled="false" stroked="true" strokeweight=".6pt" strokecolor="#000008">
                <v:path arrowok="t"/>
              </v:shape>
            </v:group>
            <v:group style="position:absolute;left:7835;top:436;width:12;height:2" coordorigin="7835,436" coordsize="12,2">
              <v:shape style="position:absolute;left:7835;top:436;width:12;height:2" coordorigin="7835,436" coordsize="12,0" path="m7835,436l7847,436e" filled="false" stroked="true" strokeweight=".6pt" strokecolor="#000008">
                <v:path arrowok="t"/>
              </v:shape>
            </v:group>
            <v:group style="position:absolute;left:7854;top:436;width:12;height:2" coordorigin="7854,436" coordsize="12,2">
              <v:shape style="position:absolute;left:7854;top:436;width:12;height:2" coordorigin="7854,436" coordsize="12,0" path="m7854,436l7866,436e" filled="false" stroked="true" strokeweight=".6pt" strokecolor="#000008">
                <v:path arrowok="t"/>
              </v:shape>
            </v:group>
            <v:group style="position:absolute;left:7873;top:436;width:12;height:2" coordorigin="7873,436" coordsize="12,2">
              <v:shape style="position:absolute;left:7873;top:436;width:12;height:2" coordorigin="7873,436" coordsize="12,0" path="m7873,436l7885,436e" filled="false" stroked="true" strokeweight=".6pt" strokecolor="#000008">
                <v:path arrowok="t"/>
              </v:shape>
            </v:group>
            <v:group style="position:absolute;left:7892;top:436;width:12;height:2" coordorigin="7892,436" coordsize="12,2">
              <v:shape style="position:absolute;left:7892;top:436;width:12;height:2" coordorigin="7892,436" coordsize="12,0" path="m7892,436l7904,436e" filled="false" stroked="true" strokeweight=".6pt" strokecolor="#000008">
                <v:path arrowok="t"/>
              </v:shape>
            </v:group>
            <v:group style="position:absolute;left:7912;top:436;width:12;height:2" coordorigin="7912,436" coordsize="12,2">
              <v:shape style="position:absolute;left:7912;top:436;width:12;height:2" coordorigin="7912,436" coordsize="12,0" path="m7912,436l7924,436e" filled="false" stroked="true" strokeweight=".6pt" strokecolor="#000008">
                <v:path arrowok="t"/>
              </v:shape>
            </v:group>
            <v:group style="position:absolute;left:7931;top:436;width:12;height:2" coordorigin="7931,436" coordsize="12,2">
              <v:shape style="position:absolute;left:7931;top:436;width:12;height:2" coordorigin="7931,436" coordsize="12,0" path="m7931,436l7943,436e" filled="false" stroked="true" strokeweight=".6pt" strokecolor="#000008">
                <v:path arrowok="t"/>
              </v:shape>
            </v:group>
            <v:group style="position:absolute;left:7950;top:436;width:12;height:2" coordorigin="7950,436" coordsize="12,2">
              <v:shape style="position:absolute;left:7950;top:436;width:12;height:2" coordorigin="7950,436" coordsize="12,0" path="m7950,436l7962,436e" filled="false" stroked="true" strokeweight=".6pt" strokecolor="#000008">
                <v:path arrowok="t"/>
              </v:shape>
            </v:group>
            <v:group style="position:absolute;left:7969;top:436;width:12;height:2" coordorigin="7969,436" coordsize="12,2">
              <v:shape style="position:absolute;left:7969;top:436;width:12;height:2" coordorigin="7969,436" coordsize="12,0" path="m7969,436l7981,436e" filled="false" stroked="true" strokeweight=".6pt" strokecolor="#000008">
                <v:path arrowok="t"/>
              </v:shape>
            </v:group>
            <v:group style="position:absolute;left:7988;top:436;width:12;height:2" coordorigin="7988,436" coordsize="12,2">
              <v:shape style="position:absolute;left:7988;top:436;width:12;height:2" coordorigin="7988,436" coordsize="12,0" path="m7988,436l8000,436e" filled="false" stroked="true" strokeweight=".6pt" strokecolor="#000008">
                <v:path arrowok="t"/>
              </v:shape>
            </v:group>
            <v:group style="position:absolute;left:8008;top:436;width:12;height:2" coordorigin="8008,436" coordsize="12,2">
              <v:shape style="position:absolute;left:8008;top:436;width:12;height:2" coordorigin="8008,436" coordsize="12,0" path="m8008,436l8020,436e" filled="false" stroked="true" strokeweight=".6pt" strokecolor="#000008">
                <v:path arrowok="t"/>
              </v:shape>
            </v:group>
            <v:group style="position:absolute;left:8027;top:436;width:12;height:2" coordorigin="8027,436" coordsize="12,2">
              <v:shape style="position:absolute;left:8027;top:436;width:12;height:2" coordorigin="8027,436" coordsize="12,0" path="m8027,436l8039,436e" filled="false" stroked="true" strokeweight=".6pt" strokecolor="#000008">
                <v:path arrowok="t"/>
              </v:shape>
            </v:group>
            <v:group style="position:absolute;left:8046;top:436;width:12;height:2" coordorigin="8046,436" coordsize="12,2">
              <v:shape style="position:absolute;left:8046;top:436;width:12;height:2" coordorigin="8046,436" coordsize="12,0" path="m8046,436l8058,436e" filled="false" stroked="true" strokeweight=".6pt" strokecolor="#000008">
                <v:path arrowok="t"/>
              </v:shape>
            </v:group>
            <v:group style="position:absolute;left:8065;top:436;width:12;height:2" coordorigin="8065,436" coordsize="12,2">
              <v:shape style="position:absolute;left:8065;top:436;width:12;height:2" coordorigin="8065,436" coordsize="12,0" path="m8065,436l8077,436e" filled="false" stroked="true" strokeweight=".6pt" strokecolor="#000008">
                <v:path arrowok="t"/>
              </v:shape>
            </v:group>
            <v:group style="position:absolute;left:8084;top:436;width:12;height:2" coordorigin="8084,436" coordsize="12,2">
              <v:shape style="position:absolute;left:8084;top:436;width:12;height:2" coordorigin="8084,436" coordsize="12,0" path="m8084,436l8096,436e" filled="false" stroked="true" strokeweight=".6pt" strokecolor="#000008">
                <v:path arrowok="t"/>
              </v:shape>
            </v:group>
            <v:group style="position:absolute;left:8104;top:436;width:12;height:2" coordorigin="8104,436" coordsize="12,2">
              <v:shape style="position:absolute;left:8104;top:436;width:12;height:2" coordorigin="8104,436" coordsize="12,0" path="m8104,436l8116,436e" filled="false" stroked="true" strokeweight=".6pt" strokecolor="#000008">
                <v:path arrowok="t"/>
              </v:shape>
            </v:group>
            <v:group style="position:absolute;left:8123;top:436;width:12;height:2" coordorigin="8123,436" coordsize="12,2">
              <v:shape style="position:absolute;left:8123;top:436;width:12;height:2" coordorigin="8123,436" coordsize="12,0" path="m8123,436l8135,436e" filled="false" stroked="true" strokeweight=".6pt" strokecolor="#000008">
                <v:path arrowok="t"/>
              </v:shape>
            </v:group>
            <v:group style="position:absolute;left:8142;top:436;width:12;height:2" coordorigin="8142,436" coordsize="12,2">
              <v:shape style="position:absolute;left:8142;top:436;width:12;height:2" coordorigin="8142,436" coordsize="12,0" path="m8142,436l8154,436e" filled="false" stroked="true" strokeweight=".6pt" strokecolor="#000008">
                <v:path arrowok="t"/>
              </v:shape>
            </v:group>
            <v:group style="position:absolute;left:8161;top:436;width:12;height:2" coordorigin="8161,436" coordsize="12,2">
              <v:shape style="position:absolute;left:8161;top:436;width:12;height:2" coordorigin="8161,436" coordsize="12,0" path="m8161,436l8173,436e" filled="false" stroked="true" strokeweight=".6pt" strokecolor="#000008">
                <v:path arrowok="t"/>
              </v:shape>
            </v:group>
            <v:group style="position:absolute;left:8180;top:436;width:12;height:2" coordorigin="8180,436" coordsize="12,2">
              <v:shape style="position:absolute;left:8180;top:436;width:12;height:2" coordorigin="8180,436" coordsize="12,0" path="m8180,436l8192,436e" filled="false" stroked="true" strokeweight=".6pt" strokecolor="#000008">
                <v:path arrowok="t"/>
              </v:shape>
            </v:group>
            <v:group style="position:absolute;left:8200;top:436;width:12;height:2" coordorigin="8200,436" coordsize="12,2">
              <v:shape style="position:absolute;left:8200;top:436;width:12;height:2" coordorigin="8200,436" coordsize="12,0" path="m8200,436l8212,436e" filled="false" stroked="true" strokeweight=".6pt" strokecolor="#000008">
                <v:path arrowok="t"/>
              </v:shape>
            </v:group>
            <v:group style="position:absolute;left:8219;top:436;width:12;height:2" coordorigin="8219,436" coordsize="12,2">
              <v:shape style="position:absolute;left:8219;top:436;width:12;height:2" coordorigin="8219,436" coordsize="12,0" path="m8219,436l8231,436e" filled="false" stroked="true" strokeweight=".6pt" strokecolor="#000008">
                <v:path arrowok="t"/>
              </v:shape>
            </v:group>
            <v:group style="position:absolute;left:8238;top:436;width:12;height:2" coordorigin="8238,436" coordsize="12,2">
              <v:shape style="position:absolute;left:8238;top:436;width:12;height:2" coordorigin="8238,436" coordsize="12,0" path="m8238,436l8250,436e" filled="false" stroked="true" strokeweight=".6pt" strokecolor="#000008">
                <v:path arrowok="t"/>
              </v:shape>
            </v:group>
            <v:group style="position:absolute;left:8257;top:436;width:12;height:2" coordorigin="8257,436" coordsize="12,2">
              <v:shape style="position:absolute;left:8257;top:436;width:12;height:2" coordorigin="8257,436" coordsize="12,0" path="m8257,436l8269,436e" filled="false" stroked="true" strokeweight=".6pt" strokecolor="#000008">
                <v:path arrowok="t"/>
              </v:shape>
            </v:group>
            <v:group style="position:absolute;left:8276;top:436;width:12;height:2" coordorigin="8276,436" coordsize="12,2">
              <v:shape style="position:absolute;left:8276;top:436;width:12;height:2" coordorigin="8276,436" coordsize="12,0" path="m8276,436l8288,436e" filled="false" stroked="true" strokeweight=".6pt" strokecolor="#000008">
                <v:path arrowok="t"/>
              </v:shape>
            </v:group>
            <v:group style="position:absolute;left:8296;top:436;width:12;height:2" coordorigin="8296,436" coordsize="12,2">
              <v:shape style="position:absolute;left:8296;top:436;width:12;height:2" coordorigin="8296,436" coordsize="12,0" path="m8296,436l8308,436e" filled="false" stroked="true" strokeweight=".6pt" strokecolor="#000008">
                <v:path arrowok="t"/>
              </v:shape>
            </v:group>
            <v:group style="position:absolute;left:8315;top:436;width:12;height:2" coordorigin="8315,436" coordsize="12,2">
              <v:shape style="position:absolute;left:8315;top:436;width:12;height:2" coordorigin="8315,436" coordsize="12,0" path="m8315,436l8327,436e" filled="false" stroked="true" strokeweight=".6pt" strokecolor="#000008">
                <v:path arrowok="t"/>
              </v:shape>
            </v:group>
            <v:group style="position:absolute;left:8334;top:436;width:12;height:2" coordorigin="8334,436" coordsize="12,2">
              <v:shape style="position:absolute;left:8334;top:436;width:12;height:2" coordorigin="8334,436" coordsize="12,0" path="m8334,436l8346,436e" filled="false" stroked="true" strokeweight=".6pt" strokecolor="#000008">
                <v:path arrowok="t"/>
              </v:shape>
            </v:group>
            <v:group style="position:absolute;left:8353;top:436;width:12;height:2" coordorigin="8353,436" coordsize="12,2">
              <v:shape style="position:absolute;left:8353;top:436;width:12;height:2" coordorigin="8353,436" coordsize="12,0" path="m8353,436l8365,436e" filled="false" stroked="true" strokeweight=".6pt" strokecolor="#000008">
                <v:path arrowok="t"/>
              </v:shape>
            </v:group>
            <v:group style="position:absolute;left:8372;top:436;width:12;height:2" coordorigin="8372,436" coordsize="12,2">
              <v:shape style="position:absolute;left:8372;top:436;width:12;height:2" coordorigin="8372,436" coordsize="12,0" path="m8372,436l8384,436e" filled="false" stroked="true" strokeweight=".6pt" strokecolor="#000008">
                <v:path arrowok="t"/>
              </v:shape>
            </v:group>
            <v:group style="position:absolute;left:8392;top:436;width:12;height:2" coordorigin="8392,436" coordsize="12,2">
              <v:shape style="position:absolute;left:8392;top:436;width:12;height:2" coordorigin="8392,436" coordsize="12,0" path="m8392,436l8404,436e" filled="false" stroked="true" strokeweight=".6pt" strokecolor="#000008">
                <v:path arrowok="t"/>
              </v:shape>
            </v:group>
            <v:group style="position:absolute;left:8411;top:436;width:12;height:2" coordorigin="8411,436" coordsize="12,2">
              <v:shape style="position:absolute;left:8411;top:436;width:12;height:2" coordorigin="8411,436" coordsize="12,0" path="m8411,436l8423,436e" filled="false" stroked="true" strokeweight=".6pt" strokecolor="#000008">
                <v:path arrowok="t"/>
              </v:shape>
            </v:group>
            <v:group style="position:absolute;left:8430;top:436;width:12;height:2" coordorigin="8430,436" coordsize="12,2">
              <v:shape style="position:absolute;left:8430;top:436;width:12;height:2" coordorigin="8430,436" coordsize="12,0" path="m8430,436l8442,436e" filled="false" stroked="true" strokeweight=".6pt" strokecolor="#000008">
                <v:path arrowok="t"/>
              </v:shape>
            </v:group>
            <v:group style="position:absolute;left:8449;top:436;width:12;height:2" coordorigin="8449,436" coordsize="12,2">
              <v:shape style="position:absolute;left:8449;top:436;width:12;height:2" coordorigin="8449,436" coordsize="12,0" path="m8449,436l8461,436e" filled="false" stroked="true" strokeweight=".6pt" strokecolor="#000008">
                <v:path arrowok="t"/>
              </v:shape>
            </v:group>
            <v:group style="position:absolute;left:8468;top:436;width:12;height:2" coordorigin="8468,436" coordsize="12,2">
              <v:shape style="position:absolute;left:8468;top:436;width:12;height:2" coordorigin="8468,436" coordsize="12,0" path="m8468,436l8480,436e" filled="false" stroked="true" strokeweight=".6pt" strokecolor="#000008">
                <v:path arrowok="t"/>
              </v:shape>
            </v:group>
            <v:group style="position:absolute;left:8488;top:436;width:12;height:2" coordorigin="8488,436" coordsize="12,2">
              <v:shape style="position:absolute;left:8488;top:436;width:12;height:2" coordorigin="8488,436" coordsize="12,0" path="m8488,436l8500,436e" filled="false" stroked="true" strokeweight=".6pt" strokecolor="#000008">
                <v:path arrowok="t"/>
              </v:shape>
            </v:group>
            <v:group style="position:absolute;left:8507;top:436;width:12;height:2" coordorigin="8507,436" coordsize="12,2">
              <v:shape style="position:absolute;left:8507;top:436;width:12;height:2" coordorigin="8507,436" coordsize="12,0" path="m8507,436l8519,436e" filled="false" stroked="true" strokeweight=".6pt" strokecolor="#000008">
                <v:path arrowok="t"/>
              </v:shape>
            </v:group>
            <v:group style="position:absolute;left:8526;top:436;width:12;height:2" coordorigin="8526,436" coordsize="12,2">
              <v:shape style="position:absolute;left:8526;top:436;width:12;height:2" coordorigin="8526,436" coordsize="12,0" path="m8526,436l8538,436e" filled="false" stroked="true" strokeweight=".6pt" strokecolor="#000008">
                <v:path arrowok="t"/>
              </v:shape>
            </v:group>
            <v:group style="position:absolute;left:8545;top:436;width:12;height:2" coordorigin="8545,436" coordsize="12,2">
              <v:shape style="position:absolute;left:8545;top:436;width:12;height:2" coordorigin="8545,436" coordsize="12,0" path="m8545,436l8557,436e" filled="false" stroked="true" strokeweight=".6pt" strokecolor="#000008">
                <v:path arrowok="t"/>
              </v:shape>
            </v:group>
            <v:group style="position:absolute;left:8564;top:436;width:12;height:2" coordorigin="8564,436" coordsize="12,2">
              <v:shape style="position:absolute;left:8564;top:436;width:12;height:2" coordorigin="8564,436" coordsize="12,0" path="m8564,436l8576,436e" filled="false" stroked="true" strokeweight=".6pt" strokecolor="#000008">
                <v:path arrowok="t"/>
              </v:shape>
            </v:group>
            <v:group style="position:absolute;left:8584;top:436;width:12;height:2" coordorigin="8584,436" coordsize="12,2">
              <v:shape style="position:absolute;left:8584;top:436;width:12;height:2" coordorigin="8584,436" coordsize="12,0" path="m8584,436l8596,436e" filled="false" stroked="true" strokeweight=".6pt" strokecolor="#000008">
                <v:path arrowok="t"/>
              </v:shape>
            </v:group>
            <v:group style="position:absolute;left:8603;top:436;width:12;height:2" coordorigin="8603,436" coordsize="12,2">
              <v:shape style="position:absolute;left:8603;top:436;width:12;height:2" coordorigin="8603,436" coordsize="12,0" path="m8603,436l8615,436e" filled="false" stroked="true" strokeweight=".6pt" strokecolor="#000008">
                <v:path arrowok="t"/>
              </v:shape>
            </v:group>
            <v:group style="position:absolute;left:8622;top:436;width:12;height:2" coordorigin="8622,436" coordsize="12,2">
              <v:shape style="position:absolute;left:8622;top:436;width:12;height:2" coordorigin="8622,436" coordsize="12,0" path="m8622,436l8634,436e" filled="false" stroked="true" strokeweight=".6pt" strokecolor="#000008">
                <v:path arrowok="t"/>
              </v:shape>
            </v:group>
            <v:group style="position:absolute;left:8641;top:436;width:12;height:2" coordorigin="8641,436" coordsize="12,2">
              <v:shape style="position:absolute;left:8641;top:436;width:12;height:2" coordorigin="8641,436" coordsize="12,0" path="m8641,436l8653,436e" filled="false" stroked="true" strokeweight=".6pt" strokecolor="#000008">
                <v:path arrowok="t"/>
              </v:shape>
            </v:group>
            <v:group style="position:absolute;left:8660;top:436;width:12;height:2" coordorigin="8660,436" coordsize="12,2">
              <v:shape style="position:absolute;left:8660;top:436;width:12;height:2" coordorigin="8660,436" coordsize="12,0" path="m8660,436l8672,436e" filled="false" stroked="true" strokeweight=".6pt" strokecolor="#000008">
                <v:path arrowok="t"/>
              </v:shape>
            </v:group>
            <v:group style="position:absolute;left:8680;top:436;width:12;height:2" coordorigin="8680,436" coordsize="12,2">
              <v:shape style="position:absolute;left:8680;top:436;width:12;height:2" coordorigin="8680,436" coordsize="12,0" path="m8680,436l8692,436e" filled="false" stroked="true" strokeweight=".6pt" strokecolor="#000008">
                <v:path arrowok="t"/>
              </v:shape>
            </v:group>
            <v:group style="position:absolute;left:8699;top:436;width:12;height:2" coordorigin="8699,436" coordsize="12,2">
              <v:shape style="position:absolute;left:8699;top:436;width:12;height:2" coordorigin="8699,436" coordsize="12,0" path="m8699,436l8711,436e" filled="false" stroked="true" strokeweight=".6pt" strokecolor="#000008">
                <v:path arrowok="t"/>
              </v:shape>
            </v:group>
            <v:group style="position:absolute;left:8718;top:436;width:12;height:2" coordorigin="8718,436" coordsize="12,2">
              <v:shape style="position:absolute;left:8718;top:436;width:12;height:2" coordorigin="8718,436" coordsize="12,0" path="m8718,436l8730,436e" filled="false" stroked="true" strokeweight=".6pt" strokecolor="#000008">
                <v:path arrowok="t"/>
              </v:shape>
            </v:group>
            <v:group style="position:absolute;left:8737;top:436;width:12;height:2" coordorigin="8737,436" coordsize="12,2">
              <v:shape style="position:absolute;left:8737;top:436;width:12;height:2" coordorigin="8737,436" coordsize="12,0" path="m8737,436l8749,436e" filled="false" stroked="true" strokeweight=".6pt" strokecolor="#000008">
                <v:path arrowok="t"/>
              </v:shape>
            </v:group>
            <v:group style="position:absolute;left:8756;top:436;width:12;height:2" coordorigin="8756,436" coordsize="12,2">
              <v:shape style="position:absolute;left:8756;top:436;width:12;height:2" coordorigin="8756,436" coordsize="12,0" path="m8756,436l8768,436e" filled="false" stroked="true" strokeweight=".6pt" strokecolor="#000008">
                <v:path arrowok="t"/>
              </v:shape>
            </v:group>
            <v:group style="position:absolute;left:8776;top:436;width:12;height:2" coordorigin="8776,436" coordsize="12,2">
              <v:shape style="position:absolute;left:8776;top:436;width:12;height:2" coordorigin="8776,436" coordsize="12,0" path="m8776,436l8788,436e" filled="false" stroked="true" strokeweight=".6pt" strokecolor="#000008">
                <v:path arrowok="t"/>
              </v:shape>
            </v:group>
            <v:group style="position:absolute;left:8795;top:436;width:12;height:2" coordorigin="8795,436" coordsize="12,2">
              <v:shape style="position:absolute;left:8795;top:436;width:12;height:2" coordorigin="8795,436" coordsize="12,0" path="m8795,436l8807,436e" filled="false" stroked="true" strokeweight=".6pt" strokecolor="#000008">
                <v:path arrowok="t"/>
              </v:shape>
            </v:group>
            <v:group style="position:absolute;left:8814;top:436;width:12;height:2" coordorigin="8814,436" coordsize="12,2">
              <v:shape style="position:absolute;left:8814;top:436;width:12;height:2" coordorigin="8814,436" coordsize="12,0" path="m8814,436l8826,436e" filled="false" stroked="true" strokeweight=".6pt" strokecolor="#000008">
                <v:path arrowok="t"/>
              </v:shape>
            </v:group>
            <v:group style="position:absolute;left:8833;top:436;width:12;height:2" coordorigin="8833,436" coordsize="12,2">
              <v:shape style="position:absolute;left:8833;top:436;width:12;height:2" coordorigin="8833,436" coordsize="12,0" path="m8833,436l8845,436e" filled="false" stroked="true" strokeweight=".6pt" strokecolor="#000008">
                <v:path arrowok="t"/>
              </v:shape>
            </v:group>
            <v:group style="position:absolute;left:8852;top:436;width:12;height:2" coordorigin="8852,436" coordsize="12,2">
              <v:shape style="position:absolute;left:8852;top:436;width:12;height:2" coordorigin="8852,436" coordsize="12,0" path="m8852,436l8864,436e" filled="false" stroked="true" strokeweight=".6pt" strokecolor="#000008">
                <v:path arrowok="t"/>
              </v:shape>
            </v:group>
            <v:group style="position:absolute;left:8872;top:436;width:12;height:2" coordorigin="8872,436" coordsize="12,2">
              <v:shape style="position:absolute;left:8872;top:436;width:12;height:2" coordorigin="8872,436" coordsize="12,0" path="m8872,436l8884,436e" filled="false" stroked="true" strokeweight=".6pt" strokecolor="#000008">
                <v:path arrowok="t"/>
              </v:shape>
            </v:group>
            <v:group style="position:absolute;left:8891;top:436;width:10;height:2" coordorigin="8891,436" coordsize="10,2">
              <v:shape style="position:absolute;left:8891;top:436;width:10;height:2" coordorigin="8891,436" coordsize="10,0" path="m8891,436l8900,436e" filled="false" stroked="true" strokeweight=".6pt" strokecolor="#000008">
                <v:path arrowok="t"/>
              </v:shape>
            </v:group>
            <w10:wrap type="none"/>
          </v:group>
        </w:pict>
      </w:r>
      <w:r>
        <w:rPr/>
        <w:pict>
          <v:group style="position:absolute;margin-left:458.399994pt;margin-top:21.489674pt;width:90.5pt;height:.6pt;mso-position-horizontal-relative:page;mso-position-vertical-relative:paragraph;z-index:3040" coordorigin="9168,430" coordsize="1810,12">
            <v:group style="position:absolute;left:9174;top:436;width:12;height:2" coordorigin="9174,436" coordsize="12,2">
              <v:shape style="position:absolute;left:9174;top:436;width:12;height:2" coordorigin="9174,436" coordsize="12,0" path="m9174,436l9186,436e" filled="false" stroked="true" strokeweight=".6pt" strokecolor="#000008">
                <v:path arrowok="t"/>
              </v:shape>
            </v:group>
            <v:group style="position:absolute;left:9193;top:436;width:12;height:2" coordorigin="9193,436" coordsize="12,2">
              <v:shape style="position:absolute;left:9193;top:436;width:12;height:2" coordorigin="9193,436" coordsize="12,0" path="m9193,436l9205,436e" filled="false" stroked="true" strokeweight=".6pt" strokecolor="#000008">
                <v:path arrowok="t"/>
              </v:shape>
            </v:group>
            <v:group style="position:absolute;left:9212;top:436;width:12;height:2" coordorigin="9212,436" coordsize="12,2">
              <v:shape style="position:absolute;left:9212;top:436;width:12;height:2" coordorigin="9212,436" coordsize="12,0" path="m9212,436l9224,436e" filled="false" stroked="true" strokeweight=".6pt" strokecolor="#000008">
                <v:path arrowok="t"/>
              </v:shape>
            </v:group>
            <v:group style="position:absolute;left:9232;top:436;width:12;height:2" coordorigin="9232,436" coordsize="12,2">
              <v:shape style="position:absolute;left:9232;top:436;width:12;height:2" coordorigin="9232,436" coordsize="12,0" path="m9232,436l9244,436e" filled="false" stroked="true" strokeweight=".6pt" strokecolor="#000008">
                <v:path arrowok="t"/>
              </v:shape>
            </v:group>
            <v:group style="position:absolute;left:9251;top:436;width:12;height:2" coordorigin="9251,436" coordsize="12,2">
              <v:shape style="position:absolute;left:9251;top:436;width:12;height:2" coordorigin="9251,436" coordsize="12,0" path="m9251,436l9263,436e" filled="false" stroked="true" strokeweight=".6pt" strokecolor="#000008">
                <v:path arrowok="t"/>
              </v:shape>
            </v:group>
            <v:group style="position:absolute;left:9270;top:436;width:12;height:2" coordorigin="9270,436" coordsize="12,2">
              <v:shape style="position:absolute;left:9270;top:436;width:12;height:2" coordorigin="9270,436" coordsize="12,0" path="m9270,436l9282,436e" filled="false" stroked="true" strokeweight=".6pt" strokecolor="#000008">
                <v:path arrowok="t"/>
              </v:shape>
            </v:group>
            <v:group style="position:absolute;left:9289;top:436;width:12;height:2" coordorigin="9289,436" coordsize="12,2">
              <v:shape style="position:absolute;left:9289;top:436;width:12;height:2" coordorigin="9289,436" coordsize="12,0" path="m9289,436l9301,436e" filled="false" stroked="true" strokeweight=".6pt" strokecolor="#000008">
                <v:path arrowok="t"/>
              </v:shape>
            </v:group>
            <v:group style="position:absolute;left:9308;top:436;width:12;height:2" coordorigin="9308,436" coordsize="12,2">
              <v:shape style="position:absolute;left:9308;top:436;width:12;height:2" coordorigin="9308,436" coordsize="12,0" path="m9308,436l9320,436e" filled="false" stroked="true" strokeweight=".6pt" strokecolor="#000008">
                <v:path arrowok="t"/>
              </v:shape>
            </v:group>
            <v:group style="position:absolute;left:9328;top:436;width:12;height:2" coordorigin="9328,436" coordsize="12,2">
              <v:shape style="position:absolute;left:9328;top:436;width:12;height:2" coordorigin="9328,436" coordsize="12,0" path="m9328,436l9340,436e" filled="false" stroked="true" strokeweight=".6pt" strokecolor="#000008">
                <v:path arrowok="t"/>
              </v:shape>
            </v:group>
            <v:group style="position:absolute;left:9347;top:436;width:12;height:2" coordorigin="9347,436" coordsize="12,2">
              <v:shape style="position:absolute;left:9347;top:436;width:12;height:2" coordorigin="9347,436" coordsize="12,0" path="m9347,436l9359,436e" filled="false" stroked="true" strokeweight=".6pt" strokecolor="#000008">
                <v:path arrowok="t"/>
              </v:shape>
            </v:group>
            <v:group style="position:absolute;left:9366;top:436;width:12;height:2" coordorigin="9366,436" coordsize="12,2">
              <v:shape style="position:absolute;left:9366;top:436;width:12;height:2" coordorigin="9366,436" coordsize="12,0" path="m9366,436l9378,436e" filled="false" stroked="true" strokeweight=".6pt" strokecolor="#000008">
                <v:path arrowok="t"/>
              </v:shape>
            </v:group>
            <v:group style="position:absolute;left:9385;top:436;width:12;height:2" coordorigin="9385,436" coordsize="12,2">
              <v:shape style="position:absolute;left:9385;top:436;width:12;height:2" coordorigin="9385,436" coordsize="12,0" path="m9385,436l9397,436e" filled="false" stroked="true" strokeweight=".6pt" strokecolor="#000008">
                <v:path arrowok="t"/>
              </v:shape>
            </v:group>
            <v:group style="position:absolute;left:9404;top:436;width:12;height:2" coordorigin="9404,436" coordsize="12,2">
              <v:shape style="position:absolute;left:9404;top:436;width:12;height:2" coordorigin="9404,436" coordsize="12,0" path="m9404,436l9416,436e" filled="false" stroked="true" strokeweight=".6pt" strokecolor="#000008">
                <v:path arrowok="t"/>
              </v:shape>
            </v:group>
            <v:group style="position:absolute;left:9424;top:436;width:12;height:2" coordorigin="9424,436" coordsize="12,2">
              <v:shape style="position:absolute;left:9424;top:436;width:12;height:2" coordorigin="9424,436" coordsize="12,0" path="m9424,436l9436,436e" filled="false" stroked="true" strokeweight=".6pt" strokecolor="#000008">
                <v:path arrowok="t"/>
              </v:shape>
            </v:group>
            <v:group style="position:absolute;left:9443;top:436;width:12;height:2" coordorigin="9443,436" coordsize="12,2">
              <v:shape style="position:absolute;left:9443;top:436;width:12;height:2" coordorigin="9443,436" coordsize="12,0" path="m9443,436l9455,436e" filled="false" stroked="true" strokeweight=".6pt" strokecolor="#000008">
                <v:path arrowok="t"/>
              </v:shape>
            </v:group>
            <v:group style="position:absolute;left:9462;top:436;width:12;height:2" coordorigin="9462,436" coordsize="12,2">
              <v:shape style="position:absolute;left:9462;top:436;width:12;height:2" coordorigin="9462,436" coordsize="12,0" path="m9462,436l9474,436e" filled="false" stroked="true" strokeweight=".6pt" strokecolor="#000008">
                <v:path arrowok="t"/>
              </v:shape>
            </v:group>
            <v:group style="position:absolute;left:9481;top:436;width:12;height:2" coordorigin="9481,436" coordsize="12,2">
              <v:shape style="position:absolute;left:9481;top:436;width:12;height:2" coordorigin="9481,436" coordsize="12,0" path="m9481,436l9493,436e" filled="false" stroked="true" strokeweight=".6pt" strokecolor="#000008">
                <v:path arrowok="t"/>
              </v:shape>
            </v:group>
            <v:group style="position:absolute;left:9500;top:436;width:12;height:2" coordorigin="9500,436" coordsize="12,2">
              <v:shape style="position:absolute;left:9500;top:436;width:12;height:2" coordorigin="9500,436" coordsize="12,0" path="m9500,436l9512,436e" filled="false" stroked="true" strokeweight=".6pt" strokecolor="#000008">
                <v:path arrowok="t"/>
              </v:shape>
            </v:group>
            <v:group style="position:absolute;left:9520;top:436;width:12;height:2" coordorigin="9520,436" coordsize="12,2">
              <v:shape style="position:absolute;left:9520;top:436;width:12;height:2" coordorigin="9520,436" coordsize="12,0" path="m9520,436l9532,436e" filled="false" stroked="true" strokeweight=".6pt" strokecolor="#000008">
                <v:path arrowok="t"/>
              </v:shape>
            </v:group>
            <v:group style="position:absolute;left:9539;top:436;width:12;height:2" coordorigin="9539,436" coordsize="12,2">
              <v:shape style="position:absolute;left:9539;top:436;width:12;height:2" coordorigin="9539,436" coordsize="12,0" path="m9539,436l9551,436e" filled="false" stroked="true" strokeweight=".6pt" strokecolor="#000008">
                <v:path arrowok="t"/>
              </v:shape>
            </v:group>
            <v:group style="position:absolute;left:9558;top:436;width:12;height:2" coordorigin="9558,436" coordsize="12,2">
              <v:shape style="position:absolute;left:9558;top:436;width:12;height:2" coordorigin="9558,436" coordsize="12,0" path="m9558,436l9570,436e" filled="false" stroked="true" strokeweight=".6pt" strokecolor="#000008">
                <v:path arrowok="t"/>
              </v:shape>
            </v:group>
            <v:group style="position:absolute;left:9577;top:436;width:12;height:2" coordorigin="9577,436" coordsize="12,2">
              <v:shape style="position:absolute;left:9577;top:436;width:12;height:2" coordorigin="9577,436" coordsize="12,0" path="m9577,436l9589,436e" filled="false" stroked="true" strokeweight=".6pt" strokecolor="#000008">
                <v:path arrowok="t"/>
              </v:shape>
            </v:group>
            <v:group style="position:absolute;left:9596;top:436;width:12;height:2" coordorigin="9596,436" coordsize="12,2">
              <v:shape style="position:absolute;left:9596;top:436;width:12;height:2" coordorigin="9596,436" coordsize="12,0" path="m9596,436l9608,436e" filled="false" stroked="true" strokeweight=".6pt" strokecolor="#000008">
                <v:path arrowok="t"/>
              </v:shape>
            </v:group>
            <v:group style="position:absolute;left:9616;top:436;width:12;height:2" coordorigin="9616,436" coordsize="12,2">
              <v:shape style="position:absolute;left:9616;top:436;width:12;height:2" coordorigin="9616,436" coordsize="12,0" path="m9616,436l9628,436e" filled="false" stroked="true" strokeweight=".6pt" strokecolor="#000008">
                <v:path arrowok="t"/>
              </v:shape>
            </v:group>
            <v:group style="position:absolute;left:9635;top:436;width:12;height:2" coordorigin="9635,436" coordsize="12,2">
              <v:shape style="position:absolute;left:9635;top:436;width:12;height:2" coordorigin="9635,436" coordsize="12,0" path="m9635,436l9647,436e" filled="false" stroked="true" strokeweight=".6pt" strokecolor="#000008">
                <v:path arrowok="t"/>
              </v:shape>
            </v:group>
            <v:group style="position:absolute;left:9654;top:436;width:12;height:2" coordorigin="9654,436" coordsize="12,2">
              <v:shape style="position:absolute;left:9654;top:436;width:12;height:2" coordorigin="9654,436" coordsize="12,0" path="m9654,436l9666,436e" filled="false" stroked="true" strokeweight=".6pt" strokecolor="#000008">
                <v:path arrowok="t"/>
              </v:shape>
            </v:group>
            <v:group style="position:absolute;left:9673;top:436;width:12;height:2" coordorigin="9673,436" coordsize="12,2">
              <v:shape style="position:absolute;left:9673;top:436;width:12;height:2" coordorigin="9673,436" coordsize="12,0" path="m9673,436l9685,436e" filled="false" stroked="true" strokeweight=".6pt" strokecolor="#000008">
                <v:path arrowok="t"/>
              </v:shape>
            </v:group>
            <v:group style="position:absolute;left:9692;top:436;width:12;height:2" coordorigin="9692,436" coordsize="12,2">
              <v:shape style="position:absolute;left:9692;top:436;width:12;height:2" coordorigin="9692,436" coordsize="12,0" path="m9692,436l9704,436e" filled="false" stroked="true" strokeweight=".6pt" strokecolor="#000008">
                <v:path arrowok="t"/>
              </v:shape>
            </v:group>
            <v:group style="position:absolute;left:9712;top:436;width:12;height:2" coordorigin="9712,436" coordsize="12,2">
              <v:shape style="position:absolute;left:9712;top:436;width:12;height:2" coordorigin="9712,436" coordsize="12,0" path="m9712,436l9724,436e" filled="false" stroked="true" strokeweight=".6pt" strokecolor="#000008">
                <v:path arrowok="t"/>
              </v:shape>
            </v:group>
            <v:group style="position:absolute;left:9731;top:436;width:12;height:2" coordorigin="9731,436" coordsize="12,2">
              <v:shape style="position:absolute;left:9731;top:436;width:12;height:2" coordorigin="9731,436" coordsize="12,0" path="m9731,436l9743,436e" filled="false" stroked="true" strokeweight=".6pt" strokecolor="#000008">
                <v:path arrowok="t"/>
              </v:shape>
            </v:group>
            <v:group style="position:absolute;left:9750;top:436;width:12;height:2" coordorigin="9750,436" coordsize="12,2">
              <v:shape style="position:absolute;left:9750;top:436;width:12;height:2" coordorigin="9750,436" coordsize="12,0" path="m9750,436l9762,436e" filled="false" stroked="true" strokeweight=".6pt" strokecolor="#000008">
                <v:path arrowok="t"/>
              </v:shape>
            </v:group>
            <v:group style="position:absolute;left:9769;top:436;width:12;height:2" coordorigin="9769,436" coordsize="12,2">
              <v:shape style="position:absolute;left:9769;top:436;width:12;height:2" coordorigin="9769,436" coordsize="12,0" path="m9769,436l9781,436e" filled="false" stroked="true" strokeweight=".6pt" strokecolor="#000008">
                <v:path arrowok="t"/>
              </v:shape>
            </v:group>
            <v:group style="position:absolute;left:9788;top:436;width:12;height:2" coordorigin="9788,436" coordsize="12,2">
              <v:shape style="position:absolute;left:9788;top:436;width:12;height:2" coordorigin="9788,436" coordsize="12,0" path="m9788,436l9800,436e" filled="false" stroked="true" strokeweight=".6pt" strokecolor="#000008">
                <v:path arrowok="t"/>
              </v:shape>
            </v:group>
            <v:group style="position:absolute;left:9808;top:436;width:12;height:2" coordorigin="9808,436" coordsize="12,2">
              <v:shape style="position:absolute;left:9808;top:436;width:12;height:2" coordorigin="9808,436" coordsize="12,0" path="m9808,436l9820,436e" filled="false" stroked="true" strokeweight=".6pt" strokecolor="#000008">
                <v:path arrowok="t"/>
              </v:shape>
            </v:group>
            <v:group style="position:absolute;left:9827;top:436;width:12;height:2" coordorigin="9827,436" coordsize="12,2">
              <v:shape style="position:absolute;left:9827;top:436;width:12;height:2" coordorigin="9827,436" coordsize="12,0" path="m9827,436l9839,436e" filled="false" stroked="true" strokeweight=".6pt" strokecolor="#000008">
                <v:path arrowok="t"/>
              </v:shape>
            </v:group>
            <v:group style="position:absolute;left:9846;top:436;width:12;height:2" coordorigin="9846,436" coordsize="12,2">
              <v:shape style="position:absolute;left:9846;top:436;width:12;height:2" coordorigin="9846,436" coordsize="12,0" path="m9846,436l9858,436e" filled="false" stroked="true" strokeweight=".6pt" strokecolor="#000008">
                <v:path arrowok="t"/>
              </v:shape>
            </v:group>
            <v:group style="position:absolute;left:9865;top:436;width:12;height:2" coordorigin="9865,436" coordsize="12,2">
              <v:shape style="position:absolute;left:9865;top:436;width:12;height:2" coordorigin="9865,436" coordsize="12,0" path="m9865,436l9877,436e" filled="false" stroked="true" strokeweight=".6pt" strokecolor="#000008">
                <v:path arrowok="t"/>
              </v:shape>
            </v:group>
            <v:group style="position:absolute;left:9884;top:436;width:12;height:2" coordorigin="9884,436" coordsize="12,2">
              <v:shape style="position:absolute;left:9884;top:436;width:12;height:2" coordorigin="9884,436" coordsize="12,0" path="m9884,436l9896,436e" filled="false" stroked="true" strokeweight=".6pt" strokecolor="#000008">
                <v:path arrowok="t"/>
              </v:shape>
            </v:group>
            <v:group style="position:absolute;left:9904;top:436;width:12;height:2" coordorigin="9904,436" coordsize="12,2">
              <v:shape style="position:absolute;left:9904;top:436;width:12;height:2" coordorigin="9904,436" coordsize="12,0" path="m9904,436l9916,436e" filled="false" stroked="true" strokeweight=".6pt" strokecolor="#000008">
                <v:path arrowok="t"/>
              </v:shape>
            </v:group>
            <v:group style="position:absolute;left:9923;top:436;width:12;height:2" coordorigin="9923,436" coordsize="12,2">
              <v:shape style="position:absolute;left:9923;top:436;width:12;height:2" coordorigin="9923,436" coordsize="12,0" path="m9923,436l9935,436e" filled="false" stroked="true" strokeweight=".6pt" strokecolor="#000008">
                <v:path arrowok="t"/>
              </v:shape>
            </v:group>
            <v:group style="position:absolute;left:9942;top:436;width:12;height:2" coordorigin="9942,436" coordsize="12,2">
              <v:shape style="position:absolute;left:9942;top:436;width:12;height:2" coordorigin="9942,436" coordsize="12,0" path="m9942,436l9954,436e" filled="false" stroked="true" strokeweight=".6pt" strokecolor="#000008">
                <v:path arrowok="t"/>
              </v:shape>
            </v:group>
            <v:group style="position:absolute;left:9961;top:436;width:12;height:2" coordorigin="9961,436" coordsize="12,2">
              <v:shape style="position:absolute;left:9961;top:436;width:12;height:2" coordorigin="9961,436" coordsize="12,0" path="m9961,436l9973,436e" filled="false" stroked="true" strokeweight=".6pt" strokecolor="#000008">
                <v:path arrowok="t"/>
              </v:shape>
            </v:group>
            <v:group style="position:absolute;left:9980;top:436;width:12;height:2" coordorigin="9980,436" coordsize="12,2">
              <v:shape style="position:absolute;left:9980;top:436;width:12;height:2" coordorigin="9980,436" coordsize="12,0" path="m9980,436l9992,436e" filled="false" stroked="true" strokeweight=".6pt" strokecolor="#000008">
                <v:path arrowok="t"/>
              </v:shape>
            </v:group>
            <v:group style="position:absolute;left:10000;top:436;width:12;height:2" coordorigin="10000,436" coordsize="12,2">
              <v:shape style="position:absolute;left:10000;top:436;width:12;height:2" coordorigin="10000,436" coordsize="12,0" path="m10000,436l10012,436e" filled="false" stroked="true" strokeweight=".6pt" strokecolor="#000008">
                <v:path arrowok="t"/>
              </v:shape>
            </v:group>
            <v:group style="position:absolute;left:10019;top:436;width:12;height:2" coordorigin="10019,436" coordsize="12,2">
              <v:shape style="position:absolute;left:10019;top:436;width:12;height:2" coordorigin="10019,436" coordsize="12,0" path="m10019,436l10031,436e" filled="false" stroked="true" strokeweight=".6pt" strokecolor="#000008">
                <v:path arrowok="t"/>
              </v:shape>
            </v:group>
            <v:group style="position:absolute;left:10038;top:436;width:12;height:2" coordorigin="10038,436" coordsize="12,2">
              <v:shape style="position:absolute;left:10038;top:436;width:12;height:2" coordorigin="10038,436" coordsize="12,0" path="m10038,436l10050,436e" filled="false" stroked="true" strokeweight=".6pt" strokecolor="#000008">
                <v:path arrowok="t"/>
              </v:shape>
            </v:group>
            <v:group style="position:absolute;left:10057;top:436;width:12;height:2" coordorigin="10057,436" coordsize="12,2">
              <v:shape style="position:absolute;left:10057;top:436;width:12;height:2" coordorigin="10057,436" coordsize="12,0" path="m10057,436l10069,436e" filled="false" stroked="true" strokeweight=".6pt" strokecolor="#000008">
                <v:path arrowok="t"/>
              </v:shape>
            </v:group>
            <v:group style="position:absolute;left:10076;top:436;width:12;height:2" coordorigin="10076,436" coordsize="12,2">
              <v:shape style="position:absolute;left:10076;top:436;width:12;height:2" coordorigin="10076,436" coordsize="12,0" path="m10076,436l10088,436e" filled="false" stroked="true" strokeweight=".6pt" strokecolor="#000008">
                <v:path arrowok="t"/>
              </v:shape>
            </v:group>
            <v:group style="position:absolute;left:10096;top:436;width:12;height:2" coordorigin="10096,436" coordsize="12,2">
              <v:shape style="position:absolute;left:10096;top:436;width:12;height:2" coordorigin="10096,436" coordsize="12,0" path="m10096,436l10108,436e" filled="false" stroked="true" strokeweight=".6pt" strokecolor="#000008">
                <v:path arrowok="t"/>
              </v:shape>
            </v:group>
            <v:group style="position:absolute;left:10115;top:436;width:12;height:2" coordorigin="10115,436" coordsize="12,2">
              <v:shape style="position:absolute;left:10115;top:436;width:12;height:2" coordorigin="10115,436" coordsize="12,0" path="m10115,436l10127,436e" filled="false" stroked="true" strokeweight=".6pt" strokecolor="#000008">
                <v:path arrowok="t"/>
              </v:shape>
            </v:group>
            <v:group style="position:absolute;left:10134;top:436;width:12;height:2" coordorigin="10134,436" coordsize="12,2">
              <v:shape style="position:absolute;left:10134;top:436;width:12;height:2" coordorigin="10134,436" coordsize="12,0" path="m10134,436l10146,436e" filled="false" stroked="true" strokeweight=".6pt" strokecolor="#000008">
                <v:path arrowok="t"/>
              </v:shape>
            </v:group>
            <v:group style="position:absolute;left:10153;top:436;width:12;height:2" coordorigin="10153,436" coordsize="12,2">
              <v:shape style="position:absolute;left:10153;top:436;width:12;height:2" coordorigin="10153,436" coordsize="12,0" path="m10153,436l10165,436e" filled="false" stroked="true" strokeweight=".6pt" strokecolor="#000008">
                <v:path arrowok="t"/>
              </v:shape>
            </v:group>
            <v:group style="position:absolute;left:10172;top:436;width:12;height:2" coordorigin="10172,436" coordsize="12,2">
              <v:shape style="position:absolute;left:10172;top:436;width:12;height:2" coordorigin="10172,436" coordsize="12,0" path="m10172,436l10184,436e" filled="false" stroked="true" strokeweight=".6pt" strokecolor="#000008">
                <v:path arrowok="t"/>
              </v:shape>
            </v:group>
            <v:group style="position:absolute;left:10192;top:436;width:12;height:2" coordorigin="10192,436" coordsize="12,2">
              <v:shape style="position:absolute;left:10192;top:436;width:12;height:2" coordorigin="10192,436" coordsize="12,0" path="m10192,436l10204,436e" filled="false" stroked="true" strokeweight=".6pt" strokecolor="#000008">
                <v:path arrowok="t"/>
              </v:shape>
            </v:group>
            <v:group style="position:absolute;left:10211;top:436;width:12;height:2" coordorigin="10211,436" coordsize="12,2">
              <v:shape style="position:absolute;left:10211;top:436;width:12;height:2" coordorigin="10211,436" coordsize="12,0" path="m10211,436l10223,436e" filled="false" stroked="true" strokeweight=".6pt" strokecolor="#000008">
                <v:path arrowok="t"/>
              </v:shape>
            </v:group>
            <v:group style="position:absolute;left:10230;top:436;width:12;height:2" coordorigin="10230,436" coordsize="12,2">
              <v:shape style="position:absolute;left:10230;top:436;width:12;height:2" coordorigin="10230,436" coordsize="12,0" path="m10230,436l10242,436e" filled="false" stroked="true" strokeweight=".6pt" strokecolor="#000008">
                <v:path arrowok="t"/>
              </v:shape>
            </v:group>
            <v:group style="position:absolute;left:10249;top:436;width:12;height:2" coordorigin="10249,436" coordsize="12,2">
              <v:shape style="position:absolute;left:10249;top:436;width:12;height:2" coordorigin="10249,436" coordsize="12,0" path="m10249,436l10261,436e" filled="false" stroked="true" strokeweight=".6pt" strokecolor="#000008">
                <v:path arrowok="t"/>
              </v:shape>
            </v:group>
            <v:group style="position:absolute;left:10268;top:436;width:12;height:2" coordorigin="10268,436" coordsize="12,2">
              <v:shape style="position:absolute;left:10268;top:436;width:12;height:2" coordorigin="10268,436" coordsize="12,0" path="m10268,436l10280,436e" filled="false" stroked="true" strokeweight=".6pt" strokecolor="#000008">
                <v:path arrowok="t"/>
              </v:shape>
            </v:group>
            <v:group style="position:absolute;left:10288;top:436;width:12;height:2" coordorigin="10288,436" coordsize="12,2">
              <v:shape style="position:absolute;left:10288;top:436;width:12;height:2" coordorigin="10288,436" coordsize="12,0" path="m10288,436l10300,436e" filled="false" stroked="true" strokeweight=".6pt" strokecolor="#000008">
                <v:path arrowok="t"/>
              </v:shape>
            </v:group>
            <v:group style="position:absolute;left:10307;top:436;width:12;height:2" coordorigin="10307,436" coordsize="12,2">
              <v:shape style="position:absolute;left:10307;top:436;width:12;height:2" coordorigin="10307,436" coordsize="12,0" path="m10307,436l10319,436e" filled="false" stroked="true" strokeweight=".6pt" strokecolor="#000008">
                <v:path arrowok="t"/>
              </v:shape>
            </v:group>
            <v:group style="position:absolute;left:10326;top:436;width:12;height:2" coordorigin="10326,436" coordsize="12,2">
              <v:shape style="position:absolute;left:10326;top:436;width:12;height:2" coordorigin="10326,436" coordsize="12,0" path="m10326,436l10338,436e" filled="false" stroked="true" strokeweight=".6pt" strokecolor="#000008">
                <v:path arrowok="t"/>
              </v:shape>
            </v:group>
            <v:group style="position:absolute;left:10345;top:436;width:12;height:2" coordorigin="10345,436" coordsize="12,2">
              <v:shape style="position:absolute;left:10345;top:436;width:12;height:2" coordorigin="10345,436" coordsize="12,0" path="m10345,436l10357,436e" filled="false" stroked="true" strokeweight=".6pt" strokecolor="#000008">
                <v:path arrowok="t"/>
              </v:shape>
            </v:group>
            <v:group style="position:absolute;left:10364;top:436;width:12;height:2" coordorigin="10364,436" coordsize="12,2">
              <v:shape style="position:absolute;left:10364;top:436;width:12;height:2" coordorigin="10364,436" coordsize="12,0" path="m10364,436l10376,436e" filled="false" stroked="true" strokeweight=".6pt" strokecolor="#000008">
                <v:path arrowok="t"/>
              </v:shape>
            </v:group>
            <v:group style="position:absolute;left:10384;top:436;width:12;height:2" coordorigin="10384,436" coordsize="12,2">
              <v:shape style="position:absolute;left:10384;top:436;width:12;height:2" coordorigin="10384,436" coordsize="12,0" path="m10384,436l10396,436e" filled="false" stroked="true" strokeweight=".6pt" strokecolor="#000008">
                <v:path arrowok="t"/>
              </v:shape>
            </v:group>
            <v:group style="position:absolute;left:10403;top:436;width:12;height:2" coordorigin="10403,436" coordsize="12,2">
              <v:shape style="position:absolute;left:10403;top:436;width:12;height:2" coordorigin="10403,436" coordsize="12,0" path="m10403,436l10415,436e" filled="false" stroked="true" strokeweight=".6pt" strokecolor="#000008">
                <v:path arrowok="t"/>
              </v:shape>
            </v:group>
            <v:group style="position:absolute;left:10422;top:436;width:12;height:2" coordorigin="10422,436" coordsize="12,2">
              <v:shape style="position:absolute;left:10422;top:436;width:12;height:2" coordorigin="10422,436" coordsize="12,0" path="m10422,436l10434,436e" filled="false" stroked="true" strokeweight=".6pt" strokecolor="#000008">
                <v:path arrowok="t"/>
              </v:shape>
            </v:group>
            <v:group style="position:absolute;left:10441;top:436;width:12;height:2" coordorigin="10441,436" coordsize="12,2">
              <v:shape style="position:absolute;left:10441;top:436;width:12;height:2" coordorigin="10441,436" coordsize="12,0" path="m10441,436l10453,436e" filled="false" stroked="true" strokeweight=".6pt" strokecolor="#000008">
                <v:path arrowok="t"/>
              </v:shape>
            </v:group>
            <v:group style="position:absolute;left:10460;top:436;width:12;height:2" coordorigin="10460,436" coordsize="12,2">
              <v:shape style="position:absolute;left:10460;top:436;width:12;height:2" coordorigin="10460,436" coordsize="12,0" path="m10460,436l10472,436e" filled="false" stroked="true" strokeweight=".6pt" strokecolor="#000008">
                <v:path arrowok="t"/>
              </v:shape>
            </v:group>
            <v:group style="position:absolute;left:10480;top:436;width:12;height:2" coordorigin="10480,436" coordsize="12,2">
              <v:shape style="position:absolute;left:10480;top:436;width:12;height:2" coordorigin="10480,436" coordsize="12,0" path="m10480,436l10492,436e" filled="false" stroked="true" strokeweight=".6pt" strokecolor="#000008">
                <v:path arrowok="t"/>
              </v:shape>
            </v:group>
            <v:group style="position:absolute;left:10499;top:436;width:12;height:2" coordorigin="10499,436" coordsize="12,2">
              <v:shape style="position:absolute;left:10499;top:436;width:12;height:2" coordorigin="10499,436" coordsize="12,0" path="m10499,436l10511,436e" filled="false" stroked="true" strokeweight=".6pt" strokecolor="#000008">
                <v:path arrowok="t"/>
              </v:shape>
            </v:group>
            <v:group style="position:absolute;left:10518;top:436;width:12;height:2" coordorigin="10518,436" coordsize="12,2">
              <v:shape style="position:absolute;left:10518;top:436;width:12;height:2" coordorigin="10518,436" coordsize="12,0" path="m10518,436l10530,436e" filled="false" stroked="true" strokeweight=".6pt" strokecolor="#000008">
                <v:path arrowok="t"/>
              </v:shape>
            </v:group>
            <v:group style="position:absolute;left:10537;top:436;width:12;height:2" coordorigin="10537,436" coordsize="12,2">
              <v:shape style="position:absolute;left:10537;top:436;width:12;height:2" coordorigin="10537,436" coordsize="12,0" path="m10537,436l10549,436e" filled="false" stroked="true" strokeweight=".6pt" strokecolor="#000008">
                <v:path arrowok="t"/>
              </v:shape>
            </v:group>
            <v:group style="position:absolute;left:10556;top:436;width:12;height:2" coordorigin="10556,436" coordsize="12,2">
              <v:shape style="position:absolute;left:10556;top:436;width:12;height:2" coordorigin="10556,436" coordsize="12,0" path="m10556,436l10568,436e" filled="false" stroked="true" strokeweight=".6pt" strokecolor="#000008">
                <v:path arrowok="t"/>
              </v:shape>
            </v:group>
            <v:group style="position:absolute;left:10576;top:436;width:12;height:2" coordorigin="10576,436" coordsize="12,2">
              <v:shape style="position:absolute;left:10576;top:436;width:12;height:2" coordorigin="10576,436" coordsize="12,0" path="m10576,436l10588,436e" filled="false" stroked="true" strokeweight=".6pt" strokecolor="#000008">
                <v:path arrowok="t"/>
              </v:shape>
            </v:group>
            <v:group style="position:absolute;left:10595;top:436;width:12;height:2" coordorigin="10595,436" coordsize="12,2">
              <v:shape style="position:absolute;left:10595;top:436;width:12;height:2" coordorigin="10595,436" coordsize="12,0" path="m10595,436l10607,436e" filled="false" stroked="true" strokeweight=".6pt" strokecolor="#000008">
                <v:path arrowok="t"/>
              </v:shape>
            </v:group>
            <v:group style="position:absolute;left:10614;top:436;width:12;height:2" coordorigin="10614,436" coordsize="12,2">
              <v:shape style="position:absolute;left:10614;top:436;width:12;height:2" coordorigin="10614,436" coordsize="12,0" path="m10614,436l10626,436e" filled="false" stroked="true" strokeweight=".6pt" strokecolor="#000008">
                <v:path arrowok="t"/>
              </v:shape>
            </v:group>
            <v:group style="position:absolute;left:10633;top:436;width:12;height:2" coordorigin="10633,436" coordsize="12,2">
              <v:shape style="position:absolute;left:10633;top:436;width:12;height:2" coordorigin="10633,436" coordsize="12,0" path="m10633,436l10645,436e" filled="false" stroked="true" strokeweight=".6pt" strokecolor="#000008">
                <v:path arrowok="t"/>
              </v:shape>
            </v:group>
            <v:group style="position:absolute;left:10652;top:436;width:12;height:2" coordorigin="10652,436" coordsize="12,2">
              <v:shape style="position:absolute;left:10652;top:436;width:12;height:2" coordorigin="10652,436" coordsize="12,0" path="m10652,436l10664,436e" filled="false" stroked="true" strokeweight=".6pt" strokecolor="#000008">
                <v:path arrowok="t"/>
              </v:shape>
            </v:group>
            <v:group style="position:absolute;left:10672;top:436;width:12;height:2" coordorigin="10672,436" coordsize="12,2">
              <v:shape style="position:absolute;left:10672;top:436;width:12;height:2" coordorigin="10672,436" coordsize="12,0" path="m10672,436l10684,436e" filled="false" stroked="true" strokeweight=".6pt" strokecolor="#000008">
                <v:path arrowok="t"/>
              </v:shape>
            </v:group>
            <v:group style="position:absolute;left:10691;top:436;width:12;height:2" coordorigin="10691,436" coordsize="12,2">
              <v:shape style="position:absolute;left:10691;top:436;width:12;height:2" coordorigin="10691,436" coordsize="12,0" path="m10691,436l10703,436e" filled="false" stroked="true" strokeweight=".6pt" strokecolor="#000008">
                <v:path arrowok="t"/>
              </v:shape>
            </v:group>
            <v:group style="position:absolute;left:10710;top:436;width:12;height:2" coordorigin="10710,436" coordsize="12,2">
              <v:shape style="position:absolute;left:10710;top:436;width:12;height:2" coordorigin="10710,436" coordsize="12,0" path="m10710,436l10722,436e" filled="false" stroked="true" strokeweight=".6pt" strokecolor="#000008">
                <v:path arrowok="t"/>
              </v:shape>
            </v:group>
            <v:group style="position:absolute;left:10729;top:436;width:12;height:2" coordorigin="10729,436" coordsize="12,2">
              <v:shape style="position:absolute;left:10729;top:436;width:12;height:2" coordorigin="10729,436" coordsize="12,0" path="m10729,436l10741,436e" filled="false" stroked="true" strokeweight=".6pt" strokecolor="#000008">
                <v:path arrowok="t"/>
              </v:shape>
            </v:group>
            <v:group style="position:absolute;left:10748;top:436;width:12;height:2" coordorigin="10748,436" coordsize="12,2">
              <v:shape style="position:absolute;left:10748;top:436;width:12;height:2" coordorigin="10748,436" coordsize="12,0" path="m10748,436l10760,436e" filled="false" stroked="true" strokeweight=".6pt" strokecolor="#000008">
                <v:path arrowok="t"/>
              </v:shape>
            </v:group>
            <v:group style="position:absolute;left:10768;top:436;width:12;height:2" coordorigin="10768,436" coordsize="12,2">
              <v:shape style="position:absolute;left:10768;top:436;width:12;height:2" coordorigin="10768,436" coordsize="12,0" path="m10768,436l10780,436e" filled="false" stroked="true" strokeweight=".6pt" strokecolor="#000008">
                <v:path arrowok="t"/>
              </v:shape>
            </v:group>
            <v:group style="position:absolute;left:10787;top:436;width:12;height:2" coordorigin="10787,436" coordsize="12,2">
              <v:shape style="position:absolute;left:10787;top:436;width:12;height:2" coordorigin="10787,436" coordsize="12,0" path="m10787,436l10799,436e" filled="false" stroked="true" strokeweight=".6pt" strokecolor="#000008">
                <v:path arrowok="t"/>
              </v:shape>
            </v:group>
            <v:group style="position:absolute;left:10806;top:436;width:12;height:2" coordorigin="10806,436" coordsize="12,2">
              <v:shape style="position:absolute;left:10806;top:436;width:12;height:2" coordorigin="10806,436" coordsize="12,0" path="m10806,436l10818,436e" filled="false" stroked="true" strokeweight=".6pt" strokecolor="#000008">
                <v:path arrowok="t"/>
              </v:shape>
            </v:group>
            <v:group style="position:absolute;left:10825;top:436;width:12;height:2" coordorigin="10825,436" coordsize="12,2">
              <v:shape style="position:absolute;left:10825;top:436;width:12;height:2" coordorigin="10825,436" coordsize="12,0" path="m10825,436l10837,436e" filled="false" stroked="true" strokeweight=".6pt" strokecolor="#000008">
                <v:path arrowok="t"/>
              </v:shape>
            </v:group>
            <v:group style="position:absolute;left:10844;top:436;width:12;height:2" coordorigin="10844,436" coordsize="12,2">
              <v:shape style="position:absolute;left:10844;top:436;width:12;height:2" coordorigin="10844,436" coordsize="12,0" path="m10844,436l10856,436e" filled="false" stroked="true" strokeweight=".6pt" strokecolor="#000008">
                <v:path arrowok="t"/>
              </v:shape>
            </v:group>
            <v:group style="position:absolute;left:10864;top:436;width:12;height:2" coordorigin="10864,436" coordsize="12,2">
              <v:shape style="position:absolute;left:10864;top:436;width:12;height:2" coordorigin="10864,436" coordsize="12,0" path="m10864,436l10876,436e" filled="false" stroked="true" strokeweight=".6pt" strokecolor="#000008">
                <v:path arrowok="t"/>
              </v:shape>
            </v:group>
            <v:group style="position:absolute;left:10883;top:436;width:12;height:2" coordorigin="10883,436" coordsize="12,2">
              <v:shape style="position:absolute;left:10883;top:436;width:12;height:2" coordorigin="10883,436" coordsize="12,0" path="m10883,436l10895,436e" filled="false" stroked="true" strokeweight=".6pt" strokecolor="#000008">
                <v:path arrowok="t"/>
              </v:shape>
            </v:group>
            <v:group style="position:absolute;left:10902;top:436;width:12;height:2" coordorigin="10902,436" coordsize="12,2">
              <v:shape style="position:absolute;left:10902;top:436;width:12;height:2" coordorigin="10902,436" coordsize="12,0" path="m10902,436l10914,436e" filled="false" stroked="true" strokeweight=".6pt" strokecolor="#000008">
                <v:path arrowok="t"/>
              </v:shape>
            </v:group>
            <v:group style="position:absolute;left:10921;top:436;width:12;height:2" coordorigin="10921,436" coordsize="12,2">
              <v:shape style="position:absolute;left:10921;top:436;width:12;height:2" coordorigin="10921,436" coordsize="12,0" path="m10921,436l10933,436e" filled="false" stroked="true" strokeweight=".6pt" strokecolor="#000008">
                <v:path arrowok="t"/>
              </v:shape>
            </v:group>
            <v:group style="position:absolute;left:10940;top:436;width:12;height:2" coordorigin="10940,436" coordsize="12,2">
              <v:shape style="position:absolute;left:10940;top:436;width:12;height:2" coordorigin="10940,436" coordsize="12,0" path="m10940,436l10952,436e" filled="false" stroked="true" strokeweight=".6pt" strokecolor="#000008">
                <v:path arrowok="t"/>
              </v:shape>
            </v:group>
            <v:group style="position:absolute;left:10960;top:436;width:12;height:2" coordorigin="10960,436" coordsize="12,2">
              <v:shape style="position:absolute;left:10960;top:436;width:12;height:2" coordorigin="10960,436" coordsize="12,0" path="m10960,436l10972,436e" filled="false" stroked="true" strokeweight=".6pt" strokecolor="#000008">
                <v:path arrowok="t"/>
              </v:shape>
            </v:group>
            <w10:wrap type="none"/>
          </v:group>
        </w:pict>
      </w:r>
      <w:r>
        <w:rPr>
          <w:rFonts w:ascii="宋体" w:hAnsi="宋体" w:cs="宋体" w:eastAsia="宋体" w:hint="default"/>
          <w:sz w:val="20"/>
          <w:szCs w:val="20"/>
        </w:rPr>
        <w:t>减：所得税费用</w:t>
      </w:r>
      <w:r>
        <w:rPr>
          <w:rFonts w:ascii="宋体" w:hAnsi="宋体" w:cs="宋体" w:eastAsia="宋体" w:hint="default"/>
          <w:w w:val="99"/>
          <w:sz w:val="20"/>
          <w:szCs w:val="20"/>
        </w:rPr>
        <w:t> </w:t>
      </w:r>
      <w:r>
        <w:rPr>
          <w:rFonts w:ascii="Microsoft JhengHei" w:hAnsi="Microsoft JhengHei" w:cs="Microsoft JhengHei" w:eastAsia="Microsoft JhengHei" w:hint="default"/>
          <w:b/>
          <w:bCs/>
          <w:sz w:val="20"/>
          <w:szCs w:val="20"/>
        </w:rPr>
        <w:t>四、净利润（净亏损以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p>
      <w:pPr>
        <w:spacing w:line="422" w:lineRule="auto" w:before="73"/>
        <w:ind w:left="643" w:right="6803" w:firstLine="0"/>
        <w:jc w:val="left"/>
        <w:rPr>
          <w:rFonts w:ascii="宋体" w:hAnsi="宋体" w:cs="宋体" w:eastAsia="宋体" w:hint="default"/>
          <w:sz w:val="20"/>
          <w:szCs w:val="20"/>
        </w:rPr>
      </w:pPr>
      <w:r>
        <w:rPr/>
        <w:pict>
          <v:group style="position:absolute;margin-left:371.279999pt;margin-top:46.109673pt;width:74.05pt;height:.6pt;mso-position-horizontal-relative:page;mso-position-vertical-relative:paragraph;z-index:3064" coordorigin="7426,922" coordsize="1481,12">
            <v:group style="position:absolute;left:7432;top:928;width:12;height:2" coordorigin="7432,928" coordsize="12,2">
              <v:shape style="position:absolute;left:7432;top:928;width:12;height:2" coordorigin="7432,928" coordsize="12,0" path="m7432,928l7444,928e" filled="false" stroked="true" strokeweight=".6pt" strokecolor="#000008">
                <v:path arrowok="t"/>
              </v:shape>
            </v:group>
            <v:group style="position:absolute;left:7451;top:928;width:12;height:2" coordorigin="7451,928" coordsize="12,2">
              <v:shape style="position:absolute;left:7451;top:928;width:12;height:2" coordorigin="7451,928" coordsize="12,0" path="m7451,928l7463,928e" filled="false" stroked="true" strokeweight=".6pt" strokecolor="#000008">
                <v:path arrowok="t"/>
              </v:shape>
            </v:group>
            <v:group style="position:absolute;left:7470;top:928;width:12;height:2" coordorigin="7470,928" coordsize="12,2">
              <v:shape style="position:absolute;left:7470;top:928;width:12;height:2" coordorigin="7470,928" coordsize="12,0" path="m7470,928l7482,928e" filled="false" stroked="true" strokeweight=".6pt" strokecolor="#000008">
                <v:path arrowok="t"/>
              </v:shape>
            </v:group>
            <v:group style="position:absolute;left:7489;top:928;width:12;height:2" coordorigin="7489,928" coordsize="12,2">
              <v:shape style="position:absolute;left:7489;top:928;width:12;height:2" coordorigin="7489,928" coordsize="12,0" path="m7489,928l7501,928e" filled="false" stroked="true" strokeweight=".6pt" strokecolor="#000008">
                <v:path arrowok="t"/>
              </v:shape>
            </v:group>
            <v:group style="position:absolute;left:7508;top:928;width:12;height:2" coordorigin="7508,928" coordsize="12,2">
              <v:shape style="position:absolute;left:7508;top:928;width:12;height:2" coordorigin="7508,928" coordsize="12,0" path="m7508,928l7520,928e" filled="false" stroked="true" strokeweight=".6pt" strokecolor="#000008">
                <v:path arrowok="t"/>
              </v:shape>
            </v:group>
            <v:group style="position:absolute;left:7528;top:928;width:12;height:2" coordorigin="7528,928" coordsize="12,2">
              <v:shape style="position:absolute;left:7528;top:928;width:12;height:2" coordorigin="7528,928" coordsize="12,0" path="m7528,928l7540,928e" filled="false" stroked="true" strokeweight=".6pt" strokecolor="#000008">
                <v:path arrowok="t"/>
              </v:shape>
            </v:group>
            <v:group style="position:absolute;left:7547;top:928;width:12;height:2" coordorigin="7547,928" coordsize="12,2">
              <v:shape style="position:absolute;left:7547;top:928;width:12;height:2" coordorigin="7547,928" coordsize="12,0" path="m7547,928l7559,928e" filled="false" stroked="true" strokeweight=".6pt" strokecolor="#000008">
                <v:path arrowok="t"/>
              </v:shape>
            </v:group>
            <v:group style="position:absolute;left:7566;top:928;width:12;height:2" coordorigin="7566,928" coordsize="12,2">
              <v:shape style="position:absolute;left:7566;top:928;width:12;height:2" coordorigin="7566,928" coordsize="12,0" path="m7566,928l7578,928e" filled="false" stroked="true" strokeweight=".6pt" strokecolor="#000008">
                <v:path arrowok="t"/>
              </v:shape>
            </v:group>
            <v:group style="position:absolute;left:7585;top:928;width:12;height:2" coordorigin="7585,928" coordsize="12,2">
              <v:shape style="position:absolute;left:7585;top:928;width:12;height:2" coordorigin="7585,928" coordsize="12,0" path="m7585,928l7597,928e" filled="false" stroked="true" strokeweight=".6pt" strokecolor="#000008">
                <v:path arrowok="t"/>
              </v:shape>
            </v:group>
            <v:group style="position:absolute;left:7604;top:928;width:12;height:2" coordorigin="7604,928" coordsize="12,2">
              <v:shape style="position:absolute;left:7604;top:928;width:12;height:2" coordorigin="7604,928" coordsize="12,0" path="m7604,928l7616,928e" filled="false" stroked="true" strokeweight=".6pt" strokecolor="#000008">
                <v:path arrowok="t"/>
              </v:shape>
            </v:group>
            <v:group style="position:absolute;left:7624;top:928;width:12;height:2" coordorigin="7624,928" coordsize="12,2">
              <v:shape style="position:absolute;left:7624;top:928;width:12;height:2" coordorigin="7624,928" coordsize="12,0" path="m7624,928l7636,928e" filled="false" stroked="true" strokeweight=".6pt" strokecolor="#000008">
                <v:path arrowok="t"/>
              </v:shape>
            </v:group>
            <v:group style="position:absolute;left:7643;top:928;width:12;height:2" coordorigin="7643,928" coordsize="12,2">
              <v:shape style="position:absolute;left:7643;top:928;width:12;height:2" coordorigin="7643,928" coordsize="12,0" path="m7643,928l7655,928e" filled="false" stroked="true" strokeweight=".6pt" strokecolor="#000008">
                <v:path arrowok="t"/>
              </v:shape>
            </v:group>
            <v:group style="position:absolute;left:7662;top:928;width:12;height:2" coordorigin="7662,928" coordsize="12,2">
              <v:shape style="position:absolute;left:7662;top:928;width:12;height:2" coordorigin="7662,928" coordsize="12,0" path="m7662,928l7674,928e" filled="false" stroked="true" strokeweight=".6pt" strokecolor="#000008">
                <v:path arrowok="t"/>
              </v:shape>
            </v:group>
            <v:group style="position:absolute;left:7681;top:928;width:12;height:2" coordorigin="7681,928" coordsize="12,2">
              <v:shape style="position:absolute;left:7681;top:928;width:12;height:2" coordorigin="7681,928" coordsize="12,0" path="m7681,928l7693,928e" filled="false" stroked="true" strokeweight=".6pt" strokecolor="#000008">
                <v:path arrowok="t"/>
              </v:shape>
            </v:group>
            <v:group style="position:absolute;left:7700;top:928;width:12;height:2" coordorigin="7700,928" coordsize="12,2">
              <v:shape style="position:absolute;left:7700;top:928;width:12;height:2" coordorigin="7700,928" coordsize="12,0" path="m7700,928l7712,928e" filled="false" stroked="true" strokeweight=".6pt" strokecolor="#000008">
                <v:path arrowok="t"/>
              </v:shape>
            </v:group>
            <v:group style="position:absolute;left:7720;top:928;width:12;height:2" coordorigin="7720,928" coordsize="12,2">
              <v:shape style="position:absolute;left:7720;top:928;width:12;height:2" coordorigin="7720,928" coordsize="12,0" path="m7720,928l7732,928e" filled="false" stroked="true" strokeweight=".6pt" strokecolor="#000008">
                <v:path arrowok="t"/>
              </v:shape>
            </v:group>
            <v:group style="position:absolute;left:7739;top:928;width:12;height:2" coordorigin="7739,928" coordsize="12,2">
              <v:shape style="position:absolute;left:7739;top:928;width:12;height:2" coordorigin="7739,928" coordsize="12,0" path="m7739,928l7751,928e" filled="false" stroked="true" strokeweight=".6pt" strokecolor="#000008">
                <v:path arrowok="t"/>
              </v:shape>
            </v:group>
            <v:group style="position:absolute;left:7758;top:928;width:12;height:2" coordorigin="7758,928" coordsize="12,2">
              <v:shape style="position:absolute;left:7758;top:928;width:12;height:2" coordorigin="7758,928" coordsize="12,0" path="m7758,928l7770,928e" filled="false" stroked="true" strokeweight=".6pt" strokecolor="#000008">
                <v:path arrowok="t"/>
              </v:shape>
            </v:group>
            <v:group style="position:absolute;left:7777;top:928;width:12;height:2" coordorigin="7777,928" coordsize="12,2">
              <v:shape style="position:absolute;left:7777;top:928;width:12;height:2" coordorigin="7777,928" coordsize="12,0" path="m7777,928l7789,928e" filled="false" stroked="true" strokeweight=".6pt" strokecolor="#000008">
                <v:path arrowok="t"/>
              </v:shape>
            </v:group>
            <v:group style="position:absolute;left:7796;top:928;width:12;height:2" coordorigin="7796,928" coordsize="12,2">
              <v:shape style="position:absolute;left:7796;top:928;width:12;height:2" coordorigin="7796,928" coordsize="12,0" path="m7796,928l7808,928e" filled="false" stroked="true" strokeweight=".6pt" strokecolor="#000008">
                <v:path arrowok="t"/>
              </v:shape>
            </v:group>
            <v:group style="position:absolute;left:7816;top:928;width:12;height:2" coordorigin="7816,928" coordsize="12,2">
              <v:shape style="position:absolute;left:7816;top:928;width:12;height:2" coordorigin="7816,928" coordsize="12,0" path="m7816,928l7828,928e" filled="false" stroked="true" strokeweight=".6pt" strokecolor="#000008">
                <v:path arrowok="t"/>
              </v:shape>
            </v:group>
            <v:group style="position:absolute;left:7835;top:928;width:12;height:2" coordorigin="7835,928" coordsize="12,2">
              <v:shape style="position:absolute;left:7835;top:928;width:12;height:2" coordorigin="7835,928" coordsize="12,0" path="m7835,928l7847,928e" filled="false" stroked="true" strokeweight=".6pt" strokecolor="#000008">
                <v:path arrowok="t"/>
              </v:shape>
            </v:group>
            <v:group style="position:absolute;left:7854;top:928;width:12;height:2" coordorigin="7854,928" coordsize="12,2">
              <v:shape style="position:absolute;left:7854;top:928;width:12;height:2" coordorigin="7854,928" coordsize="12,0" path="m7854,928l7866,928e" filled="false" stroked="true" strokeweight=".6pt" strokecolor="#000008">
                <v:path arrowok="t"/>
              </v:shape>
            </v:group>
            <v:group style="position:absolute;left:7873;top:928;width:12;height:2" coordorigin="7873,928" coordsize="12,2">
              <v:shape style="position:absolute;left:7873;top:928;width:12;height:2" coordorigin="7873,928" coordsize="12,0" path="m7873,928l7885,928e" filled="false" stroked="true" strokeweight=".6pt" strokecolor="#000008">
                <v:path arrowok="t"/>
              </v:shape>
            </v:group>
            <v:group style="position:absolute;left:7892;top:928;width:12;height:2" coordorigin="7892,928" coordsize="12,2">
              <v:shape style="position:absolute;left:7892;top:928;width:12;height:2" coordorigin="7892,928" coordsize="12,0" path="m7892,928l7904,928e" filled="false" stroked="true" strokeweight=".6pt" strokecolor="#000008">
                <v:path arrowok="t"/>
              </v:shape>
            </v:group>
            <v:group style="position:absolute;left:7912;top:928;width:12;height:2" coordorigin="7912,928" coordsize="12,2">
              <v:shape style="position:absolute;left:7912;top:928;width:12;height:2" coordorigin="7912,928" coordsize="12,0" path="m7912,928l7924,928e" filled="false" stroked="true" strokeweight=".6pt" strokecolor="#000008">
                <v:path arrowok="t"/>
              </v:shape>
            </v:group>
            <v:group style="position:absolute;left:7931;top:928;width:12;height:2" coordorigin="7931,928" coordsize="12,2">
              <v:shape style="position:absolute;left:7931;top:928;width:12;height:2" coordorigin="7931,928" coordsize="12,0" path="m7931,928l7943,928e" filled="false" stroked="true" strokeweight=".6pt" strokecolor="#000008">
                <v:path arrowok="t"/>
              </v:shape>
            </v:group>
            <v:group style="position:absolute;left:7950;top:928;width:12;height:2" coordorigin="7950,928" coordsize="12,2">
              <v:shape style="position:absolute;left:7950;top:928;width:12;height:2" coordorigin="7950,928" coordsize="12,0" path="m7950,928l7962,928e" filled="false" stroked="true" strokeweight=".6pt" strokecolor="#000008">
                <v:path arrowok="t"/>
              </v:shape>
            </v:group>
            <v:group style="position:absolute;left:7969;top:928;width:12;height:2" coordorigin="7969,928" coordsize="12,2">
              <v:shape style="position:absolute;left:7969;top:928;width:12;height:2" coordorigin="7969,928" coordsize="12,0" path="m7969,928l7981,928e" filled="false" stroked="true" strokeweight=".6pt" strokecolor="#000008">
                <v:path arrowok="t"/>
              </v:shape>
            </v:group>
            <v:group style="position:absolute;left:7988;top:928;width:12;height:2" coordorigin="7988,928" coordsize="12,2">
              <v:shape style="position:absolute;left:7988;top:928;width:12;height:2" coordorigin="7988,928" coordsize="12,0" path="m7988,928l8000,928e" filled="false" stroked="true" strokeweight=".6pt" strokecolor="#000008">
                <v:path arrowok="t"/>
              </v:shape>
            </v:group>
            <v:group style="position:absolute;left:8008;top:928;width:12;height:2" coordorigin="8008,928" coordsize="12,2">
              <v:shape style="position:absolute;left:8008;top:928;width:12;height:2" coordorigin="8008,928" coordsize="12,0" path="m8008,928l8020,928e" filled="false" stroked="true" strokeweight=".6pt" strokecolor="#000008">
                <v:path arrowok="t"/>
              </v:shape>
            </v:group>
            <v:group style="position:absolute;left:8027;top:928;width:12;height:2" coordorigin="8027,928" coordsize="12,2">
              <v:shape style="position:absolute;left:8027;top:928;width:12;height:2" coordorigin="8027,928" coordsize="12,0" path="m8027,928l8039,928e" filled="false" stroked="true" strokeweight=".6pt" strokecolor="#000008">
                <v:path arrowok="t"/>
              </v:shape>
            </v:group>
            <v:group style="position:absolute;left:8046;top:928;width:12;height:2" coordorigin="8046,928" coordsize="12,2">
              <v:shape style="position:absolute;left:8046;top:928;width:12;height:2" coordorigin="8046,928" coordsize="12,0" path="m8046,928l8058,928e" filled="false" stroked="true" strokeweight=".6pt" strokecolor="#000008">
                <v:path arrowok="t"/>
              </v:shape>
            </v:group>
            <v:group style="position:absolute;left:8065;top:928;width:12;height:2" coordorigin="8065,928" coordsize="12,2">
              <v:shape style="position:absolute;left:8065;top:928;width:12;height:2" coordorigin="8065,928" coordsize="12,0" path="m8065,928l8077,928e" filled="false" stroked="true" strokeweight=".6pt" strokecolor="#000008">
                <v:path arrowok="t"/>
              </v:shape>
            </v:group>
            <v:group style="position:absolute;left:8084;top:928;width:12;height:2" coordorigin="8084,928" coordsize="12,2">
              <v:shape style="position:absolute;left:8084;top:928;width:12;height:2" coordorigin="8084,928" coordsize="12,0" path="m8084,928l8096,928e" filled="false" stroked="true" strokeweight=".6pt" strokecolor="#000008">
                <v:path arrowok="t"/>
              </v:shape>
            </v:group>
            <v:group style="position:absolute;left:8104;top:928;width:12;height:2" coordorigin="8104,928" coordsize="12,2">
              <v:shape style="position:absolute;left:8104;top:928;width:12;height:2" coordorigin="8104,928" coordsize="12,0" path="m8104,928l8116,928e" filled="false" stroked="true" strokeweight=".6pt" strokecolor="#000008">
                <v:path arrowok="t"/>
              </v:shape>
            </v:group>
            <v:group style="position:absolute;left:8123;top:928;width:12;height:2" coordorigin="8123,928" coordsize="12,2">
              <v:shape style="position:absolute;left:8123;top:928;width:12;height:2" coordorigin="8123,928" coordsize="12,0" path="m8123,928l8135,928e" filled="false" stroked="true" strokeweight=".6pt" strokecolor="#000008">
                <v:path arrowok="t"/>
              </v:shape>
            </v:group>
            <v:group style="position:absolute;left:8142;top:928;width:12;height:2" coordorigin="8142,928" coordsize="12,2">
              <v:shape style="position:absolute;left:8142;top:928;width:12;height:2" coordorigin="8142,928" coordsize="12,0" path="m8142,928l8154,928e" filled="false" stroked="true" strokeweight=".6pt" strokecolor="#000008">
                <v:path arrowok="t"/>
              </v:shape>
            </v:group>
            <v:group style="position:absolute;left:8161;top:928;width:12;height:2" coordorigin="8161,928" coordsize="12,2">
              <v:shape style="position:absolute;left:8161;top:928;width:12;height:2" coordorigin="8161,928" coordsize="12,0" path="m8161,928l8173,928e" filled="false" stroked="true" strokeweight=".6pt" strokecolor="#000008">
                <v:path arrowok="t"/>
              </v:shape>
            </v:group>
            <v:group style="position:absolute;left:8180;top:928;width:12;height:2" coordorigin="8180,928" coordsize="12,2">
              <v:shape style="position:absolute;left:8180;top:928;width:12;height:2" coordorigin="8180,928" coordsize="12,0" path="m8180,928l8192,928e" filled="false" stroked="true" strokeweight=".6pt" strokecolor="#000008">
                <v:path arrowok="t"/>
              </v:shape>
            </v:group>
            <v:group style="position:absolute;left:8200;top:928;width:12;height:2" coordorigin="8200,928" coordsize="12,2">
              <v:shape style="position:absolute;left:8200;top:928;width:12;height:2" coordorigin="8200,928" coordsize="12,0" path="m8200,928l8212,928e" filled="false" stroked="true" strokeweight=".6pt" strokecolor="#000008">
                <v:path arrowok="t"/>
              </v:shape>
            </v:group>
            <v:group style="position:absolute;left:8219;top:928;width:12;height:2" coordorigin="8219,928" coordsize="12,2">
              <v:shape style="position:absolute;left:8219;top:928;width:12;height:2" coordorigin="8219,928" coordsize="12,0" path="m8219,928l8231,928e" filled="false" stroked="true" strokeweight=".6pt" strokecolor="#000008">
                <v:path arrowok="t"/>
              </v:shape>
            </v:group>
            <v:group style="position:absolute;left:8238;top:928;width:12;height:2" coordorigin="8238,928" coordsize="12,2">
              <v:shape style="position:absolute;left:8238;top:928;width:12;height:2" coordorigin="8238,928" coordsize="12,0" path="m8238,928l8250,928e" filled="false" stroked="true" strokeweight=".6pt" strokecolor="#000008">
                <v:path arrowok="t"/>
              </v:shape>
            </v:group>
            <v:group style="position:absolute;left:8257;top:928;width:12;height:2" coordorigin="8257,928" coordsize="12,2">
              <v:shape style="position:absolute;left:8257;top:928;width:12;height:2" coordorigin="8257,928" coordsize="12,0" path="m8257,928l8269,928e" filled="false" stroked="true" strokeweight=".6pt" strokecolor="#000008">
                <v:path arrowok="t"/>
              </v:shape>
            </v:group>
            <v:group style="position:absolute;left:8276;top:928;width:12;height:2" coordorigin="8276,928" coordsize="12,2">
              <v:shape style="position:absolute;left:8276;top:928;width:12;height:2" coordorigin="8276,928" coordsize="12,0" path="m8276,928l8288,928e" filled="false" stroked="true" strokeweight=".6pt" strokecolor="#000008">
                <v:path arrowok="t"/>
              </v:shape>
            </v:group>
            <v:group style="position:absolute;left:8296;top:928;width:12;height:2" coordorigin="8296,928" coordsize="12,2">
              <v:shape style="position:absolute;left:8296;top:928;width:12;height:2" coordorigin="8296,928" coordsize="12,0" path="m8296,928l8308,928e" filled="false" stroked="true" strokeweight=".6pt" strokecolor="#000008">
                <v:path arrowok="t"/>
              </v:shape>
            </v:group>
            <v:group style="position:absolute;left:8315;top:928;width:12;height:2" coordorigin="8315,928" coordsize="12,2">
              <v:shape style="position:absolute;left:8315;top:928;width:12;height:2" coordorigin="8315,928" coordsize="12,0" path="m8315,928l8327,928e" filled="false" stroked="true" strokeweight=".6pt" strokecolor="#000008">
                <v:path arrowok="t"/>
              </v:shape>
            </v:group>
            <v:group style="position:absolute;left:8334;top:928;width:12;height:2" coordorigin="8334,928" coordsize="12,2">
              <v:shape style="position:absolute;left:8334;top:928;width:12;height:2" coordorigin="8334,928" coordsize="12,0" path="m8334,928l8346,928e" filled="false" stroked="true" strokeweight=".6pt" strokecolor="#000008">
                <v:path arrowok="t"/>
              </v:shape>
            </v:group>
            <v:group style="position:absolute;left:8353;top:928;width:12;height:2" coordorigin="8353,928" coordsize="12,2">
              <v:shape style="position:absolute;left:8353;top:928;width:12;height:2" coordorigin="8353,928" coordsize="12,0" path="m8353,928l8365,928e" filled="false" stroked="true" strokeweight=".6pt" strokecolor="#000008">
                <v:path arrowok="t"/>
              </v:shape>
            </v:group>
            <v:group style="position:absolute;left:8372;top:928;width:12;height:2" coordorigin="8372,928" coordsize="12,2">
              <v:shape style="position:absolute;left:8372;top:928;width:12;height:2" coordorigin="8372,928" coordsize="12,0" path="m8372,928l8384,928e" filled="false" stroked="true" strokeweight=".6pt" strokecolor="#000008">
                <v:path arrowok="t"/>
              </v:shape>
            </v:group>
            <v:group style="position:absolute;left:8392;top:928;width:12;height:2" coordorigin="8392,928" coordsize="12,2">
              <v:shape style="position:absolute;left:8392;top:928;width:12;height:2" coordorigin="8392,928" coordsize="12,0" path="m8392,928l8404,928e" filled="false" stroked="true" strokeweight=".6pt" strokecolor="#000008">
                <v:path arrowok="t"/>
              </v:shape>
            </v:group>
            <v:group style="position:absolute;left:8411;top:928;width:12;height:2" coordorigin="8411,928" coordsize="12,2">
              <v:shape style="position:absolute;left:8411;top:928;width:12;height:2" coordorigin="8411,928" coordsize="12,0" path="m8411,928l8423,928e" filled="false" stroked="true" strokeweight=".6pt" strokecolor="#000008">
                <v:path arrowok="t"/>
              </v:shape>
            </v:group>
            <v:group style="position:absolute;left:8430;top:928;width:12;height:2" coordorigin="8430,928" coordsize="12,2">
              <v:shape style="position:absolute;left:8430;top:928;width:12;height:2" coordorigin="8430,928" coordsize="12,0" path="m8430,928l8442,928e" filled="false" stroked="true" strokeweight=".6pt" strokecolor="#000008">
                <v:path arrowok="t"/>
              </v:shape>
            </v:group>
            <v:group style="position:absolute;left:8449;top:928;width:12;height:2" coordorigin="8449,928" coordsize="12,2">
              <v:shape style="position:absolute;left:8449;top:928;width:12;height:2" coordorigin="8449,928" coordsize="12,0" path="m8449,928l8461,928e" filled="false" stroked="true" strokeweight=".6pt" strokecolor="#000008">
                <v:path arrowok="t"/>
              </v:shape>
            </v:group>
            <v:group style="position:absolute;left:8468;top:928;width:12;height:2" coordorigin="8468,928" coordsize="12,2">
              <v:shape style="position:absolute;left:8468;top:928;width:12;height:2" coordorigin="8468,928" coordsize="12,0" path="m8468,928l8480,928e" filled="false" stroked="true" strokeweight=".6pt" strokecolor="#000008">
                <v:path arrowok="t"/>
              </v:shape>
            </v:group>
            <v:group style="position:absolute;left:8488;top:928;width:12;height:2" coordorigin="8488,928" coordsize="12,2">
              <v:shape style="position:absolute;left:8488;top:928;width:12;height:2" coordorigin="8488,928" coordsize="12,0" path="m8488,928l8500,928e" filled="false" stroked="true" strokeweight=".6pt" strokecolor="#000008">
                <v:path arrowok="t"/>
              </v:shape>
            </v:group>
            <v:group style="position:absolute;left:8507;top:928;width:12;height:2" coordorigin="8507,928" coordsize="12,2">
              <v:shape style="position:absolute;left:8507;top:928;width:12;height:2" coordorigin="8507,928" coordsize="12,0" path="m8507,928l8519,928e" filled="false" stroked="true" strokeweight=".6pt" strokecolor="#000008">
                <v:path arrowok="t"/>
              </v:shape>
            </v:group>
            <v:group style="position:absolute;left:8526;top:928;width:12;height:2" coordorigin="8526,928" coordsize="12,2">
              <v:shape style="position:absolute;left:8526;top:928;width:12;height:2" coordorigin="8526,928" coordsize="12,0" path="m8526,928l8538,928e" filled="false" stroked="true" strokeweight=".6pt" strokecolor="#000008">
                <v:path arrowok="t"/>
              </v:shape>
            </v:group>
            <v:group style="position:absolute;left:8545;top:928;width:12;height:2" coordorigin="8545,928" coordsize="12,2">
              <v:shape style="position:absolute;left:8545;top:928;width:12;height:2" coordorigin="8545,928" coordsize="12,0" path="m8545,928l8557,928e" filled="false" stroked="true" strokeweight=".6pt" strokecolor="#000008">
                <v:path arrowok="t"/>
              </v:shape>
            </v:group>
            <v:group style="position:absolute;left:8564;top:928;width:12;height:2" coordorigin="8564,928" coordsize="12,2">
              <v:shape style="position:absolute;left:8564;top:928;width:12;height:2" coordorigin="8564,928" coordsize="12,0" path="m8564,928l8576,928e" filled="false" stroked="true" strokeweight=".6pt" strokecolor="#000008">
                <v:path arrowok="t"/>
              </v:shape>
            </v:group>
            <v:group style="position:absolute;left:8584;top:928;width:12;height:2" coordorigin="8584,928" coordsize="12,2">
              <v:shape style="position:absolute;left:8584;top:928;width:12;height:2" coordorigin="8584,928" coordsize="12,0" path="m8584,928l8596,928e" filled="false" stroked="true" strokeweight=".6pt" strokecolor="#000008">
                <v:path arrowok="t"/>
              </v:shape>
            </v:group>
            <v:group style="position:absolute;left:8603;top:928;width:12;height:2" coordorigin="8603,928" coordsize="12,2">
              <v:shape style="position:absolute;left:8603;top:928;width:12;height:2" coordorigin="8603,928" coordsize="12,0" path="m8603,928l8615,928e" filled="false" stroked="true" strokeweight=".6pt" strokecolor="#000008">
                <v:path arrowok="t"/>
              </v:shape>
            </v:group>
            <v:group style="position:absolute;left:8622;top:928;width:12;height:2" coordorigin="8622,928" coordsize="12,2">
              <v:shape style="position:absolute;left:8622;top:928;width:12;height:2" coordorigin="8622,928" coordsize="12,0" path="m8622,928l8634,928e" filled="false" stroked="true" strokeweight=".6pt" strokecolor="#000008">
                <v:path arrowok="t"/>
              </v:shape>
            </v:group>
            <v:group style="position:absolute;left:8641;top:928;width:12;height:2" coordorigin="8641,928" coordsize="12,2">
              <v:shape style="position:absolute;left:8641;top:928;width:12;height:2" coordorigin="8641,928" coordsize="12,0" path="m8641,928l8653,928e" filled="false" stroked="true" strokeweight=".6pt" strokecolor="#000008">
                <v:path arrowok="t"/>
              </v:shape>
            </v:group>
            <v:group style="position:absolute;left:8660;top:928;width:12;height:2" coordorigin="8660,928" coordsize="12,2">
              <v:shape style="position:absolute;left:8660;top:928;width:12;height:2" coordorigin="8660,928" coordsize="12,0" path="m8660,928l8672,928e" filled="false" stroked="true" strokeweight=".6pt" strokecolor="#000008">
                <v:path arrowok="t"/>
              </v:shape>
            </v:group>
            <v:group style="position:absolute;left:8680;top:928;width:12;height:2" coordorigin="8680,928" coordsize="12,2">
              <v:shape style="position:absolute;left:8680;top:928;width:12;height:2" coordorigin="8680,928" coordsize="12,0" path="m8680,928l8692,928e" filled="false" stroked="true" strokeweight=".6pt" strokecolor="#000008">
                <v:path arrowok="t"/>
              </v:shape>
            </v:group>
            <v:group style="position:absolute;left:8699;top:928;width:12;height:2" coordorigin="8699,928" coordsize="12,2">
              <v:shape style="position:absolute;left:8699;top:928;width:12;height:2" coordorigin="8699,928" coordsize="12,0" path="m8699,928l8711,928e" filled="false" stroked="true" strokeweight=".6pt" strokecolor="#000008">
                <v:path arrowok="t"/>
              </v:shape>
            </v:group>
            <v:group style="position:absolute;left:8718;top:928;width:12;height:2" coordorigin="8718,928" coordsize="12,2">
              <v:shape style="position:absolute;left:8718;top:928;width:12;height:2" coordorigin="8718,928" coordsize="12,0" path="m8718,928l8730,928e" filled="false" stroked="true" strokeweight=".6pt" strokecolor="#000008">
                <v:path arrowok="t"/>
              </v:shape>
            </v:group>
            <v:group style="position:absolute;left:8737;top:928;width:12;height:2" coordorigin="8737,928" coordsize="12,2">
              <v:shape style="position:absolute;left:8737;top:928;width:12;height:2" coordorigin="8737,928" coordsize="12,0" path="m8737,928l8749,928e" filled="false" stroked="true" strokeweight=".6pt" strokecolor="#000008">
                <v:path arrowok="t"/>
              </v:shape>
            </v:group>
            <v:group style="position:absolute;left:8756;top:928;width:12;height:2" coordorigin="8756,928" coordsize="12,2">
              <v:shape style="position:absolute;left:8756;top:928;width:12;height:2" coordorigin="8756,928" coordsize="12,0" path="m8756,928l8768,928e" filled="false" stroked="true" strokeweight=".6pt" strokecolor="#000008">
                <v:path arrowok="t"/>
              </v:shape>
            </v:group>
            <v:group style="position:absolute;left:8776;top:928;width:12;height:2" coordorigin="8776,928" coordsize="12,2">
              <v:shape style="position:absolute;left:8776;top:928;width:12;height:2" coordorigin="8776,928" coordsize="12,0" path="m8776,928l8788,928e" filled="false" stroked="true" strokeweight=".6pt" strokecolor="#000008">
                <v:path arrowok="t"/>
              </v:shape>
            </v:group>
            <v:group style="position:absolute;left:8795;top:928;width:12;height:2" coordorigin="8795,928" coordsize="12,2">
              <v:shape style="position:absolute;left:8795;top:928;width:12;height:2" coordorigin="8795,928" coordsize="12,0" path="m8795,928l8807,928e" filled="false" stroked="true" strokeweight=".6pt" strokecolor="#000008">
                <v:path arrowok="t"/>
              </v:shape>
            </v:group>
            <v:group style="position:absolute;left:8814;top:928;width:12;height:2" coordorigin="8814,928" coordsize="12,2">
              <v:shape style="position:absolute;left:8814;top:928;width:12;height:2" coordorigin="8814,928" coordsize="12,0" path="m8814,928l8826,928e" filled="false" stroked="true" strokeweight=".6pt" strokecolor="#000008">
                <v:path arrowok="t"/>
              </v:shape>
            </v:group>
            <v:group style="position:absolute;left:8833;top:928;width:12;height:2" coordorigin="8833,928" coordsize="12,2">
              <v:shape style="position:absolute;left:8833;top:928;width:12;height:2" coordorigin="8833,928" coordsize="12,0" path="m8833,928l8845,928e" filled="false" stroked="true" strokeweight=".6pt" strokecolor="#000008">
                <v:path arrowok="t"/>
              </v:shape>
            </v:group>
            <v:group style="position:absolute;left:8852;top:928;width:12;height:2" coordorigin="8852,928" coordsize="12,2">
              <v:shape style="position:absolute;left:8852;top:928;width:12;height:2" coordorigin="8852,928" coordsize="12,0" path="m8852,928l8864,928e" filled="false" stroked="true" strokeweight=".6pt" strokecolor="#000008">
                <v:path arrowok="t"/>
              </v:shape>
            </v:group>
            <v:group style="position:absolute;left:8872;top:928;width:12;height:2" coordorigin="8872,928" coordsize="12,2">
              <v:shape style="position:absolute;left:8872;top:928;width:12;height:2" coordorigin="8872,928" coordsize="12,0" path="m8872,928l8884,928e" filled="false" stroked="true" strokeweight=".6pt" strokecolor="#000008">
                <v:path arrowok="t"/>
              </v:shape>
            </v:group>
            <v:group style="position:absolute;left:8891;top:928;width:10;height:2" coordorigin="8891,928" coordsize="10,2">
              <v:shape style="position:absolute;left:8891;top:928;width:10;height:2" coordorigin="8891,928" coordsize="10,0" path="m8891,928l8900,928e" filled="false" stroked="true" strokeweight=".6pt" strokecolor="#000008">
                <v:path arrowok="t"/>
              </v:shape>
            </v:group>
            <w10:wrap type="none"/>
          </v:group>
        </w:pict>
      </w:r>
      <w:r>
        <w:rPr/>
        <w:pict>
          <v:group style="position:absolute;margin-left:458.399994pt;margin-top:46.109673pt;width:90.5pt;height:.6pt;mso-position-horizontal-relative:page;mso-position-vertical-relative:paragraph;z-index:3088" coordorigin="9168,922" coordsize="1810,12">
            <v:group style="position:absolute;left:9174;top:928;width:12;height:2" coordorigin="9174,928" coordsize="12,2">
              <v:shape style="position:absolute;left:9174;top:928;width:12;height:2" coordorigin="9174,928" coordsize="12,0" path="m9174,928l9186,928e" filled="false" stroked="true" strokeweight=".6pt" strokecolor="#000008">
                <v:path arrowok="t"/>
              </v:shape>
            </v:group>
            <v:group style="position:absolute;left:9193;top:928;width:12;height:2" coordorigin="9193,928" coordsize="12,2">
              <v:shape style="position:absolute;left:9193;top:928;width:12;height:2" coordorigin="9193,928" coordsize="12,0" path="m9193,928l9205,928e" filled="false" stroked="true" strokeweight=".6pt" strokecolor="#000008">
                <v:path arrowok="t"/>
              </v:shape>
            </v:group>
            <v:group style="position:absolute;left:9212;top:928;width:12;height:2" coordorigin="9212,928" coordsize="12,2">
              <v:shape style="position:absolute;left:9212;top:928;width:12;height:2" coordorigin="9212,928" coordsize="12,0" path="m9212,928l9224,928e" filled="false" stroked="true" strokeweight=".6pt" strokecolor="#000008">
                <v:path arrowok="t"/>
              </v:shape>
            </v:group>
            <v:group style="position:absolute;left:9232;top:928;width:12;height:2" coordorigin="9232,928" coordsize="12,2">
              <v:shape style="position:absolute;left:9232;top:928;width:12;height:2" coordorigin="9232,928" coordsize="12,0" path="m9232,928l9244,928e" filled="false" stroked="true" strokeweight=".6pt" strokecolor="#000008">
                <v:path arrowok="t"/>
              </v:shape>
            </v:group>
            <v:group style="position:absolute;left:9251;top:928;width:12;height:2" coordorigin="9251,928" coordsize="12,2">
              <v:shape style="position:absolute;left:9251;top:928;width:12;height:2" coordorigin="9251,928" coordsize="12,0" path="m9251,928l9263,928e" filled="false" stroked="true" strokeweight=".6pt" strokecolor="#000008">
                <v:path arrowok="t"/>
              </v:shape>
            </v:group>
            <v:group style="position:absolute;left:9270;top:928;width:12;height:2" coordorigin="9270,928" coordsize="12,2">
              <v:shape style="position:absolute;left:9270;top:928;width:12;height:2" coordorigin="9270,928" coordsize="12,0" path="m9270,928l9282,928e" filled="false" stroked="true" strokeweight=".6pt" strokecolor="#000008">
                <v:path arrowok="t"/>
              </v:shape>
            </v:group>
            <v:group style="position:absolute;left:9289;top:928;width:12;height:2" coordorigin="9289,928" coordsize="12,2">
              <v:shape style="position:absolute;left:9289;top:928;width:12;height:2" coordorigin="9289,928" coordsize="12,0" path="m9289,928l9301,928e" filled="false" stroked="true" strokeweight=".6pt" strokecolor="#000008">
                <v:path arrowok="t"/>
              </v:shape>
            </v:group>
            <v:group style="position:absolute;left:9308;top:928;width:12;height:2" coordorigin="9308,928" coordsize="12,2">
              <v:shape style="position:absolute;left:9308;top:928;width:12;height:2" coordorigin="9308,928" coordsize="12,0" path="m9308,928l9320,928e" filled="false" stroked="true" strokeweight=".6pt" strokecolor="#000008">
                <v:path arrowok="t"/>
              </v:shape>
            </v:group>
            <v:group style="position:absolute;left:9328;top:928;width:12;height:2" coordorigin="9328,928" coordsize="12,2">
              <v:shape style="position:absolute;left:9328;top:928;width:12;height:2" coordorigin="9328,928" coordsize="12,0" path="m9328,928l9340,928e" filled="false" stroked="true" strokeweight=".6pt" strokecolor="#000008">
                <v:path arrowok="t"/>
              </v:shape>
            </v:group>
            <v:group style="position:absolute;left:9347;top:928;width:12;height:2" coordorigin="9347,928" coordsize="12,2">
              <v:shape style="position:absolute;left:9347;top:928;width:12;height:2" coordorigin="9347,928" coordsize="12,0" path="m9347,928l9359,928e" filled="false" stroked="true" strokeweight=".6pt" strokecolor="#000008">
                <v:path arrowok="t"/>
              </v:shape>
            </v:group>
            <v:group style="position:absolute;left:9366;top:928;width:12;height:2" coordorigin="9366,928" coordsize="12,2">
              <v:shape style="position:absolute;left:9366;top:928;width:12;height:2" coordorigin="9366,928" coordsize="12,0" path="m9366,928l9378,928e" filled="false" stroked="true" strokeweight=".6pt" strokecolor="#000008">
                <v:path arrowok="t"/>
              </v:shape>
            </v:group>
            <v:group style="position:absolute;left:9385;top:928;width:12;height:2" coordorigin="9385,928" coordsize="12,2">
              <v:shape style="position:absolute;left:9385;top:928;width:12;height:2" coordorigin="9385,928" coordsize="12,0" path="m9385,928l9397,928e" filled="false" stroked="true" strokeweight=".6pt" strokecolor="#000008">
                <v:path arrowok="t"/>
              </v:shape>
            </v:group>
            <v:group style="position:absolute;left:9404;top:928;width:12;height:2" coordorigin="9404,928" coordsize="12,2">
              <v:shape style="position:absolute;left:9404;top:928;width:12;height:2" coordorigin="9404,928" coordsize="12,0" path="m9404,928l9416,928e" filled="false" stroked="true" strokeweight=".6pt" strokecolor="#000008">
                <v:path arrowok="t"/>
              </v:shape>
            </v:group>
            <v:group style="position:absolute;left:9424;top:928;width:12;height:2" coordorigin="9424,928" coordsize="12,2">
              <v:shape style="position:absolute;left:9424;top:928;width:12;height:2" coordorigin="9424,928" coordsize="12,0" path="m9424,928l9436,928e" filled="false" stroked="true" strokeweight=".6pt" strokecolor="#000008">
                <v:path arrowok="t"/>
              </v:shape>
            </v:group>
            <v:group style="position:absolute;left:9443;top:928;width:12;height:2" coordorigin="9443,928" coordsize="12,2">
              <v:shape style="position:absolute;left:9443;top:928;width:12;height:2" coordorigin="9443,928" coordsize="12,0" path="m9443,928l9455,928e" filled="false" stroked="true" strokeweight=".6pt" strokecolor="#000008">
                <v:path arrowok="t"/>
              </v:shape>
            </v:group>
            <v:group style="position:absolute;left:9462;top:928;width:12;height:2" coordorigin="9462,928" coordsize="12,2">
              <v:shape style="position:absolute;left:9462;top:928;width:12;height:2" coordorigin="9462,928" coordsize="12,0" path="m9462,928l9474,928e" filled="false" stroked="true" strokeweight=".6pt" strokecolor="#000008">
                <v:path arrowok="t"/>
              </v:shape>
            </v:group>
            <v:group style="position:absolute;left:9481;top:928;width:12;height:2" coordorigin="9481,928" coordsize="12,2">
              <v:shape style="position:absolute;left:9481;top:928;width:12;height:2" coordorigin="9481,928" coordsize="12,0" path="m9481,928l9493,928e" filled="false" stroked="true" strokeweight=".6pt" strokecolor="#000008">
                <v:path arrowok="t"/>
              </v:shape>
            </v:group>
            <v:group style="position:absolute;left:9500;top:928;width:12;height:2" coordorigin="9500,928" coordsize="12,2">
              <v:shape style="position:absolute;left:9500;top:928;width:12;height:2" coordorigin="9500,928" coordsize="12,0" path="m9500,928l9512,928e" filled="false" stroked="true" strokeweight=".6pt" strokecolor="#000008">
                <v:path arrowok="t"/>
              </v:shape>
            </v:group>
            <v:group style="position:absolute;left:9520;top:928;width:12;height:2" coordorigin="9520,928" coordsize="12,2">
              <v:shape style="position:absolute;left:9520;top:928;width:12;height:2" coordorigin="9520,928" coordsize="12,0" path="m9520,928l9532,928e" filled="false" stroked="true" strokeweight=".6pt" strokecolor="#000008">
                <v:path arrowok="t"/>
              </v:shape>
            </v:group>
            <v:group style="position:absolute;left:9539;top:928;width:12;height:2" coordorigin="9539,928" coordsize="12,2">
              <v:shape style="position:absolute;left:9539;top:928;width:12;height:2" coordorigin="9539,928" coordsize="12,0" path="m9539,928l9551,928e" filled="false" stroked="true" strokeweight=".6pt" strokecolor="#000008">
                <v:path arrowok="t"/>
              </v:shape>
            </v:group>
            <v:group style="position:absolute;left:9558;top:928;width:12;height:2" coordorigin="9558,928" coordsize="12,2">
              <v:shape style="position:absolute;left:9558;top:928;width:12;height:2" coordorigin="9558,928" coordsize="12,0" path="m9558,928l9570,928e" filled="false" stroked="true" strokeweight=".6pt" strokecolor="#000008">
                <v:path arrowok="t"/>
              </v:shape>
            </v:group>
            <v:group style="position:absolute;left:9577;top:928;width:12;height:2" coordorigin="9577,928" coordsize="12,2">
              <v:shape style="position:absolute;left:9577;top:928;width:12;height:2" coordorigin="9577,928" coordsize="12,0" path="m9577,928l9589,928e" filled="false" stroked="true" strokeweight=".6pt" strokecolor="#000008">
                <v:path arrowok="t"/>
              </v:shape>
            </v:group>
            <v:group style="position:absolute;left:9596;top:928;width:12;height:2" coordorigin="9596,928" coordsize="12,2">
              <v:shape style="position:absolute;left:9596;top:928;width:12;height:2" coordorigin="9596,928" coordsize="12,0" path="m9596,928l9608,928e" filled="false" stroked="true" strokeweight=".6pt" strokecolor="#000008">
                <v:path arrowok="t"/>
              </v:shape>
            </v:group>
            <v:group style="position:absolute;left:9616;top:928;width:12;height:2" coordorigin="9616,928" coordsize="12,2">
              <v:shape style="position:absolute;left:9616;top:928;width:12;height:2" coordorigin="9616,928" coordsize="12,0" path="m9616,928l9628,928e" filled="false" stroked="true" strokeweight=".6pt" strokecolor="#000008">
                <v:path arrowok="t"/>
              </v:shape>
            </v:group>
            <v:group style="position:absolute;left:9635;top:928;width:12;height:2" coordorigin="9635,928" coordsize="12,2">
              <v:shape style="position:absolute;left:9635;top:928;width:12;height:2" coordorigin="9635,928" coordsize="12,0" path="m9635,928l9647,928e" filled="false" stroked="true" strokeweight=".6pt" strokecolor="#000008">
                <v:path arrowok="t"/>
              </v:shape>
            </v:group>
            <v:group style="position:absolute;left:9654;top:928;width:12;height:2" coordorigin="9654,928" coordsize="12,2">
              <v:shape style="position:absolute;left:9654;top:928;width:12;height:2" coordorigin="9654,928" coordsize="12,0" path="m9654,928l9666,928e" filled="false" stroked="true" strokeweight=".6pt" strokecolor="#000008">
                <v:path arrowok="t"/>
              </v:shape>
            </v:group>
            <v:group style="position:absolute;left:9673;top:928;width:12;height:2" coordorigin="9673,928" coordsize="12,2">
              <v:shape style="position:absolute;left:9673;top:928;width:12;height:2" coordorigin="9673,928" coordsize="12,0" path="m9673,928l9685,928e" filled="false" stroked="true" strokeweight=".6pt" strokecolor="#000008">
                <v:path arrowok="t"/>
              </v:shape>
            </v:group>
            <v:group style="position:absolute;left:9692;top:928;width:12;height:2" coordorigin="9692,928" coordsize="12,2">
              <v:shape style="position:absolute;left:9692;top:928;width:12;height:2" coordorigin="9692,928" coordsize="12,0" path="m9692,928l9704,928e" filled="false" stroked="true" strokeweight=".6pt" strokecolor="#000008">
                <v:path arrowok="t"/>
              </v:shape>
            </v:group>
            <v:group style="position:absolute;left:9712;top:928;width:12;height:2" coordorigin="9712,928" coordsize="12,2">
              <v:shape style="position:absolute;left:9712;top:928;width:12;height:2" coordorigin="9712,928" coordsize="12,0" path="m9712,928l9724,928e" filled="false" stroked="true" strokeweight=".6pt" strokecolor="#000008">
                <v:path arrowok="t"/>
              </v:shape>
            </v:group>
            <v:group style="position:absolute;left:9731;top:928;width:12;height:2" coordorigin="9731,928" coordsize="12,2">
              <v:shape style="position:absolute;left:9731;top:928;width:12;height:2" coordorigin="9731,928" coordsize="12,0" path="m9731,928l9743,928e" filled="false" stroked="true" strokeweight=".6pt" strokecolor="#000008">
                <v:path arrowok="t"/>
              </v:shape>
            </v:group>
            <v:group style="position:absolute;left:9750;top:928;width:12;height:2" coordorigin="9750,928" coordsize="12,2">
              <v:shape style="position:absolute;left:9750;top:928;width:12;height:2" coordorigin="9750,928" coordsize="12,0" path="m9750,928l9762,928e" filled="false" stroked="true" strokeweight=".6pt" strokecolor="#000008">
                <v:path arrowok="t"/>
              </v:shape>
            </v:group>
            <v:group style="position:absolute;left:9769;top:928;width:12;height:2" coordorigin="9769,928" coordsize="12,2">
              <v:shape style="position:absolute;left:9769;top:928;width:12;height:2" coordorigin="9769,928" coordsize="12,0" path="m9769,928l9781,928e" filled="false" stroked="true" strokeweight=".6pt" strokecolor="#000008">
                <v:path arrowok="t"/>
              </v:shape>
            </v:group>
            <v:group style="position:absolute;left:9788;top:928;width:12;height:2" coordorigin="9788,928" coordsize="12,2">
              <v:shape style="position:absolute;left:9788;top:928;width:12;height:2" coordorigin="9788,928" coordsize="12,0" path="m9788,928l9800,928e" filled="false" stroked="true" strokeweight=".6pt" strokecolor="#000008">
                <v:path arrowok="t"/>
              </v:shape>
            </v:group>
            <v:group style="position:absolute;left:9808;top:928;width:12;height:2" coordorigin="9808,928" coordsize="12,2">
              <v:shape style="position:absolute;left:9808;top:928;width:12;height:2" coordorigin="9808,928" coordsize="12,0" path="m9808,928l9820,928e" filled="false" stroked="true" strokeweight=".6pt" strokecolor="#000008">
                <v:path arrowok="t"/>
              </v:shape>
            </v:group>
            <v:group style="position:absolute;left:9827;top:928;width:12;height:2" coordorigin="9827,928" coordsize="12,2">
              <v:shape style="position:absolute;left:9827;top:928;width:12;height:2" coordorigin="9827,928" coordsize="12,0" path="m9827,928l9839,928e" filled="false" stroked="true" strokeweight=".6pt" strokecolor="#000008">
                <v:path arrowok="t"/>
              </v:shape>
            </v:group>
            <v:group style="position:absolute;left:9846;top:928;width:12;height:2" coordorigin="9846,928" coordsize="12,2">
              <v:shape style="position:absolute;left:9846;top:928;width:12;height:2" coordorigin="9846,928" coordsize="12,0" path="m9846,928l9858,928e" filled="false" stroked="true" strokeweight=".6pt" strokecolor="#000008">
                <v:path arrowok="t"/>
              </v:shape>
            </v:group>
            <v:group style="position:absolute;left:9865;top:928;width:12;height:2" coordorigin="9865,928" coordsize="12,2">
              <v:shape style="position:absolute;left:9865;top:928;width:12;height:2" coordorigin="9865,928" coordsize="12,0" path="m9865,928l9877,928e" filled="false" stroked="true" strokeweight=".6pt" strokecolor="#000008">
                <v:path arrowok="t"/>
              </v:shape>
            </v:group>
            <v:group style="position:absolute;left:9884;top:928;width:12;height:2" coordorigin="9884,928" coordsize="12,2">
              <v:shape style="position:absolute;left:9884;top:928;width:12;height:2" coordorigin="9884,928" coordsize="12,0" path="m9884,928l9896,928e" filled="false" stroked="true" strokeweight=".6pt" strokecolor="#000008">
                <v:path arrowok="t"/>
              </v:shape>
            </v:group>
            <v:group style="position:absolute;left:9904;top:928;width:12;height:2" coordorigin="9904,928" coordsize="12,2">
              <v:shape style="position:absolute;left:9904;top:928;width:12;height:2" coordorigin="9904,928" coordsize="12,0" path="m9904,928l9916,928e" filled="false" stroked="true" strokeweight=".6pt" strokecolor="#000008">
                <v:path arrowok="t"/>
              </v:shape>
            </v:group>
            <v:group style="position:absolute;left:9923;top:928;width:12;height:2" coordorigin="9923,928" coordsize="12,2">
              <v:shape style="position:absolute;left:9923;top:928;width:12;height:2" coordorigin="9923,928" coordsize="12,0" path="m9923,928l9935,928e" filled="false" stroked="true" strokeweight=".6pt" strokecolor="#000008">
                <v:path arrowok="t"/>
              </v:shape>
            </v:group>
            <v:group style="position:absolute;left:9942;top:928;width:12;height:2" coordorigin="9942,928" coordsize="12,2">
              <v:shape style="position:absolute;left:9942;top:928;width:12;height:2" coordorigin="9942,928" coordsize="12,0" path="m9942,928l9954,928e" filled="false" stroked="true" strokeweight=".6pt" strokecolor="#000008">
                <v:path arrowok="t"/>
              </v:shape>
            </v:group>
            <v:group style="position:absolute;left:9961;top:928;width:12;height:2" coordorigin="9961,928" coordsize="12,2">
              <v:shape style="position:absolute;left:9961;top:928;width:12;height:2" coordorigin="9961,928" coordsize="12,0" path="m9961,928l9973,928e" filled="false" stroked="true" strokeweight=".6pt" strokecolor="#000008">
                <v:path arrowok="t"/>
              </v:shape>
            </v:group>
            <v:group style="position:absolute;left:9980;top:928;width:12;height:2" coordorigin="9980,928" coordsize="12,2">
              <v:shape style="position:absolute;left:9980;top:928;width:12;height:2" coordorigin="9980,928" coordsize="12,0" path="m9980,928l9992,928e" filled="false" stroked="true" strokeweight=".6pt" strokecolor="#000008">
                <v:path arrowok="t"/>
              </v:shape>
            </v:group>
            <v:group style="position:absolute;left:10000;top:928;width:12;height:2" coordorigin="10000,928" coordsize="12,2">
              <v:shape style="position:absolute;left:10000;top:928;width:12;height:2" coordorigin="10000,928" coordsize="12,0" path="m10000,928l10012,928e" filled="false" stroked="true" strokeweight=".6pt" strokecolor="#000008">
                <v:path arrowok="t"/>
              </v:shape>
            </v:group>
            <v:group style="position:absolute;left:10019;top:928;width:12;height:2" coordorigin="10019,928" coordsize="12,2">
              <v:shape style="position:absolute;left:10019;top:928;width:12;height:2" coordorigin="10019,928" coordsize="12,0" path="m10019,928l10031,928e" filled="false" stroked="true" strokeweight=".6pt" strokecolor="#000008">
                <v:path arrowok="t"/>
              </v:shape>
            </v:group>
            <v:group style="position:absolute;left:10038;top:928;width:12;height:2" coordorigin="10038,928" coordsize="12,2">
              <v:shape style="position:absolute;left:10038;top:928;width:12;height:2" coordorigin="10038,928" coordsize="12,0" path="m10038,928l10050,928e" filled="false" stroked="true" strokeweight=".6pt" strokecolor="#000008">
                <v:path arrowok="t"/>
              </v:shape>
            </v:group>
            <v:group style="position:absolute;left:10057;top:928;width:12;height:2" coordorigin="10057,928" coordsize="12,2">
              <v:shape style="position:absolute;left:10057;top:928;width:12;height:2" coordorigin="10057,928" coordsize="12,0" path="m10057,928l10069,928e" filled="false" stroked="true" strokeweight=".6pt" strokecolor="#000008">
                <v:path arrowok="t"/>
              </v:shape>
            </v:group>
            <v:group style="position:absolute;left:10076;top:928;width:12;height:2" coordorigin="10076,928" coordsize="12,2">
              <v:shape style="position:absolute;left:10076;top:928;width:12;height:2" coordorigin="10076,928" coordsize="12,0" path="m10076,928l10088,928e" filled="false" stroked="true" strokeweight=".6pt" strokecolor="#000008">
                <v:path arrowok="t"/>
              </v:shape>
            </v:group>
            <v:group style="position:absolute;left:10096;top:928;width:12;height:2" coordorigin="10096,928" coordsize="12,2">
              <v:shape style="position:absolute;left:10096;top:928;width:12;height:2" coordorigin="10096,928" coordsize="12,0" path="m10096,928l10108,928e" filled="false" stroked="true" strokeweight=".6pt" strokecolor="#000008">
                <v:path arrowok="t"/>
              </v:shape>
            </v:group>
            <v:group style="position:absolute;left:10115;top:928;width:12;height:2" coordorigin="10115,928" coordsize="12,2">
              <v:shape style="position:absolute;left:10115;top:928;width:12;height:2" coordorigin="10115,928" coordsize="12,0" path="m10115,928l10127,928e" filled="false" stroked="true" strokeweight=".6pt" strokecolor="#000008">
                <v:path arrowok="t"/>
              </v:shape>
            </v:group>
            <v:group style="position:absolute;left:10134;top:928;width:12;height:2" coordorigin="10134,928" coordsize="12,2">
              <v:shape style="position:absolute;left:10134;top:928;width:12;height:2" coordorigin="10134,928" coordsize="12,0" path="m10134,928l10146,928e" filled="false" stroked="true" strokeweight=".6pt" strokecolor="#000008">
                <v:path arrowok="t"/>
              </v:shape>
            </v:group>
            <v:group style="position:absolute;left:10153;top:928;width:12;height:2" coordorigin="10153,928" coordsize="12,2">
              <v:shape style="position:absolute;left:10153;top:928;width:12;height:2" coordorigin="10153,928" coordsize="12,0" path="m10153,928l10165,928e" filled="false" stroked="true" strokeweight=".6pt" strokecolor="#000008">
                <v:path arrowok="t"/>
              </v:shape>
            </v:group>
            <v:group style="position:absolute;left:10172;top:928;width:12;height:2" coordorigin="10172,928" coordsize="12,2">
              <v:shape style="position:absolute;left:10172;top:928;width:12;height:2" coordorigin="10172,928" coordsize="12,0" path="m10172,928l10184,928e" filled="false" stroked="true" strokeweight=".6pt" strokecolor="#000008">
                <v:path arrowok="t"/>
              </v:shape>
            </v:group>
            <v:group style="position:absolute;left:10192;top:928;width:12;height:2" coordorigin="10192,928" coordsize="12,2">
              <v:shape style="position:absolute;left:10192;top:928;width:12;height:2" coordorigin="10192,928" coordsize="12,0" path="m10192,928l10204,928e" filled="false" stroked="true" strokeweight=".6pt" strokecolor="#000008">
                <v:path arrowok="t"/>
              </v:shape>
            </v:group>
            <v:group style="position:absolute;left:10211;top:928;width:12;height:2" coordorigin="10211,928" coordsize="12,2">
              <v:shape style="position:absolute;left:10211;top:928;width:12;height:2" coordorigin="10211,928" coordsize="12,0" path="m10211,928l10223,928e" filled="false" stroked="true" strokeweight=".6pt" strokecolor="#000008">
                <v:path arrowok="t"/>
              </v:shape>
            </v:group>
            <v:group style="position:absolute;left:10230;top:928;width:12;height:2" coordorigin="10230,928" coordsize="12,2">
              <v:shape style="position:absolute;left:10230;top:928;width:12;height:2" coordorigin="10230,928" coordsize="12,0" path="m10230,928l10242,928e" filled="false" stroked="true" strokeweight=".6pt" strokecolor="#000008">
                <v:path arrowok="t"/>
              </v:shape>
            </v:group>
            <v:group style="position:absolute;left:10249;top:928;width:12;height:2" coordorigin="10249,928" coordsize="12,2">
              <v:shape style="position:absolute;left:10249;top:928;width:12;height:2" coordorigin="10249,928" coordsize="12,0" path="m10249,928l10261,928e" filled="false" stroked="true" strokeweight=".6pt" strokecolor="#000008">
                <v:path arrowok="t"/>
              </v:shape>
            </v:group>
            <v:group style="position:absolute;left:10268;top:928;width:12;height:2" coordorigin="10268,928" coordsize="12,2">
              <v:shape style="position:absolute;left:10268;top:928;width:12;height:2" coordorigin="10268,928" coordsize="12,0" path="m10268,928l10280,928e" filled="false" stroked="true" strokeweight=".6pt" strokecolor="#000008">
                <v:path arrowok="t"/>
              </v:shape>
            </v:group>
            <v:group style="position:absolute;left:10288;top:928;width:12;height:2" coordorigin="10288,928" coordsize="12,2">
              <v:shape style="position:absolute;left:10288;top:928;width:12;height:2" coordorigin="10288,928" coordsize="12,0" path="m10288,928l10300,928e" filled="false" stroked="true" strokeweight=".6pt" strokecolor="#000008">
                <v:path arrowok="t"/>
              </v:shape>
            </v:group>
            <v:group style="position:absolute;left:10307;top:928;width:12;height:2" coordorigin="10307,928" coordsize="12,2">
              <v:shape style="position:absolute;left:10307;top:928;width:12;height:2" coordorigin="10307,928" coordsize="12,0" path="m10307,928l10319,928e" filled="false" stroked="true" strokeweight=".6pt" strokecolor="#000008">
                <v:path arrowok="t"/>
              </v:shape>
            </v:group>
            <v:group style="position:absolute;left:10326;top:928;width:12;height:2" coordorigin="10326,928" coordsize="12,2">
              <v:shape style="position:absolute;left:10326;top:928;width:12;height:2" coordorigin="10326,928" coordsize="12,0" path="m10326,928l10338,928e" filled="false" stroked="true" strokeweight=".6pt" strokecolor="#000008">
                <v:path arrowok="t"/>
              </v:shape>
            </v:group>
            <v:group style="position:absolute;left:10345;top:928;width:12;height:2" coordorigin="10345,928" coordsize="12,2">
              <v:shape style="position:absolute;left:10345;top:928;width:12;height:2" coordorigin="10345,928" coordsize="12,0" path="m10345,928l10357,928e" filled="false" stroked="true" strokeweight=".6pt" strokecolor="#000008">
                <v:path arrowok="t"/>
              </v:shape>
            </v:group>
            <v:group style="position:absolute;left:10364;top:928;width:12;height:2" coordorigin="10364,928" coordsize="12,2">
              <v:shape style="position:absolute;left:10364;top:928;width:12;height:2" coordorigin="10364,928" coordsize="12,0" path="m10364,928l10376,928e" filled="false" stroked="true" strokeweight=".6pt" strokecolor="#000008">
                <v:path arrowok="t"/>
              </v:shape>
            </v:group>
            <v:group style="position:absolute;left:10384;top:928;width:12;height:2" coordorigin="10384,928" coordsize="12,2">
              <v:shape style="position:absolute;left:10384;top:928;width:12;height:2" coordorigin="10384,928" coordsize="12,0" path="m10384,928l10396,928e" filled="false" stroked="true" strokeweight=".6pt" strokecolor="#000008">
                <v:path arrowok="t"/>
              </v:shape>
            </v:group>
            <v:group style="position:absolute;left:10403;top:928;width:12;height:2" coordorigin="10403,928" coordsize="12,2">
              <v:shape style="position:absolute;left:10403;top:928;width:12;height:2" coordorigin="10403,928" coordsize="12,0" path="m10403,928l10415,928e" filled="false" stroked="true" strokeweight=".6pt" strokecolor="#000008">
                <v:path arrowok="t"/>
              </v:shape>
            </v:group>
            <v:group style="position:absolute;left:10422;top:928;width:12;height:2" coordorigin="10422,928" coordsize="12,2">
              <v:shape style="position:absolute;left:10422;top:928;width:12;height:2" coordorigin="10422,928" coordsize="12,0" path="m10422,928l10434,928e" filled="false" stroked="true" strokeweight=".6pt" strokecolor="#000008">
                <v:path arrowok="t"/>
              </v:shape>
            </v:group>
            <v:group style="position:absolute;left:10441;top:928;width:12;height:2" coordorigin="10441,928" coordsize="12,2">
              <v:shape style="position:absolute;left:10441;top:928;width:12;height:2" coordorigin="10441,928" coordsize="12,0" path="m10441,928l10453,928e" filled="false" stroked="true" strokeweight=".6pt" strokecolor="#000008">
                <v:path arrowok="t"/>
              </v:shape>
            </v:group>
            <v:group style="position:absolute;left:10460;top:928;width:12;height:2" coordorigin="10460,928" coordsize="12,2">
              <v:shape style="position:absolute;left:10460;top:928;width:12;height:2" coordorigin="10460,928" coordsize="12,0" path="m10460,928l10472,928e" filled="false" stroked="true" strokeweight=".6pt" strokecolor="#000008">
                <v:path arrowok="t"/>
              </v:shape>
            </v:group>
            <v:group style="position:absolute;left:10480;top:928;width:12;height:2" coordorigin="10480,928" coordsize="12,2">
              <v:shape style="position:absolute;left:10480;top:928;width:12;height:2" coordorigin="10480,928" coordsize="12,0" path="m10480,928l10492,928e" filled="false" stroked="true" strokeweight=".6pt" strokecolor="#000008">
                <v:path arrowok="t"/>
              </v:shape>
            </v:group>
            <v:group style="position:absolute;left:10499;top:928;width:12;height:2" coordorigin="10499,928" coordsize="12,2">
              <v:shape style="position:absolute;left:10499;top:928;width:12;height:2" coordorigin="10499,928" coordsize="12,0" path="m10499,928l10511,928e" filled="false" stroked="true" strokeweight=".6pt" strokecolor="#000008">
                <v:path arrowok="t"/>
              </v:shape>
            </v:group>
            <v:group style="position:absolute;left:10518;top:928;width:12;height:2" coordorigin="10518,928" coordsize="12,2">
              <v:shape style="position:absolute;left:10518;top:928;width:12;height:2" coordorigin="10518,928" coordsize="12,0" path="m10518,928l10530,928e" filled="false" stroked="true" strokeweight=".6pt" strokecolor="#000008">
                <v:path arrowok="t"/>
              </v:shape>
            </v:group>
            <v:group style="position:absolute;left:10537;top:928;width:12;height:2" coordorigin="10537,928" coordsize="12,2">
              <v:shape style="position:absolute;left:10537;top:928;width:12;height:2" coordorigin="10537,928" coordsize="12,0" path="m10537,928l10549,928e" filled="false" stroked="true" strokeweight=".6pt" strokecolor="#000008">
                <v:path arrowok="t"/>
              </v:shape>
            </v:group>
            <v:group style="position:absolute;left:10556;top:928;width:12;height:2" coordorigin="10556,928" coordsize="12,2">
              <v:shape style="position:absolute;left:10556;top:928;width:12;height:2" coordorigin="10556,928" coordsize="12,0" path="m10556,928l10568,928e" filled="false" stroked="true" strokeweight=".6pt" strokecolor="#000008">
                <v:path arrowok="t"/>
              </v:shape>
            </v:group>
            <v:group style="position:absolute;left:10576;top:928;width:12;height:2" coordorigin="10576,928" coordsize="12,2">
              <v:shape style="position:absolute;left:10576;top:928;width:12;height:2" coordorigin="10576,928" coordsize="12,0" path="m10576,928l10588,928e" filled="false" stroked="true" strokeweight=".6pt" strokecolor="#000008">
                <v:path arrowok="t"/>
              </v:shape>
            </v:group>
            <v:group style="position:absolute;left:10595;top:928;width:12;height:2" coordorigin="10595,928" coordsize="12,2">
              <v:shape style="position:absolute;left:10595;top:928;width:12;height:2" coordorigin="10595,928" coordsize="12,0" path="m10595,928l10607,928e" filled="false" stroked="true" strokeweight=".6pt" strokecolor="#000008">
                <v:path arrowok="t"/>
              </v:shape>
            </v:group>
            <v:group style="position:absolute;left:10614;top:928;width:12;height:2" coordorigin="10614,928" coordsize="12,2">
              <v:shape style="position:absolute;left:10614;top:928;width:12;height:2" coordorigin="10614,928" coordsize="12,0" path="m10614,928l10626,928e" filled="false" stroked="true" strokeweight=".6pt" strokecolor="#000008">
                <v:path arrowok="t"/>
              </v:shape>
            </v:group>
            <v:group style="position:absolute;left:10633;top:928;width:12;height:2" coordorigin="10633,928" coordsize="12,2">
              <v:shape style="position:absolute;left:10633;top:928;width:12;height:2" coordorigin="10633,928" coordsize="12,0" path="m10633,928l10645,928e" filled="false" stroked="true" strokeweight=".6pt" strokecolor="#000008">
                <v:path arrowok="t"/>
              </v:shape>
            </v:group>
            <v:group style="position:absolute;left:10652;top:928;width:12;height:2" coordorigin="10652,928" coordsize="12,2">
              <v:shape style="position:absolute;left:10652;top:928;width:12;height:2" coordorigin="10652,928" coordsize="12,0" path="m10652,928l10664,928e" filled="false" stroked="true" strokeweight=".6pt" strokecolor="#000008">
                <v:path arrowok="t"/>
              </v:shape>
            </v:group>
            <v:group style="position:absolute;left:10672;top:928;width:12;height:2" coordorigin="10672,928" coordsize="12,2">
              <v:shape style="position:absolute;left:10672;top:928;width:12;height:2" coordorigin="10672,928" coordsize="12,0" path="m10672,928l10684,928e" filled="false" stroked="true" strokeweight=".6pt" strokecolor="#000008">
                <v:path arrowok="t"/>
              </v:shape>
            </v:group>
            <v:group style="position:absolute;left:10691;top:928;width:12;height:2" coordorigin="10691,928" coordsize="12,2">
              <v:shape style="position:absolute;left:10691;top:928;width:12;height:2" coordorigin="10691,928" coordsize="12,0" path="m10691,928l10703,928e" filled="false" stroked="true" strokeweight=".6pt" strokecolor="#000008">
                <v:path arrowok="t"/>
              </v:shape>
            </v:group>
            <v:group style="position:absolute;left:10710;top:928;width:12;height:2" coordorigin="10710,928" coordsize="12,2">
              <v:shape style="position:absolute;left:10710;top:928;width:12;height:2" coordorigin="10710,928" coordsize="12,0" path="m10710,928l10722,928e" filled="false" stroked="true" strokeweight=".6pt" strokecolor="#000008">
                <v:path arrowok="t"/>
              </v:shape>
            </v:group>
            <v:group style="position:absolute;left:10729;top:928;width:12;height:2" coordorigin="10729,928" coordsize="12,2">
              <v:shape style="position:absolute;left:10729;top:928;width:12;height:2" coordorigin="10729,928" coordsize="12,0" path="m10729,928l10741,928e" filled="false" stroked="true" strokeweight=".6pt" strokecolor="#000008">
                <v:path arrowok="t"/>
              </v:shape>
            </v:group>
            <v:group style="position:absolute;left:10748;top:928;width:12;height:2" coordorigin="10748,928" coordsize="12,2">
              <v:shape style="position:absolute;left:10748;top:928;width:12;height:2" coordorigin="10748,928" coordsize="12,0" path="m10748,928l10760,928e" filled="false" stroked="true" strokeweight=".6pt" strokecolor="#000008">
                <v:path arrowok="t"/>
              </v:shape>
            </v:group>
            <v:group style="position:absolute;left:10768;top:928;width:12;height:2" coordorigin="10768,928" coordsize="12,2">
              <v:shape style="position:absolute;left:10768;top:928;width:12;height:2" coordorigin="10768,928" coordsize="12,0" path="m10768,928l10780,928e" filled="false" stroked="true" strokeweight=".6pt" strokecolor="#000008">
                <v:path arrowok="t"/>
              </v:shape>
            </v:group>
            <v:group style="position:absolute;left:10787;top:928;width:12;height:2" coordorigin="10787,928" coordsize="12,2">
              <v:shape style="position:absolute;left:10787;top:928;width:12;height:2" coordorigin="10787,928" coordsize="12,0" path="m10787,928l10799,928e" filled="false" stroked="true" strokeweight=".6pt" strokecolor="#000008">
                <v:path arrowok="t"/>
              </v:shape>
            </v:group>
            <v:group style="position:absolute;left:10806;top:928;width:12;height:2" coordorigin="10806,928" coordsize="12,2">
              <v:shape style="position:absolute;left:10806;top:928;width:12;height:2" coordorigin="10806,928" coordsize="12,0" path="m10806,928l10818,928e" filled="false" stroked="true" strokeweight=".6pt" strokecolor="#000008">
                <v:path arrowok="t"/>
              </v:shape>
            </v:group>
            <v:group style="position:absolute;left:10825;top:928;width:12;height:2" coordorigin="10825,928" coordsize="12,2">
              <v:shape style="position:absolute;left:10825;top:928;width:12;height:2" coordorigin="10825,928" coordsize="12,0" path="m10825,928l10837,928e" filled="false" stroked="true" strokeweight=".6pt" strokecolor="#000008">
                <v:path arrowok="t"/>
              </v:shape>
            </v:group>
            <v:group style="position:absolute;left:10844;top:928;width:12;height:2" coordorigin="10844,928" coordsize="12,2">
              <v:shape style="position:absolute;left:10844;top:928;width:12;height:2" coordorigin="10844,928" coordsize="12,0" path="m10844,928l10856,928e" filled="false" stroked="true" strokeweight=".6pt" strokecolor="#000008">
                <v:path arrowok="t"/>
              </v:shape>
            </v:group>
            <v:group style="position:absolute;left:10864;top:928;width:12;height:2" coordorigin="10864,928" coordsize="12,2">
              <v:shape style="position:absolute;left:10864;top:928;width:12;height:2" coordorigin="10864,928" coordsize="12,0" path="m10864,928l10876,928e" filled="false" stroked="true" strokeweight=".6pt" strokecolor="#000008">
                <v:path arrowok="t"/>
              </v:shape>
            </v:group>
            <v:group style="position:absolute;left:10883;top:928;width:12;height:2" coordorigin="10883,928" coordsize="12,2">
              <v:shape style="position:absolute;left:10883;top:928;width:12;height:2" coordorigin="10883,928" coordsize="12,0" path="m10883,928l10895,928e" filled="false" stroked="true" strokeweight=".6pt" strokecolor="#000008">
                <v:path arrowok="t"/>
              </v:shape>
            </v:group>
            <v:group style="position:absolute;left:10902;top:928;width:12;height:2" coordorigin="10902,928" coordsize="12,2">
              <v:shape style="position:absolute;left:10902;top:928;width:12;height:2" coordorigin="10902,928" coordsize="12,0" path="m10902,928l10914,928e" filled="false" stroked="true" strokeweight=".6pt" strokecolor="#000008">
                <v:path arrowok="t"/>
              </v:shape>
            </v:group>
            <v:group style="position:absolute;left:10921;top:928;width:12;height:2" coordorigin="10921,928" coordsize="12,2">
              <v:shape style="position:absolute;left:10921;top:928;width:12;height:2" coordorigin="10921,928" coordsize="12,0" path="m10921,928l10933,928e" filled="false" stroked="true" strokeweight=".6pt" strokecolor="#000008">
                <v:path arrowok="t"/>
              </v:shape>
            </v:group>
            <v:group style="position:absolute;left:10940;top:928;width:12;height:2" coordorigin="10940,928" coordsize="12,2">
              <v:shape style="position:absolute;left:10940;top:928;width:12;height:2" coordorigin="10940,928" coordsize="12,0" path="m10940,928l10952,928e" filled="false" stroked="true" strokeweight=".6pt" strokecolor="#000008">
                <v:path arrowok="t"/>
              </v:shape>
            </v:group>
            <v:group style="position:absolute;left:10960;top:928;width:12;height:2" coordorigin="10960,928" coordsize="12,2">
              <v:shape style="position:absolute;left:10960;top:928;width:12;height:2" coordorigin="10960,928" coordsize="12,0" path="m10960,928l10972,928e" filled="false" stroked="true" strokeweight=".6pt" strokecolor="#000008">
                <v:path arrowok="t"/>
              </v:shape>
            </v:group>
            <w10:wrap type="none"/>
          </v:group>
        </w:pict>
      </w:r>
      <w:r>
        <w:rPr>
          <w:rFonts w:ascii="宋体" w:hAnsi="宋体" w:cs="宋体" w:eastAsia="宋体" w:hint="default"/>
          <w:w w:val="95"/>
          <w:sz w:val="20"/>
          <w:szCs w:val="20"/>
        </w:rPr>
        <w:t>(一)基本每股收益</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w w:val="95"/>
          <w:sz w:val="20"/>
          <w:szCs w:val="20"/>
        </w:rPr>
        <w:t>(二)稀释每股收益</w:t>
      </w:r>
      <w:r>
        <w:rPr>
          <w:rFonts w:ascii="宋体" w:hAnsi="宋体" w:cs="宋体" w:eastAsia="宋体" w:hint="default"/>
          <w:sz w:val="20"/>
          <w:szCs w:val="20"/>
        </w:rPr>
      </w:r>
    </w:p>
    <w:p>
      <w:pPr>
        <w:spacing w:line="321" w:lineRule="auto" w:before="0"/>
        <w:ind w:left="245" w:right="7562"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五、其他综合收益</w:t>
      </w:r>
      <w:r>
        <w:rPr>
          <w:rFonts w:ascii="Microsoft JhengHei" w:hAnsi="Microsoft JhengHei" w:cs="Microsoft JhengHei" w:eastAsia="Microsoft JhengHei" w:hint="default"/>
          <w:b/>
          <w:bCs/>
          <w:spacing w:val="-43"/>
          <w:sz w:val="20"/>
          <w:szCs w:val="20"/>
        </w:rPr>
        <w:t> </w:t>
      </w:r>
      <w:r>
        <w:rPr>
          <w:rFonts w:ascii="Microsoft JhengHei" w:hAnsi="Microsoft JhengHei" w:cs="Microsoft JhengHei" w:eastAsia="Microsoft JhengHei" w:hint="default"/>
          <w:b/>
          <w:bCs/>
          <w:spacing w:val="-43"/>
          <w:sz w:val="20"/>
          <w:szCs w:val="20"/>
        </w:rPr>
      </w:r>
      <w:r>
        <w:rPr>
          <w:rFonts w:ascii="Microsoft JhengHei" w:hAnsi="Microsoft JhengHei" w:cs="Microsoft JhengHei" w:eastAsia="Microsoft JhengHei" w:hint="default"/>
          <w:b/>
          <w:bCs/>
          <w:sz w:val="20"/>
          <w:szCs w:val="20"/>
        </w:rPr>
        <w:t>六、综合收益总额</w:t>
      </w:r>
      <w:r>
        <w:rPr>
          <w:rFonts w:ascii="Microsoft JhengHei" w:hAnsi="Microsoft JhengHei" w:cs="Microsoft JhengHei" w:eastAsia="Microsoft JhengHei" w:hint="default"/>
          <w:sz w:val="20"/>
          <w:szCs w:val="20"/>
        </w:rPr>
      </w:r>
    </w:p>
    <w:p>
      <w:pPr>
        <w:spacing w:after="0" w:line="321" w:lineRule="auto"/>
        <w:jc w:val="left"/>
        <w:rPr>
          <w:rFonts w:ascii="Microsoft JhengHei" w:hAnsi="Microsoft JhengHei" w:cs="Microsoft JhengHei" w:eastAsia="Microsoft JhengHei" w:hint="default"/>
          <w:sz w:val="20"/>
          <w:szCs w:val="20"/>
        </w:rPr>
        <w:sectPr>
          <w:headerReference w:type="default" r:id="rId148"/>
          <w:pgSz w:w="11910" w:h="16840"/>
          <w:pgMar w:header="943" w:footer="897" w:top="1640" w:bottom="1080" w:left="1660" w:right="820"/>
        </w:sectPr>
      </w:pPr>
    </w:p>
    <w:p>
      <w:pPr>
        <w:spacing w:line="240" w:lineRule="auto" w:before="7"/>
        <w:rPr>
          <w:rFonts w:ascii="Microsoft JhengHei" w:hAnsi="Microsoft JhengHei" w:cs="Microsoft JhengHei" w:eastAsia="Microsoft JhengHei" w:hint="default"/>
          <w:b/>
          <w:bCs/>
          <w:sz w:val="13"/>
          <w:szCs w:val="13"/>
        </w:rPr>
      </w:pPr>
    </w:p>
    <w:p>
      <w:pPr>
        <w:pStyle w:val="Heading2"/>
        <w:spacing w:line="240" w:lineRule="auto"/>
        <w:ind w:left="3634" w:right="3652"/>
        <w:jc w:val="center"/>
      </w:pPr>
      <w:r>
        <w:rPr/>
        <w:t>现金流量表</w:t>
      </w:r>
    </w:p>
    <w:p>
      <w:pPr>
        <w:spacing w:line="332" w:lineRule="exact" w:before="97"/>
        <w:ind w:left="3634" w:right="3640"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spacing w:line="240" w:lineRule="auto" w:before="7"/>
        <w:rPr>
          <w:rFonts w:ascii="Microsoft JhengHei" w:hAnsi="Microsoft JhengHei" w:cs="Microsoft JhengHei" w:eastAsia="Microsoft JhengHei" w:hint="default"/>
          <w:b/>
          <w:bCs/>
          <w:sz w:val="10"/>
          <w:szCs w:val="10"/>
        </w:rPr>
      </w:pPr>
    </w:p>
    <w:p>
      <w:pPr>
        <w:tabs>
          <w:tab w:pos="7371" w:val="left" w:leader="none"/>
        </w:tabs>
        <w:spacing w:line="129" w:lineRule="auto" w:before="0"/>
        <w:ind w:left="8374" w:right="147" w:hanging="8237"/>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tab/>
      </w:r>
      <w:r>
        <w:rPr>
          <w:rFonts w:ascii="Microsoft JhengHei" w:hAnsi="Microsoft JhengHei" w:cs="Microsoft JhengHei" w:eastAsia="Microsoft JhengHei" w:hint="default"/>
          <w:b/>
          <w:bCs/>
          <w:position w:val="13"/>
          <w:sz w:val="20"/>
          <w:szCs w:val="20"/>
        </w:rPr>
        <w:t>金额单位：人民</w:t>
      </w:r>
      <w:r>
        <w:rPr>
          <w:rFonts w:ascii="Microsoft JhengHei" w:hAnsi="Microsoft JhengHei" w:cs="Microsoft JhengHei" w:eastAsia="Microsoft JhengHei" w:hint="default"/>
          <w:b/>
          <w:bCs/>
          <w:w w:val="99"/>
          <w:position w:val="13"/>
          <w:sz w:val="20"/>
          <w:szCs w:val="20"/>
        </w:rPr>
        <w:t> </w:t>
      </w:r>
      <w:r>
        <w:rPr>
          <w:rFonts w:ascii="Microsoft JhengHei" w:hAnsi="Microsoft JhengHei" w:cs="Microsoft JhengHei" w:eastAsia="Microsoft JhengHei" w:hint="default"/>
          <w:b/>
          <w:bCs/>
          <w:sz w:val="20"/>
          <w:szCs w:val="20"/>
        </w:rPr>
        <w:t>币元</w:t>
      </w:r>
      <w:r>
        <w:rPr>
          <w:rFonts w:ascii="Microsoft JhengHei" w:hAnsi="Microsoft JhengHei" w:cs="Microsoft JhengHei" w:eastAsia="Microsoft JhengHei" w:hint="default"/>
          <w:sz w:val="20"/>
          <w:szCs w:val="20"/>
        </w:rPr>
      </w:r>
    </w:p>
    <w:p>
      <w:pPr>
        <w:tabs>
          <w:tab w:pos="2547" w:val="left" w:leader="none"/>
          <w:tab w:pos="4707" w:val="left" w:leader="none"/>
          <w:tab w:pos="6131" w:val="left" w:leader="none"/>
          <w:tab w:pos="7931" w:val="left" w:leader="none"/>
        </w:tabs>
        <w:spacing w:line="259" w:lineRule="auto" w:before="11"/>
        <w:ind w:left="137" w:right="149" w:firstLine="1708"/>
        <w:jc w:val="left"/>
        <w:rPr>
          <w:rFonts w:ascii="Microsoft JhengHei" w:hAnsi="Microsoft JhengHei" w:cs="Microsoft JhengHei" w:eastAsia="Microsoft JhengHei" w:hint="default"/>
          <w:sz w:val="20"/>
          <w:szCs w:val="20"/>
        </w:rPr>
      </w:pPr>
      <w:r>
        <w:rPr/>
        <w:pict>
          <v:group style="position:absolute;margin-left:89.759995pt;margin-top:1.73139pt;width:432pt;height:.1pt;mso-position-horizontal-relative:page;mso-position-vertical-relative:paragraph;z-index:-1139368" coordorigin="1795,35" coordsize="8640,2">
            <v:shape style="position:absolute;left:1795;top:35;width:8640;height:2" coordorigin="1795,35" coordsize="8640,0" path="m1795,35l10435,35e" filled="false" stroked="true" strokeweight=".48pt" strokecolor="#000008">
              <v:path arrowok="t"/>
            </v:shape>
            <w10:wrap type="none"/>
          </v:group>
        </w:pict>
      </w:r>
      <w:r>
        <w:rPr/>
        <w:pict>
          <v:group style="position:absolute;margin-left:89.759995pt;margin-top:21.771389pt;width:216pt;height:.1pt;mso-position-horizontal-relative:page;mso-position-vertical-relative:paragraph;z-index:-1139344" coordorigin="1795,435" coordsize="4320,2">
            <v:shape style="position:absolute;left:1795;top:435;width:4320;height:2" coordorigin="1795,435" coordsize="4320,0" path="m1795,435l6115,435e" filled="false" stroked="true" strokeweight=".48pt" strokecolor="#000008">
              <v:path arrowok="t"/>
            </v:shape>
            <w10:wrap type="none"/>
          </v:group>
        </w:pict>
      </w:r>
      <w:r>
        <w:rPr/>
        <w:pict>
          <v:group style="position:absolute;margin-left:314.759979pt;margin-top:21.771389pt;width:27pt;height:.1pt;mso-position-horizontal-relative:page;mso-position-vertical-relative:paragraph;z-index:-1139320" coordorigin="6295,435" coordsize="540,2">
            <v:shape style="position:absolute;left:6295;top:435;width:540;height:2" coordorigin="6295,435" coordsize="540,0" path="m6295,435l6835,435e" filled="false" stroked="true" strokeweight=".48pt" strokecolor="#000008">
              <v:path arrowok="t"/>
            </v:shape>
            <w10:wrap type="none"/>
          </v:group>
        </w:pict>
      </w:r>
      <w:r>
        <w:rPr/>
        <w:pict>
          <v:group style="position:absolute;margin-left:359.759979pt;margin-top:21.771389pt;width:72pt;height:.1pt;mso-position-horizontal-relative:page;mso-position-vertical-relative:paragraph;z-index:-1139296" coordorigin="7195,435" coordsize="1440,2">
            <v:shape style="position:absolute;left:7195;top:435;width:1440;height:2" coordorigin="7195,435" coordsize="1440,0" path="m7195,435l8635,435e" filled="false" stroked="true" strokeweight=".48pt" strokecolor="#000008">
              <v:path arrowok="t"/>
            </v:shape>
            <w10:wrap type="none"/>
          </v:group>
        </w:pict>
      </w:r>
      <w:r>
        <w:rPr/>
        <w:pict>
          <v:group style="position:absolute;margin-left:449.759979pt;margin-top:21.771389pt;width:72pt;height:.1pt;mso-position-horizontal-relative:page;mso-position-vertical-relative:paragraph;z-index:-1139272" coordorigin="8995,435" coordsize="1440,2">
            <v:shape style="position:absolute;left:8995;top:435;width:1440;height:2" coordorigin="8995,435" coordsize="1440,0" path="m8995,435l10435,435e" filled="false" stroked="true" strokeweight=".48pt" strokecolor="#000008">
              <v:path arrowok="t"/>
            </v:shape>
            <w10:wrap type="none"/>
          </v:group>
        </w:pict>
      </w:r>
      <w:r>
        <w:rPr>
          <w:rFonts w:ascii="Microsoft JhengHei" w:hAnsi="Microsoft JhengHei" w:cs="Microsoft JhengHei" w:eastAsia="Microsoft JhengHei" w:hint="default"/>
          <w:b/>
          <w:bCs/>
          <w:w w:val="95"/>
          <w:sz w:val="20"/>
          <w:szCs w:val="20"/>
        </w:rPr>
        <w:t>项</w:t>
        <w:tab/>
        <w:t>目</w:t>
        <w:tab/>
      </w:r>
      <w:r>
        <w:rPr>
          <w:rFonts w:ascii="Microsoft JhengHei" w:hAnsi="Microsoft JhengHei" w:cs="Microsoft JhengHei" w:eastAsia="Microsoft JhengHei" w:hint="default"/>
          <w:b/>
          <w:bCs/>
          <w:sz w:val="20"/>
          <w:szCs w:val="20"/>
        </w:rPr>
        <w:t>附注</w:t>
        <w:tab/>
      </w: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tab/>
      </w: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p>
      <w:pPr>
        <w:spacing w:line="422" w:lineRule="auto" w:before="97"/>
        <w:ind w:left="516" w:right="4451" w:firstLine="0"/>
        <w:jc w:val="left"/>
        <w:rPr>
          <w:rFonts w:ascii="宋体" w:hAnsi="宋体" w:cs="宋体" w:eastAsia="宋体" w:hint="default"/>
          <w:sz w:val="20"/>
          <w:szCs w:val="20"/>
        </w:rPr>
      </w:pPr>
      <w:r>
        <w:rPr/>
        <w:pict>
          <v:group style="position:absolute;margin-left:359.399994pt;margin-top:70.349701pt;width:72.25pt;height:.6pt;mso-position-horizontal-relative:page;mso-position-vertical-relative:paragraph;z-index:3256" coordorigin="7188,1407" coordsize="1445,12">
            <v:group style="position:absolute;left:7194;top:1413;width:12;height:2" coordorigin="7194,1413" coordsize="12,2">
              <v:shape style="position:absolute;left:7194;top:1413;width:12;height:2" coordorigin="7194,1413" coordsize="12,0" path="m7194,1413l7206,1413e" filled="false" stroked="true" strokeweight=".6pt" strokecolor="#000008">
                <v:path arrowok="t"/>
              </v:shape>
            </v:group>
            <v:group style="position:absolute;left:7213;top:1413;width:12;height:2" coordorigin="7213,1413" coordsize="12,2">
              <v:shape style="position:absolute;left:7213;top:1413;width:12;height:2" coordorigin="7213,1413" coordsize="12,0" path="m7213,1413l7225,1413e" filled="false" stroked="true" strokeweight=".6pt" strokecolor="#000008">
                <v:path arrowok="t"/>
              </v:shape>
            </v:group>
            <v:group style="position:absolute;left:7232;top:1413;width:12;height:2" coordorigin="7232,1413" coordsize="12,2">
              <v:shape style="position:absolute;left:7232;top:1413;width:12;height:2" coordorigin="7232,1413" coordsize="12,0" path="m7232,1413l7244,1413e" filled="false" stroked="true" strokeweight=".6pt" strokecolor="#000008">
                <v:path arrowok="t"/>
              </v:shape>
            </v:group>
            <v:group style="position:absolute;left:7252;top:1413;width:12;height:2" coordorigin="7252,1413" coordsize="12,2">
              <v:shape style="position:absolute;left:7252;top:1413;width:12;height:2" coordorigin="7252,1413" coordsize="12,0" path="m7252,1413l7264,1413e" filled="false" stroked="true" strokeweight=".6pt" strokecolor="#000008">
                <v:path arrowok="t"/>
              </v:shape>
            </v:group>
            <v:group style="position:absolute;left:7271;top:1413;width:12;height:2" coordorigin="7271,1413" coordsize="12,2">
              <v:shape style="position:absolute;left:7271;top:1413;width:12;height:2" coordorigin="7271,1413" coordsize="12,0" path="m7271,1413l7283,1413e" filled="false" stroked="true" strokeweight=".6pt" strokecolor="#000008">
                <v:path arrowok="t"/>
              </v:shape>
            </v:group>
            <v:group style="position:absolute;left:7290;top:1413;width:12;height:2" coordorigin="7290,1413" coordsize="12,2">
              <v:shape style="position:absolute;left:7290;top:1413;width:12;height:2" coordorigin="7290,1413" coordsize="12,0" path="m7290,1413l7302,1413e" filled="false" stroked="true" strokeweight=".6pt" strokecolor="#000008">
                <v:path arrowok="t"/>
              </v:shape>
            </v:group>
            <v:group style="position:absolute;left:7309;top:1413;width:12;height:2" coordorigin="7309,1413" coordsize="12,2">
              <v:shape style="position:absolute;left:7309;top:1413;width:12;height:2" coordorigin="7309,1413" coordsize="12,0" path="m7309,1413l7321,1413e" filled="false" stroked="true" strokeweight=".6pt" strokecolor="#000008">
                <v:path arrowok="t"/>
              </v:shape>
            </v:group>
            <v:group style="position:absolute;left:7328;top:1413;width:12;height:2" coordorigin="7328,1413" coordsize="12,2">
              <v:shape style="position:absolute;left:7328;top:1413;width:12;height:2" coordorigin="7328,1413" coordsize="12,0" path="m7328,1413l7340,1413e" filled="false" stroked="true" strokeweight=".6pt" strokecolor="#000008">
                <v:path arrowok="t"/>
              </v:shape>
            </v:group>
            <v:group style="position:absolute;left:7348;top:1413;width:12;height:2" coordorigin="7348,1413" coordsize="12,2">
              <v:shape style="position:absolute;left:7348;top:1413;width:12;height:2" coordorigin="7348,1413" coordsize="12,0" path="m7348,1413l7360,1413e" filled="false" stroked="true" strokeweight=".6pt" strokecolor="#000008">
                <v:path arrowok="t"/>
              </v:shape>
            </v:group>
            <v:group style="position:absolute;left:7367;top:1413;width:12;height:2" coordorigin="7367,1413" coordsize="12,2">
              <v:shape style="position:absolute;left:7367;top:1413;width:12;height:2" coordorigin="7367,1413" coordsize="12,0" path="m7367,1413l7379,1413e" filled="false" stroked="true" strokeweight=".6pt" strokecolor="#000008">
                <v:path arrowok="t"/>
              </v:shape>
            </v:group>
            <v:group style="position:absolute;left:7386;top:1413;width:12;height:2" coordorigin="7386,1413" coordsize="12,2">
              <v:shape style="position:absolute;left:7386;top:1413;width:12;height:2" coordorigin="7386,1413" coordsize="12,0" path="m7386,1413l7398,1413e" filled="false" stroked="true" strokeweight=".6pt" strokecolor="#000008">
                <v:path arrowok="t"/>
              </v:shape>
            </v:group>
            <v:group style="position:absolute;left:7405;top:1413;width:12;height:2" coordorigin="7405,1413" coordsize="12,2">
              <v:shape style="position:absolute;left:7405;top:1413;width:12;height:2" coordorigin="7405,1413" coordsize="12,0" path="m7405,1413l7417,1413e" filled="false" stroked="true" strokeweight=".6pt" strokecolor="#000008">
                <v:path arrowok="t"/>
              </v:shape>
            </v:group>
            <v:group style="position:absolute;left:7424;top:1413;width:12;height:2" coordorigin="7424,1413" coordsize="12,2">
              <v:shape style="position:absolute;left:7424;top:1413;width:12;height:2" coordorigin="7424,1413" coordsize="12,0" path="m7424,1413l7436,1413e" filled="false" stroked="true" strokeweight=".6pt" strokecolor="#000008">
                <v:path arrowok="t"/>
              </v:shape>
            </v:group>
            <v:group style="position:absolute;left:7444;top:1413;width:12;height:2" coordorigin="7444,1413" coordsize="12,2">
              <v:shape style="position:absolute;left:7444;top:1413;width:12;height:2" coordorigin="7444,1413" coordsize="12,0" path="m7444,1413l7456,1413e" filled="false" stroked="true" strokeweight=".6pt" strokecolor="#000008">
                <v:path arrowok="t"/>
              </v:shape>
            </v:group>
            <v:group style="position:absolute;left:7463;top:1413;width:12;height:2" coordorigin="7463,1413" coordsize="12,2">
              <v:shape style="position:absolute;left:7463;top:1413;width:12;height:2" coordorigin="7463,1413" coordsize="12,0" path="m7463,1413l7475,1413e" filled="false" stroked="true" strokeweight=".6pt" strokecolor="#000008">
                <v:path arrowok="t"/>
              </v:shape>
            </v:group>
            <v:group style="position:absolute;left:7482;top:1413;width:12;height:2" coordorigin="7482,1413" coordsize="12,2">
              <v:shape style="position:absolute;left:7482;top:1413;width:12;height:2" coordorigin="7482,1413" coordsize="12,0" path="m7482,1413l7494,1413e" filled="false" stroked="true" strokeweight=".6pt" strokecolor="#000008">
                <v:path arrowok="t"/>
              </v:shape>
            </v:group>
            <v:group style="position:absolute;left:7501;top:1413;width:12;height:2" coordorigin="7501,1413" coordsize="12,2">
              <v:shape style="position:absolute;left:7501;top:1413;width:12;height:2" coordorigin="7501,1413" coordsize="12,0" path="m7501,1413l7513,1413e" filled="false" stroked="true" strokeweight=".6pt" strokecolor="#000008">
                <v:path arrowok="t"/>
              </v:shape>
            </v:group>
            <v:group style="position:absolute;left:7520;top:1413;width:12;height:2" coordorigin="7520,1413" coordsize="12,2">
              <v:shape style="position:absolute;left:7520;top:1413;width:12;height:2" coordorigin="7520,1413" coordsize="12,0" path="m7520,1413l7532,1413e" filled="false" stroked="true" strokeweight=".6pt" strokecolor="#000008">
                <v:path arrowok="t"/>
              </v:shape>
            </v:group>
            <v:group style="position:absolute;left:7540;top:1413;width:12;height:2" coordorigin="7540,1413" coordsize="12,2">
              <v:shape style="position:absolute;left:7540;top:1413;width:12;height:2" coordorigin="7540,1413" coordsize="12,0" path="m7540,1413l7552,1413e" filled="false" stroked="true" strokeweight=".6pt" strokecolor="#000008">
                <v:path arrowok="t"/>
              </v:shape>
            </v:group>
            <v:group style="position:absolute;left:7559;top:1413;width:12;height:2" coordorigin="7559,1413" coordsize="12,2">
              <v:shape style="position:absolute;left:7559;top:1413;width:12;height:2" coordorigin="7559,1413" coordsize="12,0" path="m7559,1413l7571,1413e" filled="false" stroked="true" strokeweight=".6pt" strokecolor="#000008">
                <v:path arrowok="t"/>
              </v:shape>
            </v:group>
            <v:group style="position:absolute;left:7578;top:1413;width:12;height:2" coordorigin="7578,1413" coordsize="12,2">
              <v:shape style="position:absolute;left:7578;top:1413;width:12;height:2" coordorigin="7578,1413" coordsize="12,0" path="m7578,1413l7590,1413e" filled="false" stroked="true" strokeweight=".6pt" strokecolor="#000008">
                <v:path arrowok="t"/>
              </v:shape>
            </v:group>
            <v:group style="position:absolute;left:7597;top:1413;width:12;height:2" coordorigin="7597,1413" coordsize="12,2">
              <v:shape style="position:absolute;left:7597;top:1413;width:12;height:2" coordorigin="7597,1413" coordsize="12,0" path="m7597,1413l7609,1413e" filled="false" stroked="true" strokeweight=".6pt" strokecolor="#000008">
                <v:path arrowok="t"/>
              </v:shape>
            </v:group>
            <v:group style="position:absolute;left:7616;top:1413;width:12;height:2" coordorigin="7616,1413" coordsize="12,2">
              <v:shape style="position:absolute;left:7616;top:1413;width:12;height:2" coordorigin="7616,1413" coordsize="12,0" path="m7616,1413l7628,1413e" filled="false" stroked="true" strokeweight=".6pt" strokecolor="#000008">
                <v:path arrowok="t"/>
              </v:shape>
            </v:group>
            <v:group style="position:absolute;left:7636;top:1413;width:12;height:2" coordorigin="7636,1413" coordsize="12,2">
              <v:shape style="position:absolute;left:7636;top:1413;width:12;height:2" coordorigin="7636,1413" coordsize="12,0" path="m7636,1413l7648,1413e" filled="false" stroked="true" strokeweight=".6pt" strokecolor="#000008">
                <v:path arrowok="t"/>
              </v:shape>
            </v:group>
            <v:group style="position:absolute;left:7655;top:1413;width:12;height:2" coordorigin="7655,1413" coordsize="12,2">
              <v:shape style="position:absolute;left:7655;top:1413;width:12;height:2" coordorigin="7655,1413" coordsize="12,0" path="m7655,1413l7667,1413e" filled="false" stroked="true" strokeweight=".6pt" strokecolor="#000008">
                <v:path arrowok="t"/>
              </v:shape>
            </v:group>
            <v:group style="position:absolute;left:7674;top:1413;width:12;height:2" coordorigin="7674,1413" coordsize="12,2">
              <v:shape style="position:absolute;left:7674;top:1413;width:12;height:2" coordorigin="7674,1413" coordsize="12,0" path="m7674,1413l7686,1413e" filled="false" stroked="true" strokeweight=".6pt" strokecolor="#000008">
                <v:path arrowok="t"/>
              </v:shape>
            </v:group>
            <v:group style="position:absolute;left:7693;top:1413;width:12;height:2" coordorigin="7693,1413" coordsize="12,2">
              <v:shape style="position:absolute;left:7693;top:1413;width:12;height:2" coordorigin="7693,1413" coordsize="12,0" path="m7693,1413l7705,1413e" filled="false" stroked="true" strokeweight=".6pt" strokecolor="#000008">
                <v:path arrowok="t"/>
              </v:shape>
            </v:group>
            <v:group style="position:absolute;left:7712;top:1413;width:12;height:2" coordorigin="7712,1413" coordsize="12,2">
              <v:shape style="position:absolute;left:7712;top:1413;width:12;height:2" coordorigin="7712,1413" coordsize="12,0" path="m7712,1413l7724,1413e" filled="false" stroked="true" strokeweight=".6pt" strokecolor="#000008">
                <v:path arrowok="t"/>
              </v:shape>
            </v:group>
            <v:group style="position:absolute;left:7732;top:1413;width:12;height:2" coordorigin="7732,1413" coordsize="12,2">
              <v:shape style="position:absolute;left:7732;top:1413;width:12;height:2" coordorigin="7732,1413" coordsize="12,0" path="m7732,1413l7744,1413e" filled="false" stroked="true" strokeweight=".6pt" strokecolor="#000008">
                <v:path arrowok="t"/>
              </v:shape>
            </v:group>
            <v:group style="position:absolute;left:7751;top:1413;width:12;height:2" coordorigin="7751,1413" coordsize="12,2">
              <v:shape style="position:absolute;left:7751;top:1413;width:12;height:2" coordorigin="7751,1413" coordsize="12,0" path="m7751,1413l7763,1413e" filled="false" stroked="true" strokeweight=".6pt" strokecolor="#000008">
                <v:path arrowok="t"/>
              </v:shape>
            </v:group>
            <v:group style="position:absolute;left:7770;top:1413;width:12;height:2" coordorigin="7770,1413" coordsize="12,2">
              <v:shape style="position:absolute;left:7770;top:1413;width:12;height:2" coordorigin="7770,1413" coordsize="12,0" path="m7770,1413l7782,1413e" filled="false" stroked="true" strokeweight=".6pt" strokecolor="#000008">
                <v:path arrowok="t"/>
              </v:shape>
            </v:group>
            <v:group style="position:absolute;left:7789;top:1413;width:12;height:2" coordorigin="7789,1413" coordsize="12,2">
              <v:shape style="position:absolute;left:7789;top:1413;width:12;height:2" coordorigin="7789,1413" coordsize="12,0" path="m7789,1413l7801,1413e" filled="false" stroked="true" strokeweight=".6pt" strokecolor="#000008">
                <v:path arrowok="t"/>
              </v:shape>
            </v:group>
            <v:group style="position:absolute;left:7808;top:1413;width:12;height:2" coordorigin="7808,1413" coordsize="12,2">
              <v:shape style="position:absolute;left:7808;top:1413;width:12;height:2" coordorigin="7808,1413" coordsize="12,0" path="m7808,1413l7820,1413e" filled="false" stroked="true" strokeweight=".6pt" strokecolor="#000008">
                <v:path arrowok="t"/>
              </v:shape>
            </v:group>
            <v:group style="position:absolute;left:7828;top:1413;width:12;height:2" coordorigin="7828,1413" coordsize="12,2">
              <v:shape style="position:absolute;left:7828;top:1413;width:12;height:2" coordorigin="7828,1413" coordsize="12,0" path="m7828,1413l7840,1413e" filled="false" stroked="true" strokeweight=".6pt" strokecolor="#000008">
                <v:path arrowok="t"/>
              </v:shape>
            </v:group>
            <v:group style="position:absolute;left:7847;top:1413;width:12;height:2" coordorigin="7847,1413" coordsize="12,2">
              <v:shape style="position:absolute;left:7847;top:1413;width:12;height:2" coordorigin="7847,1413" coordsize="12,0" path="m7847,1413l7859,1413e" filled="false" stroked="true" strokeweight=".6pt" strokecolor="#000008">
                <v:path arrowok="t"/>
              </v:shape>
            </v:group>
            <v:group style="position:absolute;left:7866;top:1413;width:12;height:2" coordorigin="7866,1413" coordsize="12,2">
              <v:shape style="position:absolute;left:7866;top:1413;width:12;height:2" coordorigin="7866,1413" coordsize="12,0" path="m7866,1413l7878,1413e" filled="false" stroked="true" strokeweight=".6pt" strokecolor="#000008">
                <v:path arrowok="t"/>
              </v:shape>
            </v:group>
            <v:group style="position:absolute;left:7885;top:1413;width:12;height:2" coordorigin="7885,1413" coordsize="12,2">
              <v:shape style="position:absolute;left:7885;top:1413;width:12;height:2" coordorigin="7885,1413" coordsize="12,0" path="m7885,1413l7897,1413e" filled="false" stroked="true" strokeweight=".6pt" strokecolor="#000008">
                <v:path arrowok="t"/>
              </v:shape>
            </v:group>
            <v:group style="position:absolute;left:7904;top:1413;width:12;height:2" coordorigin="7904,1413" coordsize="12,2">
              <v:shape style="position:absolute;left:7904;top:1413;width:12;height:2" coordorigin="7904,1413" coordsize="12,0" path="m7904,1413l7916,1413e" filled="false" stroked="true" strokeweight=".6pt" strokecolor="#000008">
                <v:path arrowok="t"/>
              </v:shape>
            </v:group>
            <v:group style="position:absolute;left:7924;top:1413;width:12;height:2" coordorigin="7924,1413" coordsize="12,2">
              <v:shape style="position:absolute;left:7924;top:1413;width:12;height:2" coordorigin="7924,1413" coordsize="12,0" path="m7924,1413l7936,1413e" filled="false" stroked="true" strokeweight=".6pt" strokecolor="#000008">
                <v:path arrowok="t"/>
              </v:shape>
            </v:group>
            <v:group style="position:absolute;left:7943;top:1413;width:12;height:2" coordorigin="7943,1413" coordsize="12,2">
              <v:shape style="position:absolute;left:7943;top:1413;width:12;height:2" coordorigin="7943,1413" coordsize="12,0" path="m7943,1413l7955,1413e" filled="false" stroked="true" strokeweight=".6pt" strokecolor="#000008">
                <v:path arrowok="t"/>
              </v:shape>
            </v:group>
            <v:group style="position:absolute;left:7962;top:1413;width:12;height:2" coordorigin="7962,1413" coordsize="12,2">
              <v:shape style="position:absolute;left:7962;top:1413;width:12;height:2" coordorigin="7962,1413" coordsize="12,0" path="m7962,1413l7974,1413e" filled="false" stroked="true" strokeweight=".6pt" strokecolor="#000008">
                <v:path arrowok="t"/>
              </v:shape>
            </v:group>
            <v:group style="position:absolute;left:7981;top:1413;width:12;height:2" coordorigin="7981,1413" coordsize="12,2">
              <v:shape style="position:absolute;left:7981;top:1413;width:12;height:2" coordorigin="7981,1413" coordsize="12,0" path="m7981,1413l7993,1413e" filled="false" stroked="true" strokeweight=".6pt" strokecolor="#000008">
                <v:path arrowok="t"/>
              </v:shape>
            </v:group>
            <v:group style="position:absolute;left:8000;top:1413;width:12;height:2" coordorigin="8000,1413" coordsize="12,2">
              <v:shape style="position:absolute;left:8000;top:1413;width:12;height:2" coordorigin="8000,1413" coordsize="12,0" path="m8000,1413l8012,1413e" filled="false" stroked="true" strokeweight=".6pt" strokecolor="#000008">
                <v:path arrowok="t"/>
              </v:shape>
            </v:group>
            <v:group style="position:absolute;left:8020;top:1413;width:12;height:2" coordorigin="8020,1413" coordsize="12,2">
              <v:shape style="position:absolute;left:8020;top:1413;width:12;height:2" coordorigin="8020,1413" coordsize="12,0" path="m8020,1413l8032,1413e" filled="false" stroked="true" strokeweight=".6pt" strokecolor="#000008">
                <v:path arrowok="t"/>
              </v:shape>
            </v:group>
            <v:group style="position:absolute;left:8039;top:1413;width:12;height:2" coordorigin="8039,1413" coordsize="12,2">
              <v:shape style="position:absolute;left:8039;top:1413;width:12;height:2" coordorigin="8039,1413" coordsize="12,0" path="m8039,1413l8051,1413e" filled="false" stroked="true" strokeweight=".6pt" strokecolor="#000008">
                <v:path arrowok="t"/>
              </v:shape>
            </v:group>
            <v:group style="position:absolute;left:8058;top:1413;width:12;height:2" coordorigin="8058,1413" coordsize="12,2">
              <v:shape style="position:absolute;left:8058;top:1413;width:12;height:2" coordorigin="8058,1413" coordsize="12,0" path="m8058,1413l8070,1413e" filled="false" stroked="true" strokeweight=".6pt" strokecolor="#000008">
                <v:path arrowok="t"/>
              </v:shape>
            </v:group>
            <v:group style="position:absolute;left:8077;top:1413;width:12;height:2" coordorigin="8077,1413" coordsize="12,2">
              <v:shape style="position:absolute;left:8077;top:1413;width:12;height:2" coordorigin="8077,1413" coordsize="12,0" path="m8077,1413l8089,1413e" filled="false" stroked="true" strokeweight=".6pt" strokecolor="#000008">
                <v:path arrowok="t"/>
              </v:shape>
            </v:group>
            <v:group style="position:absolute;left:8096;top:1413;width:12;height:2" coordorigin="8096,1413" coordsize="12,2">
              <v:shape style="position:absolute;left:8096;top:1413;width:12;height:2" coordorigin="8096,1413" coordsize="12,0" path="m8096,1413l8108,1413e" filled="false" stroked="true" strokeweight=".6pt" strokecolor="#000008">
                <v:path arrowok="t"/>
              </v:shape>
            </v:group>
            <v:group style="position:absolute;left:8116;top:1413;width:12;height:2" coordorigin="8116,1413" coordsize="12,2">
              <v:shape style="position:absolute;left:8116;top:1413;width:12;height:2" coordorigin="8116,1413" coordsize="12,0" path="m8116,1413l8128,1413e" filled="false" stroked="true" strokeweight=".6pt" strokecolor="#000008">
                <v:path arrowok="t"/>
              </v:shape>
            </v:group>
            <v:group style="position:absolute;left:8135;top:1413;width:12;height:2" coordorigin="8135,1413" coordsize="12,2">
              <v:shape style="position:absolute;left:8135;top:1413;width:12;height:2" coordorigin="8135,1413" coordsize="12,0" path="m8135,1413l8147,1413e" filled="false" stroked="true" strokeweight=".6pt" strokecolor="#000008">
                <v:path arrowok="t"/>
              </v:shape>
            </v:group>
            <v:group style="position:absolute;left:8154;top:1413;width:12;height:2" coordorigin="8154,1413" coordsize="12,2">
              <v:shape style="position:absolute;left:8154;top:1413;width:12;height:2" coordorigin="8154,1413" coordsize="12,0" path="m8154,1413l8166,1413e" filled="false" stroked="true" strokeweight=".6pt" strokecolor="#000008">
                <v:path arrowok="t"/>
              </v:shape>
            </v:group>
            <v:group style="position:absolute;left:8173;top:1413;width:12;height:2" coordorigin="8173,1413" coordsize="12,2">
              <v:shape style="position:absolute;left:8173;top:1413;width:12;height:2" coordorigin="8173,1413" coordsize="12,0" path="m8173,1413l8185,1413e" filled="false" stroked="true" strokeweight=".6pt" strokecolor="#000008">
                <v:path arrowok="t"/>
              </v:shape>
            </v:group>
            <v:group style="position:absolute;left:8192;top:1413;width:12;height:2" coordorigin="8192,1413" coordsize="12,2">
              <v:shape style="position:absolute;left:8192;top:1413;width:12;height:2" coordorigin="8192,1413" coordsize="12,0" path="m8192,1413l8204,1413e" filled="false" stroked="true" strokeweight=".6pt" strokecolor="#000008">
                <v:path arrowok="t"/>
              </v:shape>
            </v:group>
            <v:group style="position:absolute;left:8212;top:1413;width:12;height:2" coordorigin="8212,1413" coordsize="12,2">
              <v:shape style="position:absolute;left:8212;top:1413;width:12;height:2" coordorigin="8212,1413" coordsize="12,0" path="m8212,1413l8224,1413e" filled="false" stroked="true" strokeweight=".6pt" strokecolor="#000008">
                <v:path arrowok="t"/>
              </v:shape>
            </v:group>
            <v:group style="position:absolute;left:8231;top:1413;width:12;height:2" coordorigin="8231,1413" coordsize="12,2">
              <v:shape style="position:absolute;left:8231;top:1413;width:12;height:2" coordorigin="8231,1413" coordsize="12,0" path="m8231,1413l8243,1413e" filled="false" stroked="true" strokeweight=".6pt" strokecolor="#000008">
                <v:path arrowok="t"/>
              </v:shape>
            </v:group>
            <v:group style="position:absolute;left:8250;top:1413;width:12;height:2" coordorigin="8250,1413" coordsize="12,2">
              <v:shape style="position:absolute;left:8250;top:1413;width:12;height:2" coordorigin="8250,1413" coordsize="12,0" path="m8250,1413l8262,1413e" filled="false" stroked="true" strokeweight=".6pt" strokecolor="#000008">
                <v:path arrowok="t"/>
              </v:shape>
            </v:group>
            <v:group style="position:absolute;left:8269;top:1413;width:12;height:2" coordorigin="8269,1413" coordsize="12,2">
              <v:shape style="position:absolute;left:8269;top:1413;width:12;height:2" coordorigin="8269,1413" coordsize="12,0" path="m8269,1413l8281,1413e" filled="false" stroked="true" strokeweight=".6pt" strokecolor="#000008">
                <v:path arrowok="t"/>
              </v:shape>
            </v:group>
            <v:group style="position:absolute;left:8288;top:1413;width:12;height:2" coordorigin="8288,1413" coordsize="12,2">
              <v:shape style="position:absolute;left:8288;top:1413;width:12;height:2" coordorigin="8288,1413" coordsize="12,0" path="m8288,1413l8300,1413e" filled="false" stroked="true" strokeweight=".6pt" strokecolor="#000008">
                <v:path arrowok="t"/>
              </v:shape>
            </v:group>
            <v:group style="position:absolute;left:8308;top:1413;width:12;height:2" coordorigin="8308,1413" coordsize="12,2">
              <v:shape style="position:absolute;left:8308;top:1413;width:12;height:2" coordorigin="8308,1413" coordsize="12,0" path="m8308,1413l8320,1413e" filled="false" stroked="true" strokeweight=".6pt" strokecolor="#000008">
                <v:path arrowok="t"/>
              </v:shape>
            </v:group>
            <v:group style="position:absolute;left:8327;top:1413;width:12;height:2" coordorigin="8327,1413" coordsize="12,2">
              <v:shape style="position:absolute;left:8327;top:1413;width:12;height:2" coordorigin="8327,1413" coordsize="12,0" path="m8327,1413l8339,1413e" filled="false" stroked="true" strokeweight=".6pt" strokecolor="#000008">
                <v:path arrowok="t"/>
              </v:shape>
            </v:group>
            <v:group style="position:absolute;left:8346;top:1413;width:12;height:2" coordorigin="8346,1413" coordsize="12,2">
              <v:shape style="position:absolute;left:8346;top:1413;width:12;height:2" coordorigin="8346,1413" coordsize="12,0" path="m8346,1413l8358,1413e" filled="false" stroked="true" strokeweight=".6pt" strokecolor="#000008">
                <v:path arrowok="t"/>
              </v:shape>
            </v:group>
            <v:group style="position:absolute;left:8365;top:1413;width:12;height:2" coordorigin="8365,1413" coordsize="12,2">
              <v:shape style="position:absolute;left:8365;top:1413;width:12;height:2" coordorigin="8365,1413" coordsize="12,0" path="m8365,1413l8377,1413e" filled="false" stroked="true" strokeweight=".6pt" strokecolor="#000008">
                <v:path arrowok="t"/>
              </v:shape>
            </v:group>
            <v:group style="position:absolute;left:8384;top:1413;width:12;height:2" coordorigin="8384,1413" coordsize="12,2">
              <v:shape style="position:absolute;left:8384;top:1413;width:12;height:2" coordorigin="8384,1413" coordsize="12,0" path="m8384,1413l8396,1413e" filled="false" stroked="true" strokeweight=".6pt" strokecolor="#000008">
                <v:path arrowok="t"/>
              </v:shape>
            </v:group>
            <v:group style="position:absolute;left:8404;top:1413;width:12;height:2" coordorigin="8404,1413" coordsize="12,2">
              <v:shape style="position:absolute;left:8404;top:1413;width:12;height:2" coordorigin="8404,1413" coordsize="12,0" path="m8404,1413l8416,1413e" filled="false" stroked="true" strokeweight=".6pt" strokecolor="#000008">
                <v:path arrowok="t"/>
              </v:shape>
            </v:group>
            <v:group style="position:absolute;left:8423;top:1413;width:12;height:2" coordorigin="8423,1413" coordsize="12,2">
              <v:shape style="position:absolute;left:8423;top:1413;width:12;height:2" coordorigin="8423,1413" coordsize="12,0" path="m8423,1413l8435,1413e" filled="false" stroked="true" strokeweight=".6pt" strokecolor="#000008">
                <v:path arrowok="t"/>
              </v:shape>
            </v:group>
            <v:group style="position:absolute;left:8442;top:1413;width:12;height:2" coordorigin="8442,1413" coordsize="12,2">
              <v:shape style="position:absolute;left:8442;top:1413;width:12;height:2" coordorigin="8442,1413" coordsize="12,0" path="m8442,1413l8454,1413e" filled="false" stroked="true" strokeweight=".6pt" strokecolor="#000008">
                <v:path arrowok="t"/>
              </v:shape>
            </v:group>
            <v:group style="position:absolute;left:8461;top:1413;width:12;height:2" coordorigin="8461,1413" coordsize="12,2">
              <v:shape style="position:absolute;left:8461;top:1413;width:12;height:2" coordorigin="8461,1413" coordsize="12,0" path="m8461,1413l8473,1413e" filled="false" stroked="true" strokeweight=".6pt" strokecolor="#000008">
                <v:path arrowok="t"/>
              </v:shape>
            </v:group>
            <v:group style="position:absolute;left:8480;top:1413;width:12;height:2" coordorigin="8480,1413" coordsize="12,2">
              <v:shape style="position:absolute;left:8480;top:1413;width:12;height:2" coordorigin="8480,1413" coordsize="12,0" path="m8480,1413l8492,1413e" filled="false" stroked="true" strokeweight=".6pt" strokecolor="#000008">
                <v:path arrowok="t"/>
              </v:shape>
            </v:group>
            <v:group style="position:absolute;left:8500;top:1413;width:12;height:2" coordorigin="8500,1413" coordsize="12,2">
              <v:shape style="position:absolute;left:8500;top:1413;width:12;height:2" coordorigin="8500,1413" coordsize="12,0" path="m8500,1413l8512,1413e" filled="false" stroked="true" strokeweight=".6pt" strokecolor="#000008">
                <v:path arrowok="t"/>
              </v:shape>
            </v:group>
            <v:group style="position:absolute;left:8519;top:1413;width:12;height:2" coordorigin="8519,1413" coordsize="12,2">
              <v:shape style="position:absolute;left:8519;top:1413;width:12;height:2" coordorigin="8519,1413" coordsize="12,0" path="m8519,1413l8531,1413e" filled="false" stroked="true" strokeweight=".6pt" strokecolor="#000008">
                <v:path arrowok="t"/>
              </v:shape>
            </v:group>
            <v:group style="position:absolute;left:8538;top:1413;width:12;height:2" coordorigin="8538,1413" coordsize="12,2">
              <v:shape style="position:absolute;left:8538;top:1413;width:12;height:2" coordorigin="8538,1413" coordsize="12,0" path="m8538,1413l8550,1413e" filled="false" stroked="true" strokeweight=".6pt" strokecolor="#000008">
                <v:path arrowok="t"/>
              </v:shape>
            </v:group>
            <v:group style="position:absolute;left:8557;top:1413;width:12;height:2" coordorigin="8557,1413" coordsize="12,2">
              <v:shape style="position:absolute;left:8557;top:1413;width:12;height:2" coordorigin="8557,1413" coordsize="12,0" path="m8557,1413l8569,1413e" filled="false" stroked="true" strokeweight=".6pt" strokecolor="#000008">
                <v:path arrowok="t"/>
              </v:shape>
            </v:group>
            <v:group style="position:absolute;left:8576;top:1413;width:12;height:2" coordorigin="8576,1413" coordsize="12,2">
              <v:shape style="position:absolute;left:8576;top:1413;width:12;height:2" coordorigin="8576,1413" coordsize="12,0" path="m8576,1413l8588,1413e" filled="false" stroked="true" strokeweight=".6pt" strokecolor="#000008">
                <v:path arrowok="t"/>
              </v:shape>
            </v:group>
            <v:group style="position:absolute;left:8596;top:1413;width:12;height:2" coordorigin="8596,1413" coordsize="12,2">
              <v:shape style="position:absolute;left:8596;top:1413;width:12;height:2" coordorigin="8596,1413" coordsize="12,0" path="m8596,1413l8608,1413e" filled="false" stroked="true" strokeweight=".6pt" strokecolor="#000008">
                <v:path arrowok="t"/>
              </v:shape>
            </v:group>
            <v:group style="position:absolute;left:8615;top:1413;width:12;height:2" coordorigin="8615,1413" coordsize="12,2">
              <v:shape style="position:absolute;left:8615;top:1413;width:12;height:2" coordorigin="8615,1413" coordsize="12,0" path="m8615,1413l8627,1413e" filled="false" stroked="true" strokeweight=".6pt" strokecolor="#000008">
                <v:path arrowok="t"/>
              </v:shape>
            </v:group>
            <w10:wrap type="none"/>
          </v:group>
        </w:pict>
      </w:r>
      <w:r>
        <w:rPr/>
        <w:pict>
          <v:group style="position:absolute;margin-left:449.399994pt;margin-top:70.349701pt;width:72.25pt;height:.6pt;mso-position-horizontal-relative:page;mso-position-vertical-relative:paragraph;z-index:3280" coordorigin="8988,1407" coordsize="1445,12">
            <v:group style="position:absolute;left:8994;top:1413;width:12;height:2" coordorigin="8994,1413" coordsize="12,2">
              <v:shape style="position:absolute;left:8994;top:1413;width:12;height:2" coordorigin="8994,1413" coordsize="12,0" path="m8994,1413l9006,1413e" filled="false" stroked="true" strokeweight=".6pt" strokecolor="#000008">
                <v:path arrowok="t"/>
              </v:shape>
            </v:group>
            <v:group style="position:absolute;left:9013;top:1413;width:12;height:2" coordorigin="9013,1413" coordsize="12,2">
              <v:shape style="position:absolute;left:9013;top:1413;width:12;height:2" coordorigin="9013,1413" coordsize="12,0" path="m9013,1413l9025,1413e" filled="false" stroked="true" strokeweight=".6pt" strokecolor="#000008">
                <v:path arrowok="t"/>
              </v:shape>
            </v:group>
            <v:group style="position:absolute;left:9032;top:1413;width:12;height:2" coordorigin="9032,1413" coordsize="12,2">
              <v:shape style="position:absolute;left:9032;top:1413;width:12;height:2" coordorigin="9032,1413" coordsize="12,0" path="m9032,1413l9044,1413e" filled="false" stroked="true" strokeweight=".6pt" strokecolor="#000008">
                <v:path arrowok="t"/>
              </v:shape>
            </v:group>
            <v:group style="position:absolute;left:9052;top:1413;width:12;height:2" coordorigin="9052,1413" coordsize="12,2">
              <v:shape style="position:absolute;left:9052;top:1413;width:12;height:2" coordorigin="9052,1413" coordsize="12,0" path="m9052,1413l9064,1413e" filled="false" stroked="true" strokeweight=".6pt" strokecolor="#000008">
                <v:path arrowok="t"/>
              </v:shape>
            </v:group>
            <v:group style="position:absolute;left:9071;top:1413;width:12;height:2" coordorigin="9071,1413" coordsize="12,2">
              <v:shape style="position:absolute;left:9071;top:1413;width:12;height:2" coordorigin="9071,1413" coordsize="12,0" path="m9071,1413l9083,1413e" filled="false" stroked="true" strokeweight=".6pt" strokecolor="#000008">
                <v:path arrowok="t"/>
              </v:shape>
            </v:group>
            <v:group style="position:absolute;left:9090;top:1413;width:12;height:2" coordorigin="9090,1413" coordsize="12,2">
              <v:shape style="position:absolute;left:9090;top:1413;width:12;height:2" coordorigin="9090,1413" coordsize="12,0" path="m9090,1413l9102,1413e" filled="false" stroked="true" strokeweight=".6pt" strokecolor="#000008">
                <v:path arrowok="t"/>
              </v:shape>
            </v:group>
            <v:group style="position:absolute;left:9109;top:1413;width:12;height:2" coordorigin="9109,1413" coordsize="12,2">
              <v:shape style="position:absolute;left:9109;top:1413;width:12;height:2" coordorigin="9109,1413" coordsize="12,0" path="m9109,1413l9121,1413e" filled="false" stroked="true" strokeweight=".6pt" strokecolor="#000008">
                <v:path arrowok="t"/>
              </v:shape>
            </v:group>
            <v:group style="position:absolute;left:9128;top:1413;width:12;height:2" coordorigin="9128,1413" coordsize="12,2">
              <v:shape style="position:absolute;left:9128;top:1413;width:12;height:2" coordorigin="9128,1413" coordsize="12,0" path="m9128,1413l9140,1413e" filled="false" stroked="true" strokeweight=".6pt" strokecolor="#000008">
                <v:path arrowok="t"/>
              </v:shape>
            </v:group>
            <v:group style="position:absolute;left:9148;top:1413;width:12;height:2" coordorigin="9148,1413" coordsize="12,2">
              <v:shape style="position:absolute;left:9148;top:1413;width:12;height:2" coordorigin="9148,1413" coordsize="12,0" path="m9148,1413l9160,1413e" filled="false" stroked="true" strokeweight=".6pt" strokecolor="#000008">
                <v:path arrowok="t"/>
              </v:shape>
            </v:group>
            <v:group style="position:absolute;left:9167;top:1413;width:12;height:2" coordorigin="9167,1413" coordsize="12,2">
              <v:shape style="position:absolute;left:9167;top:1413;width:12;height:2" coordorigin="9167,1413" coordsize="12,0" path="m9167,1413l9179,1413e" filled="false" stroked="true" strokeweight=".6pt" strokecolor="#000008">
                <v:path arrowok="t"/>
              </v:shape>
            </v:group>
            <v:group style="position:absolute;left:9186;top:1413;width:12;height:2" coordorigin="9186,1413" coordsize="12,2">
              <v:shape style="position:absolute;left:9186;top:1413;width:12;height:2" coordorigin="9186,1413" coordsize="12,0" path="m9186,1413l9198,1413e" filled="false" stroked="true" strokeweight=".6pt" strokecolor="#000008">
                <v:path arrowok="t"/>
              </v:shape>
            </v:group>
            <v:group style="position:absolute;left:9205;top:1413;width:12;height:2" coordorigin="9205,1413" coordsize="12,2">
              <v:shape style="position:absolute;left:9205;top:1413;width:12;height:2" coordorigin="9205,1413" coordsize="12,0" path="m9205,1413l9217,1413e" filled="false" stroked="true" strokeweight=".6pt" strokecolor="#000008">
                <v:path arrowok="t"/>
              </v:shape>
            </v:group>
            <v:group style="position:absolute;left:9224;top:1413;width:12;height:2" coordorigin="9224,1413" coordsize="12,2">
              <v:shape style="position:absolute;left:9224;top:1413;width:12;height:2" coordorigin="9224,1413" coordsize="12,0" path="m9224,1413l9236,1413e" filled="false" stroked="true" strokeweight=".6pt" strokecolor="#000008">
                <v:path arrowok="t"/>
              </v:shape>
            </v:group>
            <v:group style="position:absolute;left:9244;top:1413;width:12;height:2" coordorigin="9244,1413" coordsize="12,2">
              <v:shape style="position:absolute;left:9244;top:1413;width:12;height:2" coordorigin="9244,1413" coordsize="12,0" path="m9244,1413l9256,1413e" filled="false" stroked="true" strokeweight=".6pt" strokecolor="#000008">
                <v:path arrowok="t"/>
              </v:shape>
            </v:group>
            <v:group style="position:absolute;left:9263;top:1413;width:12;height:2" coordorigin="9263,1413" coordsize="12,2">
              <v:shape style="position:absolute;left:9263;top:1413;width:12;height:2" coordorigin="9263,1413" coordsize="12,0" path="m9263,1413l9275,1413e" filled="false" stroked="true" strokeweight=".6pt" strokecolor="#000008">
                <v:path arrowok="t"/>
              </v:shape>
            </v:group>
            <v:group style="position:absolute;left:9282;top:1413;width:12;height:2" coordorigin="9282,1413" coordsize="12,2">
              <v:shape style="position:absolute;left:9282;top:1413;width:12;height:2" coordorigin="9282,1413" coordsize="12,0" path="m9282,1413l9294,1413e" filled="false" stroked="true" strokeweight=".6pt" strokecolor="#000008">
                <v:path arrowok="t"/>
              </v:shape>
            </v:group>
            <v:group style="position:absolute;left:9301;top:1413;width:12;height:2" coordorigin="9301,1413" coordsize="12,2">
              <v:shape style="position:absolute;left:9301;top:1413;width:12;height:2" coordorigin="9301,1413" coordsize="12,0" path="m9301,1413l9313,1413e" filled="false" stroked="true" strokeweight=".6pt" strokecolor="#000008">
                <v:path arrowok="t"/>
              </v:shape>
            </v:group>
            <v:group style="position:absolute;left:9320;top:1413;width:12;height:2" coordorigin="9320,1413" coordsize="12,2">
              <v:shape style="position:absolute;left:9320;top:1413;width:12;height:2" coordorigin="9320,1413" coordsize="12,0" path="m9320,1413l9332,1413e" filled="false" stroked="true" strokeweight=".6pt" strokecolor="#000008">
                <v:path arrowok="t"/>
              </v:shape>
            </v:group>
            <v:group style="position:absolute;left:9340;top:1413;width:12;height:2" coordorigin="9340,1413" coordsize="12,2">
              <v:shape style="position:absolute;left:9340;top:1413;width:12;height:2" coordorigin="9340,1413" coordsize="12,0" path="m9340,1413l9352,1413e" filled="false" stroked="true" strokeweight=".6pt" strokecolor="#000008">
                <v:path arrowok="t"/>
              </v:shape>
            </v:group>
            <v:group style="position:absolute;left:9359;top:1413;width:12;height:2" coordorigin="9359,1413" coordsize="12,2">
              <v:shape style="position:absolute;left:9359;top:1413;width:12;height:2" coordorigin="9359,1413" coordsize="12,0" path="m9359,1413l9371,1413e" filled="false" stroked="true" strokeweight=".6pt" strokecolor="#000008">
                <v:path arrowok="t"/>
              </v:shape>
            </v:group>
            <v:group style="position:absolute;left:9378;top:1413;width:12;height:2" coordorigin="9378,1413" coordsize="12,2">
              <v:shape style="position:absolute;left:9378;top:1413;width:12;height:2" coordorigin="9378,1413" coordsize="12,0" path="m9378,1413l9390,1413e" filled="false" stroked="true" strokeweight=".6pt" strokecolor="#000008">
                <v:path arrowok="t"/>
              </v:shape>
            </v:group>
            <v:group style="position:absolute;left:9397;top:1413;width:12;height:2" coordorigin="9397,1413" coordsize="12,2">
              <v:shape style="position:absolute;left:9397;top:1413;width:12;height:2" coordorigin="9397,1413" coordsize="12,0" path="m9397,1413l9409,1413e" filled="false" stroked="true" strokeweight=".6pt" strokecolor="#000008">
                <v:path arrowok="t"/>
              </v:shape>
            </v:group>
            <v:group style="position:absolute;left:9416;top:1413;width:12;height:2" coordorigin="9416,1413" coordsize="12,2">
              <v:shape style="position:absolute;left:9416;top:1413;width:12;height:2" coordorigin="9416,1413" coordsize="12,0" path="m9416,1413l9428,1413e" filled="false" stroked="true" strokeweight=".6pt" strokecolor="#000008">
                <v:path arrowok="t"/>
              </v:shape>
            </v:group>
            <v:group style="position:absolute;left:9436;top:1413;width:12;height:2" coordorigin="9436,1413" coordsize="12,2">
              <v:shape style="position:absolute;left:9436;top:1413;width:12;height:2" coordorigin="9436,1413" coordsize="12,0" path="m9436,1413l9448,1413e" filled="false" stroked="true" strokeweight=".6pt" strokecolor="#000008">
                <v:path arrowok="t"/>
              </v:shape>
            </v:group>
            <v:group style="position:absolute;left:9455;top:1413;width:12;height:2" coordorigin="9455,1413" coordsize="12,2">
              <v:shape style="position:absolute;left:9455;top:1413;width:12;height:2" coordorigin="9455,1413" coordsize="12,0" path="m9455,1413l9467,1413e" filled="false" stroked="true" strokeweight=".6pt" strokecolor="#000008">
                <v:path arrowok="t"/>
              </v:shape>
            </v:group>
            <v:group style="position:absolute;left:9474;top:1413;width:12;height:2" coordorigin="9474,1413" coordsize="12,2">
              <v:shape style="position:absolute;left:9474;top:1413;width:12;height:2" coordorigin="9474,1413" coordsize="12,0" path="m9474,1413l9486,1413e" filled="false" stroked="true" strokeweight=".6pt" strokecolor="#000008">
                <v:path arrowok="t"/>
              </v:shape>
            </v:group>
            <v:group style="position:absolute;left:9493;top:1413;width:12;height:2" coordorigin="9493,1413" coordsize="12,2">
              <v:shape style="position:absolute;left:9493;top:1413;width:12;height:2" coordorigin="9493,1413" coordsize="12,0" path="m9493,1413l9505,1413e" filled="false" stroked="true" strokeweight=".6pt" strokecolor="#000008">
                <v:path arrowok="t"/>
              </v:shape>
            </v:group>
            <v:group style="position:absolute;left:9512;top:1413;width:12;height:2" coordorigin="9512,1413" coordsize="12,2">
              <v:shape style="position:absolute;left:9512;top:1413;width:12;height:2" coordorigin="9512,1413" coordsize="12,0" path="m9512,1413l9524,1413e" filled="false" stroked="true" strokeweight=".6pt" strokecolor="#000008">
                <v:path arrowok="t"/>
              </v:shape>
            </v:group>
            <v:group style="position:absolute;left:9532;top:1413;width:12;height:2" coordorigin="9532,1413" coordsize="12,2">
              <v:shape style="position:absolute;left:9532;top:1413;width:12;height:2" coordorigin="9532,1413" coordsize="12,0" path="m9532,1413l9544,1413e" filled="false" stroked="true" strokeweight=".6pt" strokecolor="#000008">
                <v:path arrowok="t"/>
              </v:shape>
            </v:group>
            <v:group style="position:absolute;left:9551;top:1413;width:12;height:2" coordorigin="9551,1413" coordsize="12,2">
              <v:shape style="position:absolute;left:9551;top:1413;width:12;height:2" coordorigin="9551,1413" coordsize="12,0" path="m9551,1413l9563,1413e" filled="false" stroked="true" strokeweight=".6pt" strokecolor="#000008">
                <v:path arrowok="t"/>
              </v:shape>
            </v:group>
            <v:group style="position:absolute;left:9570;top:1413;width:12;height:2" coordorigin="9570,1413" coordsize="12,2">
              <v:shape style="position:absolute;left:9570;top:1413;width:12;height:2" coordorigin="9570,1413" coordsize="12,0" path="m9570,1413l9582,1413e" filled="false" stroked="true" strokeweight=".6pt" strokecolor="#000008">
                <v:path arrowok="t"/>
              </v:shape>
            </v:group>
            <v:group style="position:absolute;left:9589;top:1413;width:12;height:2" coordorigin="9589,1413" coordsize="12,2">
              <v:shape style="position:absolute;left:9589;top:1413;width:12;height:2" coordorigin="9589,1413" coordsize="12,0" path="m9589,1413l9601,1413e" filled="false" stroked="true" strokeweight=".6pt" strokecolor="#000008">
                <v:path arrowok="t"/>
              </v:shape>
            </v:group>
            <v:group style="position:absolute;left:9608;top:1413;width:12;height:2" coordorigin="9608,1413" coordsize="12,2">
              <v:shape style="position:absolute;left:9608;top:1413;width:12;height:2" coordorigin="9608,1413" coordsize="12,0" path="m9608,1413l9620,1413e" filled="false" stroked="true" strokeweight=".6pt" strokecolor="#000008">
                <v:path arrowok="t"/>
              </v:shape>
            </v:group>
            <v:group style="position:absolute;left:9628;top:1413;width:12;height:2" coordorigin="9628,1413" coordsize="12,2">
              <v:shape style="position:absolute;left:9628;top:1413;width:12;height:2" coordorigin="9628,1413" coordsize="12,0" path="m9628,1413l9640,1413e" filled="false" stroked="true" strokeweight=".6pt" strokecolor="#000008">
                <v:path arrowok="t"/>
              </v:shape>
            </v:group>
            <v:group style="position:absolute;left:9647;top:1413;width:12;height:2" coordorigin="9647,1413" coordsize="12,2">
              <v:shape style="position:absolute;left:9647;top:1413;width:12;height:2" coordorigin="9647,1413" coordsize="12,0" path="m9647,1413l9659,1413e" filled="false" stroked="true" strokeweight=".6pt" strokecolor="#000008">
                <v:path arrowok="t"/>
              </v:shape>
            </v:group>
            <v:group style="position:absolute;left:9666;top:1413;width:12;height:2" coordorigin="9666,1413" coordsize="12,2">
              <v:shape style="position:absolute;left:9666;top:1413;width:12;height:2" coordorigin="9666,1413" coordsize="12,0" path="m9666,1413l9678,1413e" filled="false" stroked="true" strokeweight=".6pt" strokecolor="#000008">
                <v:path arrowok="t"/>
              </v:shape>
            </v:group>
            <v:group style="position:absolute;left:9685;top:1413;width:12;height:2" coordorigin="9685,1413" coordsize="12,2">
              <v:shape style="position:absolute;left:9685;top:1413;width:12;height:2" coordorigin="9685,1413" coordsize="12,0" path="m9685,1413l9697,1413e" filled="false" stroked="true" strokeweight=".6pt" strokecolor="#000008">
                <v:path arrowok="t"/>
              </v:shape>
            </v:group>
            <v:group style="position:absolute;left:9704;top:1413;width:12;height:2" coordorigin="9704,1413" coordsize="12,2">
              <v:shape style="position:absolute;left:9704;top:1413;width:12;height:2" coordorigin="9704,1413" coordsize="12,0" path="m9704,1413l9716,1413e" filled="false" stroked="true" strokeweight=".6pt" strokecolor="#000008">
                <v:path arrowok="t"/>
              </v:shape>
            </v:group>
            <v:group style="position:absolute;left:9724;top:1413;width:12;height:2" coordorigin="9724,1413" coordsize="12,2">
              <v:shape style="position:absolute;left:9724;top:1413;width:12;height:2" coordorigin="9724,1413" coordsize="12,0" path="m9724,1413l9736,1413e" filled="false" stroked="true" strokeweight=".6pt" strokecolor="#000008">
                <v:path arrowok="t"/>
              </v:shape>
            </v:group>
            <v:group style="position:absolute;left:9743;top:1413;width:12;height:2" coordorigin="9743,1413" coordsize="12,2">
              <v:shape style="position:absolute;left:9743;top:1413;width:12;height:2" coordorigin="9743,1413" coordsize="12,0" path="m9743,1413l9755,1413e" filled="false" stroked="true" strokeweight=".6pt" strokecolor="#000008">
                <v:path arrowok="t"/>
              </v:shape>
            </v:group>
            <v:group style="position:absolute;left:9762;top:1413;width:12;height:2" coordorigin="9762,1413" coordsize="12,2">
              <v:shape style="position:absolute;left:9762;top:1413;width:12;height:2" coordorigin="9762,1413" coordsize="12,0" path="m9762,1413l9774,1413e" filled="false" stroked="true" strokeweight=".6pt" strokecolor="#000008">
                <v:path arrowok="t"/>
              </v:shape>
            </v:group>
            <v:group style="position:absolute;left:9781;top:1413;width:12;height:2" coordorigin="9781,1413" coordsize="12,2">
              <v:shape style="position:absolute;left:9781;top:1413;width:12;height:2" coordorigin="9781,1413" coordsize="12,0" path="m9781,1413l9793,1413e" filled="false" stroked="true" strokeweight=".6pt" strokecolor="#000008">
                <v:path arrowok="t"/>
              </v:shape>
            </v:group>
            <v:group style="position:absolute;left:9800;top:1413;width:12;height:2" coordorigin="9800,1413" coordsize="12,2">
              <v:shape style="position:absolute;left:9800;top:1413;width:12;height:2" coordorigin="9800,1413" coordsize="12,0" path="m9800,1413l9812,1413e" filled="false" stroked="true" strokeweight=".6pt" strokecolor="#000008">
                <v:path arrowok="t"/>
              </v:shape>
            </v:group>
            <v:group style="position:absolute;left:9820;top:1413;width:12;height:2" coordorigin="9820,1413" coordsize="12,2">
              <v:shape style="position:absolute;left:9820;top:1413;width:12;height:2" coordorigin="9820,1413" coordsize="12,0" path="m9820,1413l9832,1413e" filled="false" stroked="true" strokeweight=".6pt" strokecolor="#000008">
                <v:path arrowok="t"/>
              </v:shape>
            </v:group>
            <v:group style="position:absolute;left:9839;top:1413;width:12;height:2" coordorigin="9839,1413" coordsize="12,2">
              <v:shape style="position:absolute;left:9839;top:1413;width:12;height:2" coordorigin="9839,1413" coordsize="12,0" path="m9839,1413l9851,1413e" filled="false" stroked="true" strokeweight=".6pt" strokecolor="#000008">
                <v:path arrowok="t"/>
              </v:shape>
            </v:group>
            <v:group style="position:absolute;left:9858;top:1413;width:12;height:2" coordorigin="9858,1413" coordsize="12,2">
              <v:shape style="position:absolute;left:9858;top:1413;width:12;height:2" coordorigin="9858,1413" coordsize="12,0" path="m9858,1413l9870,1413e" filled="false" stroked="true" strokeweight=".6pt" strokecolor="#000008">
                <v:path arrowok="t"/>
              </v:shape>
            </v:group>
            <v:group style="position:absolute;left:9877;top:1413;width:12;height:2" coordorigin="9877,1413" coordsize="12,2">
              <v:shape style="position:absolute;left:9877;top:1413;width:12;height:2" coordorigin="9877,1413" coordsize="12,0" path="m9877,1413l9889,1413e" filled="false" stroked="true" strokeweight=".6pt" strokecolor="#000008">
                <v:path arrowok="t"/>
              </v:shape>
            </v:group>
            <v:group style="position:absolute;left:9896;top:1413;width:12;height:2" coordorigin="9896,1413" coordsize="12,2">
              <v:shape style="position:absolute;left:9896;top:1413;width:12;height:2" coordorigin="9896,1413" coordsize="12,0" path="m9896,1413l9908,1413e" filled="false" stroked="true" strokeweight=".6pt" strokecolor="#000008">
                <v:path arrowok="t"/>
              </v:shape>
            </v:group>
            <v:group style="position:absolute;left:9916;top:1413;width:12;height:2" coordorigin="9916,1413" coordsize="12,2">
              <v:shape style="position:absolute;left:9916;top:1413;width:12;height:2" coordorigin="9916,1413" coordsize="12,0" path="m9916,1413l9928,1413e" filled="false" stroked="true" strokeweight=".6pt" strokecolor="#000008">
                <v:path arrowok="t"/>
              </v:shape>
            </v:group>
            <v:group style="position:absolute;left:9935;top:1413;width:12;height:2" coordorigin="9935,1413" coordsize="12,2">
              <v:shape style="position:absolute;left:9935;top:1413;width:12;height:2" coordorigin="9935,1413" coordsize="12,0" path="m9935,1413l9947,1413e" filled="false" stroked="true" strokeweight=".6pt" strokecolor="#000008">
                <v:path arrowok="t"/>
              </v:shape>
            </v:group>
            <v:group style="position:absolute;left:9954;top:1413;width:12;height:2" coordorigin="9954,1413" coordsize="12,2">
              <v:shape style="position:absolute;left:9954;top:1413;width:12;height:2" coordorigin="9954,1413" coordsize="12,0" path="m9954,1413l9966,1413e" filled="false" stroked="true" strokeweight=".6pt" strokecolor="#000008">
                <v:path arrowok="t"/>
              </v:shape>
            </v:group>
            <v:group style="position:absolute;left:9973;top:1413;width:12;height:2" coordorigin="9973,1413" coordsize="12,2">
              <v:shape style="position:absolute;left:9973;top:1413;width:12;height:2" coordorigin="9973,1413" coordsize="12,0" path="m9973,1413l9985,1413e" filled="false" stroked="true" strokeweight=".6pt" strokecolor="#000008">
                <v:path arrowok="t"/>
              </v:shape>
            </v:group>
            <v:group style="position:absolute;left:9992;top:1413;width:12;height:2" coordorigin="9992,1413" coordsize="12,2">
              <v:shape style="position:absolute;left:9992;top:1413;width:12;height:2" coordorigin="9992,1413" coordsize="12,0" path="m9992,1413l10004,1413e" filled="false" stroked="true" strokeweight=".6pt" strokecolor="#000008">
                <v:path arrowok="t"/>
              </v:shape>
            </v:group>
            <v:group style="position:absolute;left:10012;top:1413;width:12;height:2" coordorigin="10012,1413" coordsize="12,2">
              <v:shape style="position:absolute;left:10012;top:1413;width:12;height:2" coordorigin="10012,1413" coordsize="12,0" path="m10012,1413l10024,1413e" filled="false" stroked="true" strokeweight=".6pt" strokecolor="#000008">
                <v:path arrowok="t"/>
              </v:shape>
            </v:group>
            <v:group style="position:absolute;left:10031;top:1413;width:12;height:2" coordorigin="10031,1413" coordsize="12,2">
              <v:shape style="position:absolute;left:10031;top:1413;width:12;height:2" coordorigin="10031,1413" coordsize="12,0" path="m10031,1413l10043,1413e" filled="false" stroked="true" strokeweight=".6pt" strokecolor="#000008">
                <v:path arrowok="t"/>
              </v:shape>
            </v:group>
            <v:group style="position:absolute;left:10050;top:1413;width:12;height:2" coordorigin="10050,1413" coordsize="12,2">
              <v:shape style="position:absolute;left:10050;top:1413;width:12;height:2" coordorigin="10050,1413" coordsize="12,0" path="m10050,1413l10062,1413e" filled="false" stroked="true" strokeweight=".6pt" strokecolor="#000008">
                <v:path arrowok="t"/>
              </v:shape>
            </v:group>
            <v:group style="position:absolute;left:10069;top:1413;width:12;height:2" coordorigin="10069,1413" coordsize="12,2">
              <v:shape style="position:absolute;left:10069;top:1413;width:12;height:2" coordorigin="10069,1413" coordsize="12,0" path="m10069,1413l10081,1413e" filled="false" stroked="true" strokeweight=".6pt" strokecolor="#000008">
                <v:path arrowok="t"/>
              </v:shape>
            </v:group>
            <v:group style="position:absolute;left:10088;top:1413;width:12;height:2" coordorigin="10088,1413" coordsize="12,2">
              <v:shape style="position:absolute;left:10088;top:1413;width:12;height:2" coordorigin="10088,1413" coordsize="12,0" path="m10088,1413l10100,1413e" filled="false" stroked="true" strokeweight=".6pt" strokecolor="#000008">
                <v:path arrowok="t"/>
              </v:shape>
            </v:group>
            <v:group style="position:absolute;left:10108;top:1413;width:12;height:2" coordorigin="10108,1413" coordsize="12,2">
              <v:shape style="position:absolute;left:10108;top:1413;width:12;height:2" coordorigin="10108,1413" coordsize="12,0" path="m10108,1413l10120,1413e" filled="false" stroked="true" strokeweight=".6pt" strokecolor="#000008">
                <v:path arrowok="t"/>
              </v:shape>
            </v:group>
            <v:group style="position:absolute;left:10127;top:1413;width:12;height:2" coordorigin="10127,1413" coordsize="12,2">
              <v:shape style="position:absolute;left:10127;top:1413;width:12;height:2" coordorigin="10127,1413" coordsize="12,0" path="m10127,1413l10139,1413e" filled="false" stroked="true" strokeweight=".6pt" strokecolor="#000008">
                <v:path arrowok="t"/>
              </v:shape>
            </v:group>
            <v:group style="position:absolute;left:10146;top:1413;width:12;height:2" coordorigin="10146,1413" coordsize="12,2">
              <v:shape style="position:absolute;left:10146;top:1413;width:12;height:2" coordorigin="10146,1413" coordsize="12,0" path="m10146,1413l10158,1413e" filled="false" stroked="true" strokeweight=".6pt" strokecolor="#000008">
                <v:path arrowok="t"/>
              </v:shape>
            </v:group>
            <v:group style="position:absolute;left:10165;top:1413;width:12;height:2" coordorigin="10165,1413" coordsize="12,2">
              <v:shape style="position:absolute;left:10165;top:1413;width:12;height:2" coordorigin="10165,1413" coordsize="12,0" path="m10165,1413l10177,1413e" filled="false" stroked="true" strokeweight=".6pt" strokecolor="#000008">
                <v:path arrowok="t"/>
              </v:shape>
            </v:group>
            <v:group style="position:absolute;left:10184;top:1413;width:12;height:2" coordorigin="10184,1413" coordsize="12,2">
              <v:shape style="position:absolute;left:10184;top:1413;width:12;height:2" coordorigin="10184,1413" coordsize="12,0" path="m10184,1413l10196,1413e" filled="false" stroked="true" strokeweight=".6pt" strokecolor="#000008">
                <v:path arrowok="t"/>
              </v:shape>
            </v:group>
            <v:group style="position:absolute;left:10204;top:1413;width:12;height:2" coordorigin="10204,1413" coordsize="12,2">
              <v:shape style="position:absolute;left:10204;top:1413;width:12;height:2" coordorigin="10204,1413" coordsize="12,0" path="m10204,1413l10216,1413e" filled="false" stroked="true" strokeweight=".6pt" strokecolor="#000008">
                <v:path arrowok="t"/>
              </v:shape>
            </v:group>
            <v:group style="position:absolute;left:10223;top:1413;width:12;height:2" coordorigin="10223,1413" coordsize="12,2">
              <v:shape style="position:absolute;left:10223;top:1413;width:12;height:2" coordorigin="10223,1413" coordsize="12,0" path="m10223,1413l10235,1413e" filled="false" stroked="true" strokeweight=".6pt" strokecolor="#000008">
                <v:path arrowok="t"/>
              </v:shape>
            </v:group>
            <v:group style="position:absolute;left:10242;top:1413;width:12;height:2" coordorigin="10242,1413" coordsize="12,2">
              <v:shape style="position:absolute;left:10242;top:1413;width:12;height:2" coordorigin="10242,1413" coordsize="12,0" path="m10242,1413l10254,1413e" filled="false" stroked="true" strokeweight=".6pt" strokecolor="#000008">
                <v:path arrowok="t"/>
              </v:shape>
            </v:group>
            <v:group style="position:absolute;left:10261;top:1413;width:12;height:2" coordorigin="10261,1413" coordsize="12,2">
              <v:shape style="position:absolute;left:10261;top:1413;width:12;height:2" coordorigin="10261,1413" coordsize="12,0" path="m10261,1413l10273,1413e" filled="false" stroked="true" strokeweight=".6pt" strokecolor="#000008">
                <v:path arrowok="t"/>
              </v:shape>
            </v:group>
            <v:group style="position:absolute;left:10280;top:1413;width:12;height:2" coordorigin="10280,1413" coordsize="12,2">
              <v:shape style="position:absolute;left:10280;top:1413;width:12;height:2" coordorigin="10280,1413" coordsize="12,0" path="m10280,1413l10292,1413e" filled="false" stroked="true" strokeweight=".6pt" strokecolor="#000008">
                <v:path arrowok="t"/>
              </v:shape>
            </v:group>
            <v:group style="position:absolute;left:10300;top:1413;width:12;height:2" coordorigin="10300,1413" coordsize="12,2">
              <v:shape style="position:absolute;left:10300;top:1413;width:12;height:2" coordorigin="10300,1413" coordsize="12,0" path="m10300,1413l10312,1413e" filled="false" stroked="true" strokeweight=".6pt" strokecolor="#000008">
                <v:path arrowok="t"/>
              </v:shape>
            </v:group>
            <v:group style="position:absolute;left:10319;top:1413;width:12;height:2" coordorigin="10319,1413" coordsize="12,2">
              <v:shape style="position:absolute;left:10319;top:1413;width:12;height:2" coordorigin="10319,1413" coordsize="12,0" path="m10319,1413l10331,1413e" filled="false" stroked="true" strokeweight=".6pt" strokecolor="#000008">
                <v:path arrowok="t"/>
              </v:shape>
            </v:group>
            <v:group style="position:absolute;left:10338;top:1413;width:12;height:2" coordorigin="10338,1413" coordsize="12,2">
              <v:shape style="position:absolute;left:10338;top:1413;width:12;height:2" coordorigin="10338,1413" coordsize="12,0" path="m10338,1413l10350,1413e" filled="false" stroked="true" strokeweight=".6pt" strokecolor="#000008">
                <v:path arrowok="t"/>
              </v:shape>
            </v:group>
            <v:group style="position:absolute;left:10357;top:1413;width:12;height:2" coordorigin="10357,1413" coordsize="12,2">
              <v:shape style="position:absolute;left:10357;top:1413;width:12;height:2" coordorigin="10357,1413" coordsize="12,0" path="m10357,1413l10369,1413e" filled="false" stroked="true" strokeweight=".6pt" strokecolor="#000008">
                <v:path arrowok="t"/>
              </v:shape>
            </v:group>
            <v:group style="position:absolute;left:10376;top:1413;width:12;height:2" coordorigin="10376,1413" coordsize="12,2">
              <v:shape style="position:absolute;left:10376;top:1413;width:12;height:2" coordorigin="10376,1413" coordsize="12,0" path="m10376,1413l10388,1413e" filled="false" stroked="true" strokeweight=".6pt" strokecolor="#000008">
                <v:path arrowok="t"/>
              </v:shape>
            </v:group>
            <v:group style="position:absolute;left:10396;top:1413;width:12;height:2" coordorigin="10396,1413" coordsize="12,2">
              <v:shape style="position:absolute;left:10396;top:1413;width:12;height:2" coordorigin="10396,1413" coordsize="12,0" path="m10396,1413l10408,1413e" filled="false" stroked="true" strokeweight=".6pt" strokecolor="#000008">
                <v:path arrowok="t"/>
              </v:shape>
            </v:group>
            <v:group style="position:absolute;left:10415;top:1413;width:12;height:2" coordorigin="10415,1413" coordsize="12,2">
              <v:shape style="position:absolute;left:10415;top:1413;width:12;height:2" coordorigin="10415,1413" coordsize="12,0" path="m10415,1413l10427,1413e" filled="false" stroked="true" strokeweight=".6pt" strokecolor="#000008">
                <v:path arrowok="t"/>
              </v:shape>
            </v:group>
            <w10:wrap type="none"/>
          </v:group>
        </w:pict>
      </w:r>
      <w:r>
        <w:rPr/>
        <w:pict>
          <v:shape style="position:absolute;margin-left:358.009979pt;margin-top:14.275157pt;width:166pt;height:525.2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0"/>
                    <w:gridCol w:w="1660"/>
                  </w:tblGrid>
                  <w:tr>
                    <w:trPr>
                      <w:trHeight w:val="1255"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04" w:lineRule="exact"/>
                          <w:ind w:right="179"/>
                          <w:jc w:val="right"/>
                          <w:rPr>
                            <w:rFonts w:ascii="Times New Roman" w:hAnsi="Times New Roman" w:cs="Times New Roman" w:eastAsia="Times New Roman" w:hint="default"/>
                            <w:sz w:val="20"/>
                            <w:szCs w:val="20"/>
                          </w:rPr>
                        </w:pPr>
                        <w:r>
                          <w:rPr>
                            <w:rFonts w:ascii="Times New Roman"/>
                            <w:w w:val="95"/>
                            <w:sz w:val="20"/>
                          </w:rPr>
                          <w:t>157,961,104.48</w:t>
                        </w:r>
                        <w:r>
                          <w:rPr>
                            <w:rFonts w:ascii="Times New Roman"/>
                            <w:sz w:val="20"/>
                          </w:rPr>
                        </w:r>
                      </w:p>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8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7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8"/>
                            <w:sz w:val="20"/>
                            <w:u w:val="single" w:color="000008"/>
                          </w:rPr>
                          <w:t> </w:t>
                        </w:r>
                        <w:r>
                          <w:rPr>
                            <w:rFonts w:ascii="Times New Roman"/>
                            <w:w w:val="95"/>
                            <w:sz w:val="20"/>
                            <w:u w:val="single" w:color="000008"/>
                          </w:rPr>
                          <w:t>144,749,859.64</w:t>
                        </w:r>
                        <w:r>
                          <w:rPr>
                            <w:rFonts w:ascii="Times New Roman"/>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04" w:lineRule="exact"/>
                          <w:ind w:right="38"/>
                          <w:jc w:val="right"/>
                          <w:rPr>
                            <w:rFonts w:ascii="Times New Roman" w:hAnsi="Times New Roman" w:cs="Times New Roman" w:eastAsia="Times New Roman" w:hint="default"/>
                            <w:sz w:val="20"/>
                            <w:szCs w:val="20"/>
                          </w:rPr>
                        </w:pPr>
                        <w:r>
                          <w:rPr>
                            <w:rFonts w:ascii="Times New Roman"/>
                            <w:w w:val="95"/>
                            <w:sz w:val="20"/>
                          </w:rPr>
                          <w:t>145,255,135.89</w:t>
                        </w:r>
                        <w:r>
                          <w:rPr>
                            <w:rFonts w:ascii="Times New Roman"/>
                            <w:sz w:val="20"/>
                          </w:rPr>
                        </w:r>
                      </w:p>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4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tabs>
                            <w:tab w:pos="292" w:val="left" w:leader="none"/>
                          </w:tabs>
                          <w:spacing w:line="240" w:lineRule="auto"/>
                          <w:ind w:right="3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57,318,040.47</w:t>
                        </w:r>
                        <w:r>
                          <w:rPr>
                            <w:rFonts w:ascii="Times New Roman"/>
                            <w:w w:val="95"/>
                            <w:sz w:val="20"/>
                          </w:rPr>
                        </w:r>
                        <w:r>
                          <w:rPr>
                            <w:rFonts w:ascii="Times New Roman"/>
                            <w:sz w:val="20"/>
                          </w:rPr>
                        </w:r>
                      </w:p>
                    </w:tc>
                  </w:tr>
                  <w:tr>
                    <w:trPr>
                      <w:trHeight w:val="470"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w w:val="95"/>
                            <w:sz w:val="20"/>
                            <w:u w:val="single" w:color="000008"/>
                          </w:rPr>
                          <w:t>302,710,964.12</w:t>
                        </w:r>
                        <w:r>
                          <w:rPr>
                            <w:rFonts w:ascii="Times New Roman"/>
                            <w:b/>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w w:val="95"/>
                            <w:sz w:val="20"/>
                            <w:u w:val="single" w:color="000008"/>
                          </w:rPr>
                          <w:t>202,573,176.36</w:t>
                        </w:r>
                        <w:r>
                          <w:rPr>
                            <w:rFonts w:ascii="Times New Roman"/>
                            <w:b/>
                            <w:w w:val="95"/>
                            <w:sz w:val="20"/>
                          </w:rPr>
                        </w:r>
                        <w:r>
                          <w:rPr>
                            <w:rFonts w:ascii="Times New Roman"/>
                            <w:sz w:val="20"/>
                          </w:rPr>
                        </w:r>
                      </w:p>
                    </w:tc>
                  </w:tr>
                  <w:tr>
                    <w:trPr>
                      <w:trHeight w:val="464"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79"/>
                          <w:jc w:val="right"/>
                          <w:rPr>
                            <w:rFonts w:ascii="Times New Roman" w:hAnsi="Times New Roman" w:cs="Times New Roman" w:eastAsia="Times New Roman" w:hint="default"/>
                            <w:sz w:val="20"/>
                            <w:szCs w:val="20"/>
                          </w:rPr>
                        </w:pPr>
                        <w:r>
                          <w:rPr>
                            <w:rFonts w:ascii="Times New Roman"/>
                            <w:w w:val="95"/>
                            <w:sz w:val="20"/>
                          </w:rPr>
                          <w:t>18,609,776.70</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8"/>
                          <w:jc w:val="right"/>
                          <w:rPr>
                            <w:rFonts w:ascii="Times New Roman" w:hAnsi="Times New Roman" w:cs="Times New Roman" w:eastAsia="Times New Roman" w:hint="default"/>
                            <w:sz w:val="20"/>
                            <w:szCs w:val="20"/>
                          </w:rPr>
                        </w:pPr>
                        <w:r>
                          <w:rPr>
                            <w:rFonts w:ascii="Times New Roman"/>
                            <w:w w:val="95"/>
                            <w:sz w:val="20"/>
                          </w:rPr>
                          <w:t>15,739,032.64</w:t>
                        </w:r>
                        <w:r>
                          <w:rPr>
                            <w:rFonts w:ascii="Times New Roman"/>
                            <w:sz w:val="20"/>
                          </w:rPr>
                        </w:r>
                      </w:p>
                    </w:tc>
                  </w:tr>
                  <w:tr>
                    <w:trPr>
                      <w:trHeight w:val="460"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20"/>
                            <w:szCs w:val="20"/>
                          </w:rPr>
                        </w:pPr>
                        <w:r>
                          <w:rPr>
                            <w:rFonts w:ascii="Times New Roman"/>
                            <w:w w:val="95"/>
                            <w:sz w:val="20"/>
                          </w:rPr>
                          <w:t>50,001,858.93</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Times New Roman" w:hAnsi="Times New Roman" w:cs="Times New Roman" w:eastAsia="Times New Roman" w:hint="default"/>
                            <w:sz w:val="20"/>
                            <w:szCs w:val="20"/>
                          </w:rPr>
                        </w:pPr>
                        <w:r>
                          <w:rPr>
                            <w:rFonts w:ascii="Times New Roman"/>
                            <w:w w:val="95"/>
                            <w:sz w:val="20"/>
                          </w:rPr>
                          <w:t>43,058,569.46</w:t>
                        </w:r>
                        <w:r>
                          <w:rPr>
                            <w:rFonts w:ascii="Times New Roman"/>
                            <w:sz w:val="20"/>
                          </w:rPr>
                        </w:r>
                      </w:p>
                    </w:tc>
                  </w:tr>
                  <w:tr>
                    <w:trPr>
                      <w:trHeight w:val="460"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79"/>
                          <w:jc w:val="right"/>
                          <w:rPr>
                            <w:rFonts w:ascii="Times New Roman" w:hAnsi="Times New Roman" w:cs="Times New Roman" w:eastAsia="Times New Roman" w:hint="default"/>
                            <w:sz w:val="20"/>
                            <w:szCs w:val="20"/>
                          </w:rPr>
                        </w:pPr>
                        <w:r>
                          <w:rPr>
                            <w:rFonts w:ascii="Times New Roman"/>
                            <w:w w:val="95"/>
                            <w:sz w:val="20"/>
                          </w:rPr>
                          <w:t>24,802,148.63</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Times New Roman" w:hAnsi="Times New Roman" w:cs="Times New Roman" w:eastAsia="Times New Roman" w:hint="default"/>
                            <w:sz w:val="20"/>
                            <w:szCs w:val="20"/>
                          </w:rPr>
                        </w:pPr>
                        <w:r>
                          <w:rPr>
                            <w:rFonts w:ascii="Times New Roman"/>
                            <w:w w:val="95"/>
                            <w:sz w:val="20"/>
                          </w:rPr>
                          <w:t>21,727,565.55</w:t>
                        </w:r>
                        <w:r>
                          <w:rPr>
                            <w:rFonts w:ascii="Times New Roman"/>
                            <w:sz w:val="20"/>
                          </w:rPr>
                        </w:r>
                      </w:p>
                    </w:tc>
                  </w:tr>
                  <w:tr>
                    <w:trPr>
                      <w:trHeight w:val="466"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8"/>
                            <w:sz w:val="20"/>
                            <w:u w:val="single" w:color="000008"/>
                          </w:rPr>
                          <w:t> </w:t>
                        </w:r>
                        <w:r>
                          <w:rPr>
                            <w:rFonts w:ascii="Times New Roman"/>
                            <w:w w:val="95"/>
                            <w:sz w:val="20"/>
                            <w:u w:val="single" w:color="000008"/>
                          </w:rPr>
                          <w:t>347,779,767.73</w:t>
                        </w:r>
                        <w:r>
                          <w:rPr>
                            <w:rFonts w:ascii="Times New Roman"/>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8"/>
                            <w:sz w:val="20"/>
                            <w:u w:val="single" w:color="000008"/>
                          </w:rPr>
                          <w:t> </w:t>
                        </w:r>
                        <w:r>
                          <w:rPr>
                            <w:rFonts w:ascii="Times New Roman"/>
                            <w:w w:val="95"/>
                            <w:sz w:val="20"/>
                            <w:u w:val="single" w:color="000008"/>
                          </w:rPr>
                          <w:t>101,077,823.40</w:t>
                        </w:r>
                        <w:r>
                          <w:rPr>
                            <w:rFonts w:ascii="Times New Roman"/>
                            <w:w w:val="95"/>
                            <w:sz w:val="20"/>
                          </w:rPr>
                        </w:r>
                        <w:r>
                          <w:rPr>
                            <w:rFonts w:ascii="Times New Roman"/>
                            <w:sz w:val="20"/>
                          </w:rPr>
                        </w:r>
                      </w:p>
                    </w:tc>
                  </w:tr>
                  <w:tr>
                    <w:trPr>
                      <w:trHeight w:val="470"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w w:val="95"/>
                            <w:sz w:val="20"/>
                            <w:u w:val="single" w:color="000008"/>
                          </w:rPr>
                          <w:t>441,193,551.99</w:t>
                        </w:r>
                        <w:r>
                          <w:rPr>
                            <w:rFonts w:ascii="Times New Roman"/>
                            <w:b/>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w w:val="95"/>
                            <w:sz w:val="20"/>
                            <w:u w:val="single" w:color="000008"/>
                          </w:rPr>
                          <w:t>181,602,991.05</w:t>
                        </w:r>
                        <w:r>
                          <w:rPr>
                            <w:rFonts w:ascii="Times New Roman"/>
                            <w:b/>
                            <w:w w:val="95"/>
                            <w:sz w:val="20"/>
                          </w:rPr>
                        </w:r>
                        <w:r>
                          <w:rPr>
                            <w:rFonts w:ascii="Times New Roman"/>
                            <w:sz w:val="20"/>
                          </w:rPr>
                        </w:r>
                      </w:p>
                    </w:tc>
                  </w:tr>
                  <w:tr>
                    <w:trPr>
                      <w:trHeight w:val="637"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z w:val="20"/>
                            <w:u w:val="thick" w:color="000008"/>
                          </w:rPr>
                          <w:t> </w:t>
                        </w:r>
                        <w:r>
                          <w:rPr>
                            <w:rFonts w:ascii="Times New Roman"/>
                            <w:spacing w:val="-25"/>
                            <w:sz w:val="20"/>
                            <w:u w:val="thick" w:color="000008"/>
                          </w:rPr>
                          <w:t> </w:t>
                        </w:r>
                        <w:r>
                          <w:rPr>
                            <w:rFonts w:ascii="Times New Roman"/>
                            <w:w w:val="95"/>
                            <w:sz w:val="20"/>
                            <w:u w:val="thick" w:color="000008"/>
                          </w:rPr>
                          <w:t>-138,482,587.87</w:t>
                        </w:r>
                        <w:r>
                          <w:rPr>
                            <w:rFonts w:ascii="Times New Roman"/>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09"/>
                          <w:ind w:right="3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z w:val="20"/>
                            <w:u w:val="thick" w:color="000008"/>
                          </w:rPr>
                          <w:tab/>
                        </w:r>
                        <w:r>
                          <w:rPr>
                            <w:rFonts w:ascii="Times New Roman"/>
                            <w:w w:val="95"/>
                            <w:sz w:val="20"/>
                            <w:u w:val="thick" w:color="000008"/>
                          </w:rPr>
                          <w:t>20,970,185.31</w:t>
                        </w:r>
                        <w:r>
                          <w:rPr>
                            <w:rFonts w:ascii="Times New Roman"/>
                            <w:w w:val="95"/>
                            <w:sz w:val="20"/>
                          </w:rPr>
                        </w:r>
                        <w:r>
                          <w:rPr>
                            <w:rFonts w:ascii="Times New Roman"/>
                            <w:sz w:val="20"/>
                          </w:rPr>
                        </w:r>
                      </w:p>
                    </w:tc>
                  </w:tr>
                  <w:tr>
                    <w:trPr>
                      <w:trHeight w:val="631"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40" w:lineRule="auto"/>
                          <w:ind w:right="179"/>
                          <w:jc w:val="right"/>
                          <w:rPr>
                            <w:rFonts w:ascii="Times New Roman" w:hAnsi="Times New Roman" w:cs="Times New Roman" w:eastAsia="Times New Roman" w:hint="default"/>
                            <w:sz w:val="20"/>
                            <w:szCs w:val="20"/>
                          </w:rPr>
                        </w:pPr>
                        <w:r>
                          <w:rPr>
                            <w:rFonts w:ascii="Times New Roman"/>
                            <w:w w:val="95"/>
                            <w:sz w:val="20"/>
                          </w:rPr>
                          <w:t>156,476,392.08</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40" w:lineRule="auto"/>
                          <w:ind w:right="41"/>
                          <w:jc w:val="right"/>
                          <w:rPr>
                            <w:rFonts w:ascii="Times New Roman" w:hAnsi="Times New Roman" w:cs="Times New Roman" w:eastAsia="Times New Roman" w:hint="default"/>
                            <w:sz w:val="20"/>
                            <w:szCs w:val="20"/>
                          </w:rPr>
                        </w:pPr>
                        <w:r>
                          <w:rPr>
                            <w:rFonts w:ascii="Times New Roman"/>
                            <w:w w:val="95"/>
                            <w:sz w:val="20"/>
                          </w:rPr>
                          <w:t>5,995,667.77</w:t>
                        </w:r>
                        <w:r>
                          <w:rPr>
                            <w:rFonts w:ascii="Times New Roman"/>
                            <w:sz w:val="20"/>
                          </w:rPr>
                        </w:r>
                      </w:p>
                    </w:tc>
                  </w:tr>
                  <w:tr>
                    <w:trPr>
                      <w:trHeight w:val="475"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79"/>
                          <w:jc w:val="right"/>
                          <w:rPr>
                            <w:rFonts w:ascii="Times New Roman" w:hAnsi="Times New Roman" w:cs="Times New Roman" w:eastAsia="Times New Roman" w:hint="default"/>
                            <w:sz w:val="20"/>
                            <w:szCs w:val="20"/>
                          </w:rPr>
                        </w:pPr>
                        <w:r>
                          <w:rPr>
                            <w:rFonts w:ascii="Times New Roman"/>
                            <w:w w:val="95"/>
                            <w:sz w:val="20"/>
                          </w:rPr>
                          <w:t>154,743,502.93</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
                          <w:jc w:val="right"/>
                          <w:rPr>
                            <w:rFonts w:ascii="Times New Roman" w:hAnsi="Times New Roman" w:cs="Times New Roman" w:eastAsia="Times New Roman" w:hint="default"/>
                            <w:sz w:val="20"/>
                            <w:szCs w:val="20"/>
                          </w:rPr>
                        </w:pPr>
                        <w:r>
                          <w:rPr>
                            <w:rFonts w:ascii="Times New Roman"/>
                            <w:w w:val="95"/>
                            <w:sz w:val="20"/>
                          </w:rPr>
                          <w:t>103,784,472.19</w:t>
                        </w:r>
                        <w:r>
                          <w:rPr>
                            <w:rFonts w:ascii="Times New Roman"/>
                            <w:sz w:val="20"/>
                          </w:rPr>
                        </w:r>
                      </w:p>
                    </w:tc>
                  </w:tr>
                  <w:tr>
                    <w:trPr>
                      <w:trHeight w:val="491"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9"/>
                          <w:jc w:val="right"/>
                          <w:rPr>
                            <w:rFonts w:ascii="Times New Roman" w:hAnsi="Times New Roman" w:cs="Times New Roman" w:eastAsia="Times New Roman" w:hint="default"/>
                            <w:sz w:val="20"/>
                            <w:szCs w:val="20"/>
                          </w:rPr>
                        </w:pPr>
                        <w:r>
                          <w:rPr>
                            <w:rFonts w:ascii="Times New Roman"/>
                            <w:w w:val="95"/>
                            <w:sz w:val="20"/>
                          </w:rPr>
                          <w:t>993,733.50</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1"/>
                          <w:jc w:val="right"/>
                          <w:rPr>
                            <w:rFonts w:ascii="Times New Roman" w:hAnsi="Times New Roman" w:cs="Times New Roman" w:eastAsia="Times New Roman" w:hint="default"/>
                            <w:sz w:val="20"/>
                            <w:szCs w:val="20"/>
                          </w:rPr>
                        </w:pPr>
                        <w:r>
                          <w:rPr>
                            <w:rFonts w:ascii="Times New Roman"/>
                            <w:w w:val="95"/>
                            <w:sz w:val="20"/>
                          </w:rPr>
                          <w:t>12,822.00</w:t>
                        </w:r>
                        <w:r>
                          <w:rPr>
                            <w:rFonts w:ascii="Times New Roman"/>
                            <w:sz w:val="20"/>
                          </w:rPr>
                        </w:r>
                      </w:p>
                    </w:tc>
                  </w:tr>
                  <w:tr>
                    <w:trPr>
                      <w:trHeight w:val="474"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79"/>
                          <w:jc w:val="right"/>
                          <w:rPr>
                            <w:rFonts w:ascii="Times New Roman" w:hAnsi="Times New Roman" w:cs="Times New Roman" w:eastAsia="Times New Roman" w:hint="default"/>
                            <w:sz w:val="20"/>
                            <w:szCs w:val="20"/>
                          </w:rPr>
                        </w:pPr>
                        <w:r>
                          <w:rPr>
                            <w:rFonts w:ascii="Times New Roman"/>
                            <w:w w:val="95"/>
                            <w:sz w:val="20"/>
                          </w:rPr>
                          <w:t>87,612,613.98</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66" w:hRule="exact"/>
                    </w:trPr>
                    <w:tc>
                      <w:tcPr>
                        <w:tcW w:w="1660" w:type="dxa"/>
                        <w:tcBorders>
                          <w:top w:val="nil" w:sz="6" w:space="0" w:color="auto"/>
                          <w:left w:val="nil" w:sz="6" w:space="0" w:color="auto"/>
                          <w:bottom w:val="nil" w:sz="6" w:space="0" w:color="auto"/>
                          <w:right w:val="nil" w:sz="6" w:space="0" w:color="auto"/>
                        </w:tcBorders>
                      </w:tcPr>
                      <w:p>
                        <w:pPr>
                          <w:pStyle w:val="TableParagraph"/>
                          <w:tabs>
                            <w:tab w:pos="391" w:val="left" w:leader="none"/>
                          </w:tabs>
                          <w:spacing w:line="240" w:lineRule="auto" w:before="103"/>
                          <w:ind w:right="18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3,144,800.00</w:t>
                        </w:r>
                        <w:r>
                          <w:rPr>
                            <w:rFonts w:ascii="Times New Roman"/>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03"/>
                          <w:ind w:right="4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w:t>
                        </w:r>
                        <w:r>
                          <w:rPr>
                            <w:rFonts w:ascii="Times New Roman"/>
                            <w:w w:val="95"/>
                            <w:sz w:val="20"/>
                          </w:rPr>
                        </w:r>
                        <w:r>
                          <w:rPr>
                            <w:rFonts w:ascii="Times New Roman"/>
                            <w:sz w:val="20"/>
                          </w:rPr>
                        </w:r>
                      </w:p>
                    </w:tc>
                  </w:tr>
                  <w:tr>
                    <w:trPr>
                      <w:trHeight w:val="486"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w w:val="95"/>
                            <w:sz w:val="20"/>
                            <w:u w:val="single" w:color="000008"/>
                          </w:rPr>
                          <w:t>402,971,042.49</w:t>
                        </w:r>
                        <w:r>
                          <w:rPr>
                            <w:rFonts w:ascii="Times New Roman"/>
                            <w:b/>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w w:val="95"/>
                            <w:sz w:val="20"/>
                            <w:u w:val="single" w:color="000008"/>
                          </w:rPr>
                          <w:t>109,792,961.96</w:t>
                        </w:r>
                        <w:r>
                          <w:rPr>
                            <w:rFonts w:ascii="Times New Roman"/>
                            <w:b/>
                            <w:w w:val="95"/>
                            <w:sz w:val="20"/>
                          </w:rPr>
                        </w:r>
                        <w:r>
                          <w:rPr>
                            <w:rFonts w:ascii="Times New Roman"/>
                            <w:sz w:val="20"/>
                          </w:rPr>
                        </w:r>
                      </w:p>
                    </w:tc>
                  </w:tr>
                  <w:tr>
                    <w:trPr>
                      <w:trHeight w:val="494"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79"/>
                          <w:jc w:val="right"/>
                          <w:rPr>
                            <w:rFonts w:ascii="Times New Roman" w:hAnsi="Times New Roman" w:cs="Times New Roman" w:eastAsia="Times New Roman" w:hint="default"/>
                            <w:sz w:val="20"/>
                            <w:szCs w:val="20"/>
                          </w:rPr>
                        </w:pPr>
                        <w:r>
                          <w:rPr>
                            <w:rFonts w:ascii="Times New Roman"/>
                            <w:w w:val="95"/>
                            <w:sz w:val="20"/>
                          </w:rPr>
                          <w:t>166,800,941.34</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8"/>
                          <w:jc w:val="right"/>
                          <w:rPr>
                            <w:rFonts w:ascii="Times New Roman" w:hAnsi="Times New Roman" w:cs="Times New Roman" w:eastAsia="Times New Roman" w:hint="default"/>
                            <w:sz w:val="20"/>
                            <w:szCs w:val="20"/>
                          </w:rPr>
                        </w:pPr>
                        <w:r>
                          <w:rPr>
                            <w:rFonts w:ascii="Times New Roman"/>
                            <w:w w:val="95"/>
                            <w:sz w:val="20"/>
                          </w:rPr>
                          <w:t>173,329,359.85</w:t>
                        </w:r>
                        <w:r>
                          <w:rPr>
                            <w:rFonts w:ascii="Times New Roman"/>
                            <w:sz w:val="20"/>
                          </w:rPr>
                        </w:r>
                      </w:p>
                    </w:tc>
                  </w:tr>
                  <w:tr>
                    <w:trPr>
                      <w:trHeight w:val="474"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79"/>
                          <w:jc w:val="right"/>
                          <w:rPr>
                            <w:rFonts w:ascii="Times New Roman" w:hAnsi="Times New Roman" w:cs="Times New Roman" w:eastAsia="Times New Roman" w:hint="default"/>
                            <w:sz w:val="20"/>
                            <w:szCs w:val="20"/>
                          </w:rPr>
                        </w:pPr>
                        <w:r>
                          <w:rPr>
                            <w:rFonts w:ascii="Times New Roman"/>
                            <w:w w:val="95"/>
                            <w:sz w:val="20"/>
                          </w:rPr>
                          <w:t>130,563,415.00</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8"/>
                          <w:jc w:val="right"/>
                          <w:rPr>
                            <w:rFonts w:ascii="Times New Roman" w:hAnsi="Times New Roman" w:cs="Times New Roman" w:eastAsia="Times New Roman" w:hint="default"/>
                            <w:sz w:val="20"/>
                            <w:szCs w:val="20"/>
                          </w:rPr>
                        </w:pPr>
                        <w:r>
                          <w:rPr>
                            <w:rFonts w:ascii="Times New Roman"/>
                            <w:w w:val="95"/>
                            <w:sz w:val="20"/>
                          </w:rPr>
                          <w:t>199,450,700.00</w:t>
                        </w:r>
                        <w:r>
                          <w:rPr>
                            <w:rFonts w:ascii="Times New Roman"/>
                            <w:sz w:val="20"/>
                          </w:rPr>
                        </w:r>
                      </w:p>
                    </w:tc>
                  </w:tr>
                  <w:tr>
                    <w:trPr>
                      <w:trHeight w:val="461"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67" w:hRule="exact"/>
                    </w:trPr>
                    <w:tc>
                      <w:tcPr>
                        <w:tcW w:w="1660"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05"/>
                          <w:ind w:right="18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w:t>
                        </w:r>
                        <w:r>
                          <w:rPr>
                            <w:rFonts w:ascii="Times New Roman"/>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05"/>
                          <w:ind w:right="4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w:t>
                        </w:r>
                        <w:r>
                          <w:rPr>
                            <w:rFonts w:ascii="Times New Roman"/>
                            <w:w w:val="95"/>
                            <w:sz w:val="20"/>
                          </w:rPr>
                        </w:r>
                        <w:r>
                          <w:rPr>
                            <w:rFonts w:ascii="Times New Roman"/>
                            <w:sz w:val="20"/>
                          </w:rPr>
                        </w:r>
                      </w:p>
                    </w:tc>
                  </w:tr>
                  <w:tr>
                    <w:trPr>
                      <w:trHeight w:val="354"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w w:val="95"/>
                            <w:sz w:val="20"/>
                            <w:u w:val="single" w:color="000008"/>
                          </w:rPr>
                          <w:t>297,364,356.34</w:t>
                        </w:r>
                        <w:r>
                          <w:rPr>
                            <w:rFonts w:ascii="Times New Roman"/>
                            <w:b/>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w w:val="95"/>
                            <w:sz w:val="20"/>
                            <w:u w:val="single" w:color="000008"/>
                          </w:rPr>
                          <w:t>372,780,059.85</w:t>
                        </w:r>
                        <w:r>
                          <w:rPr>
                            <w:rFonts w:ascii="Times New Roman"/>
                            <w:b/>
                            <w:w w:val="95"/>
                            <w:sz w:val="20"/>
                          </w:rPr>
                        </w:r>
                        <w:r>
                          <w:rPr>
                            <w:rFonts w:ascii="Times New Roman"/>
                            <w:sz w:val="20"/>
                          </w:rPr>
                        </w:r>
                      </w:p>
                    </w:tc>
                  </w:tr>
                  <w:tr>
                    <w:trPr>
                      <w:trHeight w:val="549"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17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z w:val="20"/>
                            <w:u w:val="thick" w:color="000008"/>
                          </w:rPr>
                          <w:t>  </w:t>
                        </w:r>
                        <w:r>
                          <w:rPr>
                            <w:rFonts w:ascii="Times New Roman"/>
                            <w:spacing w:val="-2"/>
                            <w:sz w:val="20"/>
                            <w:u w:val="thick" w:color="000008"/>
                          </w:rPr>
                          <w:t> </w:t>
                        </w:r>
                        <w:r>
                          <w:rPr>
                            <w:rFonts w:ascii="Times New Roman"/>
                            <w:b/>
                            <w:w w:val="95"/>
                            <w:sz w:val="20"/>
                            <w:u w:val="thick" w:color="000008"/>
                          </w:rPr>
                          <w:t>105,606,686.15</w:t>
                        </w:r>
                        <w:r>
                          <w:rPr>
                            <w:rFonts w:ascii="Times New Roman"/>
                            <w:b/>
                            <w:w w:val="95"/>
                            <w:sz w:val="20"/>
                          </w:rPr>
                        </w:r>
                        <w:r>
                          <w:rPr>
                            <w:rFonts w:ascii="Times New Roman"/>
                            <w:sz w:val="20"/>
                          </w:rPr>
                        </w:r>
                      </w:p>
                    </w:tc>
                    <w:tc>
                      <w:tcPr>
                        <w:tcW w:w="1660" w:type="dxa"/>
                        <w:tcBorders>
                          <w:top w:val="nil" w:sz="6" w:space="0" w:color="auto"/>
                          <w:left w:val="nil" w:sz="6" w:space="0" w:color="auto"/>
                          <w:bottom w:val="nil" w:sz="6" w:space="0" w:color="auto"/>
                          <w:right w:val="nil" w:sz="6" w:space="0" w:color="auto"/>
                        </w:tcBorders>
                      </w:tcPr>
                      <w:p>
                        <w:pPr>
                          <w:pStyle w:val="TableParagraph"/>
                          <w:spacing w:line="223" w:lineRule="exact"/>
                          <w:ind w:right="35"/>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z w:val="20"/>
                            <w:u w:val="thick" w:color="000008"/>
                          </w:rPr>
                          <w:t>  </w:t>
                        </w:r>
                        <w:r>
                          <w:rPr>
                            <w:rFonts w:ascii="Times New Roman"/>
                            <w:spacing w:val="-2"/>
                            <w:sz w:val="20"/>
                            <w:u w:val="thick" w:color="000008"/>
                          </w:rPr>
                          <w:t> </w:t>
                        </w:r>
                        <w:r>
                          <w:rPr>
                            <w:rFonts w:ascii="Times New Roman"/>
                            <w:b/>
                            <w:w w:val="95"/>
                            <w:sz w:val="20"/>
                            <w:u w:val="thick" w:color="000008"/>
                          </w:rPr>
                          <w:t>262,987,097.89</w:t>
                        </w:r>
                        <w:r>
                          <w:rPr>
                            <w:rFonts w:ascii="Times New Roman"/>
                            <w:b/>
                            <w:w w:val="95"/>
                            <w:sz w:val="20"/>
                          </w:rPr>
                        </w:r>
                        <w:r>
                          <w:rPr>
                            <w:rFonts w:ascii="Times New Roman"/>
                            <w:sz w:val="20"/>
                          </w:rPr>
                        </w:r>
                      </w:p>
                    </w:tc>
                  </w:tr>
                </w:tbl>
                <w:p>
                  <w:pPr/>
                </w:p>
              </w:txbxContent>
            </v:textbox>
            <w10:wrap type="none"/>
          </v:shape>
        </w:pict>
      </w:r>
      <w:r>
        <w:rPr>
          <w:rFonts w:ascii="宋体" w:hAnsi="宋体" w:cs="宋体" w:eastAsia="宋体" w:hint="default"/>
          <w:w w:val="95"/>
          <w:sz w:val="20"/>
          <w:szCs w:val="20"/>
        </w:rPr>
        <w:t>销售商品、提供劳务收到的现金</w:t>
      </w:r>
      <w:r>
        <w:rPr>
          <w:rFonts w:ascii="宋体" w:hAnsi="宋体" w:cs="宋体" w:eastAsia="宋体" w:hint="default"/>
          <w:spacing w:val="33"/>
          <w:w w:val="95"/>
          <w:sz w:val="20"/>
          <w:szCs w:val="20"/>
        </w:rPr>
        <w:t> </w:t>
      </w:r>
      <w:r>
        <w:rPr>
          <w:rFonts w:ascii="宋体" w:hAnsi="宋体" w:cs="宋体" w:eastAsia="宋体" w:hint="default"/>
          <w:sz w:val="20"/>
          <w:szCs w:val="20"/>
        </w:rPr>
        <w:t>收到的税费返还</w:t>
      </w:r>
      <w:r>
        <w:rPr>
          <w:rFonts w:ascii="宋体" w:hAnsi="宋体" w:cs="宋体" w:eastAsia="宋体" w:hint="default"/>
          <w:w w:val="99"/>
          <w:sz w:val="20"/>
          <w:szCs w:val="20"/>
        </w:rPr>
        <w:t> </w:t>
      </w:r>
      <w:r>
        <w:rPr>
          <w:rFonts w:ascii="宋体" w:hAnsi="宋体" w:cs="宋体" w:eastAsia="宋体" w:hint="default"/>
          <w:w w:val="95"/>
          <w:sz w:val="20"/>
          <w:szCs w:val="20"/>
        </w:rPr>
        <w:t>收到其他与经营活动有关的现金</w:t>
      </w:r>
      <w:r>
        <w:rPr>
          <w:rFonts w:ascii="宋体" w:hAnsi="宋体" w:cs="宋体" w:eastAsia="宋体" w:hint="default"/>
          <w:sz w:val="20"/>
          <w:szCs w:val="20"/>
        </w:rPr>
      </w:r>
    </w:p>
    <w:p>
      <w:pPr>
        <w:spacing w:line="341" w:lineRule="exact" w:before="0"/>
        <w:ind w:left="1292" w:right="149"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p>
      <w:pPr>
        <w:spacing w:line="240" w:lineRule="auto" w:before="12"/>
        <w:rPr>
          <w:rFonts w:ascii="Microsoft JhengHei" w:hAnsi="Microsoft JhengHei" w:cs="Microsoft JhengHei" w:eastAsia="Microsoft JhengHei" w:hint="default"/>
          <w:b/>
          <w:bCs/>
          <w:sz w:val="10"/>
          <w:szCs w:val="10"/>
        </w:rPr>
      </w:pPr>
    </w:p>
    <w:p>
      <w:pPr>
        <w:spacing w:line="422" w:lineRule="auto" w:before="0"/>
        <w:ind w:left="516" w:right="4451" w:firstLine="0"/>
        <w:jc w:val="left"/>
        <w:rPr>
          <w:rFonts w:ascii="宋体" w:hAnsi="宋体" w:cs="宋体" w:eastAsia="宋体" w:hint="default"/>
          <w:sz w:val="20"/>
          <w:szCs w:val="20"/>
        </w:rPr>
      </w:pPr>
      <w:r>
        <w:rPr/>
        <w:pict>
          <v:group style="position:absolute;margin-left:359.399994pt;margin-top:88.539696pt;width:72.25pt;height:.6pt;mso-position-horizontal-relative:page;mso-position-vertical-relative:paragraph;z-index:3304" coordorigin="7188,1771" coordsize="1445,12">
            <v:group style="position:absolute;left:7194;top:1777;width:12;height:2" coordorigin="7194,1777" coordsize="12,2">
              <v:shape style="position:absolute;left:7194;top:1777;width:12;height:2" coordorigin="7194,1777" coordsize="12,0" path="m7194,1777l7206,1777e" filled="false" stroked="true" strokeweight=".6pt" strokecolor="#000008">
                <v:path arrowok="t"/>
              </v:shape>
            </v:group>
            <v:group style="position:absolute;left:7213;top:1777;width:12;height:2" coordorigin="7213,1777" coordsize="12,2">
              <v:shape style="position:absolute;left:7213;top:1777;width:12;height:2" coordorigin="7213,1777" coordsize="12,0" path="m7213,1777l7225,1777e" filled="false" stroked="true" strokeweight=".6pt" strokecolor="#000008">
                <v:path arrowok="t"/>
              </v:shape>
            </v:group>
            <v:group style="position:absolute;left:7232;top:1777;width:12;height:2" coordorigin="7232,1777" coordsize="12,2">
              <v:shape style="position:absolute;left:7232;top:1777;width:12;height:2" coordorigin="7232,1777" coordsize="12,0" path="m7232,1777l7244,1777e" filled="false" stroked="true" strokeweight=".6pt" strokecolor="#000008">
                <v:path arrowok="t"/>
              </v:shape>
            </v:group>
            <v:group style="position:absolute;left:7252;top:1777;width:12;height:2" coordorigin="7252,1777" coordsize="12,2">
              <v:shape style="position:absolute;left:7252;top:1777;width:12;height:2" coordorigin="7252,1777" coordsize="12,0" path="m7252,1777l7264,1777e" filled="false" stroked="true" strokeweight=".6pt" strokecolor="#000008">
                <v:path arrowok="t"/>
              </v:shape>
            </v:group>
            <v:group style="position:absolute;left:7271;top:1777;width:12;height:2" coordorigin="7271,1777" coordsize="12,2">
              <v:shape style="position:absolute;left:7271;top:1777;width:12;height:2" coordorigin="7271,1777" coordsize="12,0" path="m7271,1777l7283,1777e" filled="false" stroked="true" strokeweight=".6pt" strokecolor="#000008">
                <v:path arrowok="t"/>
              </v:shape>
            </v:group>
            <v:group style="position:absolute;left:7290;top:1777;width:12;height:2" coordorigin="7290,1777" coordsize="12,2">
              <v:shape style="position:absolute;left:7290;top:1777;width:12;height:2" coordorigin="7290,1777" coordsize="12,0" path="m7290,1777l7302,1777e" filled="false" stroked="true" strokeweight=".6pt" strokecolor="#000008">
                <v:path arrowok="t"/>
              </v:shape>
            </v:group>
            <v:group style="position:absolute;left:7309;top:1777;width:12;height:2" coordorigin="7309,1777" coordsize="12,2">
              <v:shape style="position:absolute;left:7309;top:1777;width:12;height:2" coordorigin="7309,1777" coordsize="12,0" path="m7309,1777l7321,1777e" filled="false" stroked="true" strokeweight=".6pt" strokecolor="#000008">
                <v:path arrowok="t"/>
              </v:shape>
            </v:group>
            <v:group style="position:absolute;left:7328;top:1777;width:12;height:2" coordorigin="7328,1777" coordsize="12,2">
              <v:shape style="position:absolute;left:7328;top:1777;width:12;height:2" coordorigin="7328,1777" coordsize="12,0" path="m7328,1777l7340,1777e" filled="false" stroked="true" strokeweight=".6pt" strokecolor="#000008">
                <v:path arrowok="t"/>
              </v:shape>
            </v:group>
            <v:group style="position:absolute;left:7348;top:1777;width:12;height:2" coordorigin="7348,1777" coordsize="12,2">
              <v:shape style="position:absolute;left:7348;top:1777;width:12;height:2" coordorigin="7348,1777" coordsize="12,0" path="m7348,1777l7360,1777e" filled="false" stroked="true" strokeweight=".6pt" strokecolor="#000008">
                <v:path arrowok="t"/>
              </v:shape>
            </v:group>
            <v:group style="position:absolute;left:7367;top:1777;width:12;height:2" coordorigin="7367,1777" coordsize="12,2">
              <v:shape style="position:absolute;left:7367;top:1777;width:12;height:2" coordorigin="7367,1777" coordsize="12,0" path="m7367,1777l7379,1777e" filled="false" stroked="true" strokeweight=".6pt" strokecolor="#000008">
                <v:path arrowok="t"/>
              </v:shape>
            </v:group>
            <v:group style="position:absolute;left:7386;top:1777;width:12;height:2" coordorigin="7386,1777" coordsize="12,2">
              <v:shape style="position:absolute;left:7386;top:1777;width:12;height:2" coordorigin="7386,1777" coordsize="12,0" path="m7386,1777l7398,1777e" filled="false" stroked="true" strokeweight=".6pt" strokecolor="#000008">
                <v:path arrowok="t"/>
              </v:shape>
            </v:group>
            <v:group style="position:absolute;left:7405;top:1777;width:12;height:2" coordorigin="7405,1777" coordsize="12,2">
              <v:shape style="position:absolute;left:7405;top:1777;width:12;height:2" coordorigin="7405,1777" coordsize="12,0" path="m7405,1777l7417,1777e" filled="false" stroked="true" strokeweight=".6pt" strokecolor="#000008">
                <v:path arrowok="t"/>
              </v:shape>
            </v:group>
            <v:group style="position:absolute;left:7424;top:1777;width:12;height:2" coordorigin="7424,1777" coordsize="12,2">
              <v:shape style="position:absolute;left:7424;top:1777;width:12;height:2" coordorigin="7424,1777" coordsize="12,0" path="m7424,1777l7436,1777e" filled="false" stroked="true" strokeweight=".6pt" strokecolor="#000008">
                <v:path arrowok="t"/>
              </v:shape>
            </v:group>
            <v:group style="position:absolute;left:7444;top:1777;width:12;height:2" coordorigin="7444,1777" coordsize="12,2">
              <v:shape style="position:absolute;left:7444;top:1777;width:12;height:2" coordorigin="7444,1777" coordsize="12,0" path="m7444,1777l7456,1777e" filled="false" stroked="true" strokeweight=".6pt" strokecolor="#000008">
                <v:path arrowok="t"/>
              </v:shape>
            </v:group>
            <v:group style="position:absolute;left:7463;top:1777;width:12;height:2" coordorigin="7463,1777" coordsize="12,2">
              <v:shape style="position:absolute;left:7463;top:1777;width:12;height:2" coordorigin="7463,1777" coordsize="12,0" path="m7463,1777l7475,1777e" filled="false" stroked="true" strokeweight=".6pt" strokecolor="#000008">
                <v:path arrowok="t"/>
              </v:shape>
            </v:group>
            <v:group style="position:absolute;left:7482;top:1777;width:12;height:2" coordorigin="7482,1777" coordsize="12,2">
              <v:shape style="position:absolute;left:7482;top:1777;width:12;height:2" coordorigin="7482,1777" coordsize="12,0" path="m7482,1777l7494,1777e" filled="false" stroked="true" strokeweight=".6pt" strokecolor="#000008">
                <v:path arrowok="t"/>
              </v:shape>
            </v:group>
            <v:group style="position:absolute;left:7501;top:1777;width:12;height:2" coordorigin="7501,1777" coordsize="12,2">
              <v:shape style="position:absolute;left:7501;top:1777;width:12;height:2" coordorigin="7501,1777" coordsize="12,0" path="m7501,1777l7513,1777e" filled="false" stroked="true" strokeweight=".6pt" strokecolor="#000008">
                <v:path arrowok="t"/>
              </v:shape>
            </v:group>
            <v:group style="position:absolute;left:7520;top:1777;width:12;height:2" coordorigin="7520,1777" coordsize="12,2">
              <v:shape style="position:absolute;left:7520;top:1777;width:12;height:2" coordorigin="7520,1777" coordsize="12,0" path="m7520,1777l7532,1777e" filled="false" stroked="true" strokeweight=".6pt" strokecolor="#000008">
                <v:path arrowok="t"/>
              </v:shape>
            </v:group>
            <v:group style="position:absolute;left:7540;top:1777;width:12;height:2" coordorigin="7540,1777" coordsize="12,2">
              <v:shape style="position:absolute;left:7540;top:1777;width:12;height:2" coordorigin="7540,1777" coordsize="12,0" path="m7540,1777l7552,1777e" filled="false" stroked="true" strokeweight=".6pt" strokecolor="#000008">
                <v:path arrowok="t"/>
              </v:shape>
            </v:group>
            <v:group style="position:absolute;left:7559;top:1777;width:12;height:2" coordorigin="7559,1777" coordsize="12,2">
              <v:shape style="position:absolute;left:7559;top:1777;width:12;height:2" coordorigin="7559,1777" coordsize="12,0" path="m7559,1777l7571,1777e" filled="false" stroked="true" strokeweight=".6pt" strokecolor="#000008">
                <v:path arrowok="t"/>
              </v:shape>
            </v:group>
            <v:group style="position:absolute;left:7578;top:1777;width:12;height:2" coordorigin="7578,1777" coordsize="12,2">
              <v:shape style="position:absolute;left:7578;top:1777;width:12;height:2" coordorigin="7578,1777" coordsize="12,0" path="m7578,1777l7590,1777e" filled="false" stroked="true" strokeweight=".6pt" strokecolor="#000008">
                <v:path arrowok="t"/>
              </v:shape>
            </v:group>
            <v:group style="position:absolute;left:7597;top:1777;width:12;height:2" coordorigin="7597,1777" coordsize="12,2">
              <v:shape style="position:absolute;left:7597;top:1777;width:12;height:2" coordorigin="7597,1777" coordsize="12,0" path="m7597,1777l7609,1777e" filled="false" stroked="true" strokeweight=".6pt" strokecolor="#000008">
                <v:path arrowok="t"/>
              </v:shape>
            </v:group>
            <v:group style="position:absolute;left:7616;top:1777;width:12;height:2" coordorigin="7616,1777" coordsize="12,2">
              <v:shape style="position:absolute;left:7616;top:1777;width:12;height:2" coordorigin="7616,1777" coordsize="12,0" path="m7616,1777l7628,1777e" filled="false" stroked="true" strokeweight=".6pt" strokecolor="#000008">
                <v:path arrowok="t"/>
              </v:shape>
            </v:group>
            <v:group style="position:absolute;left:7636;top:1777;width:12;height:2" coordorigin="7636,1777" coordsize="12,2">
              <v:shape style="position:absolute;left:7636;top:1777;width:12;height:2" coordorigin="7636,1777" coordsize="12,0" path="m7636,1777l7648,1777e" filled="false" stroked="true" strokeweight=".6pt" strokecolor="#000008">
                <v:path arrowok="t"/>
              </v:shape>
            </v:group>
            <v:group style="position:absolute;left:7655;top:1777;width:12;height:2" coordorigin="7655,1777" coordsize="12,2">
              <v:shape style="position:absolute;left:7655;top:1777;width:12;height:2" coordorigin="7655,1777" coordsize="12,0" path="m7655,1777l7667,1777e" filled="false" stroked="true" strokeweight=".6pt" strokecolor="#000008">
                <v:path arrowok="t"/>
              </v:shape>
            </v:group>
            <v:group style="position:absolute;left:7674;top:1777;width:12;height:2" coordorigin="7674,1777" coordsize="12,2">
              <v:shape style="position:absolute;left:7674;top:1777;width:12;height:2" coordorigin="7674,1777" coordsize="12,0" path="m7674,1777l7686,1777e" filled="false" stroked="true" strokeweight=".6pt" strokecolor="#000008">
                <v:path arrowok="t"/>
              </v:shape>
            </v:group>
            <v:group style="position:absolute;left:7693;top:1777;width:12;height:2" coordorigin="7693,1777" coordsize="12,2">
              <v:shape style="position:absolute;left:7693;top:1777;width:12;height:2" coordorigin="7693,1777" coordsize="12,0" path="m7693,1777l7705,1777e" filled="false" stroked="true" strokeweight=".6pt" strokecolor="#000008">
                <v:path arrowok="t"/>
              </v:shape>
            </v:group>
            <v:group style="position:absolute;left:7712;top:1777;width:12;height:2" coordorigin="7712,1777" coordsize="12,2">
              <v:shape style="position:absolute;left:7712;top:1777;width:12;height:2" coordorigin="7712,1777" coordsize="12,0" path="m7712,1777l7724,1777e" filled="false" stroked="true" strokeweight=".6pt" strokecolor="#000008">
                <v:path arrowok="t"/>
              </v:shape>
            </v:group>
            <v:group style="position:absolute;left:7732;top:1777;width:12;height:2" coordorigin="7732,1777" coordsize="12,2">
              <v:shape style="position:absolute;left:7732;top:1777;width:12;height:2" coordorigin="7732,1777" coordsize="12,0" path="m7732,1777l7744,1777e" filled="false" stroked="true" strokeweight=".6pt" strokecolor="#000008">
                <v:path arrowok="t"/>
              </v:shape>
            </v:group>
            <v:group style="position:absolute;left:7751;top:1777;width:12;height:2" coordorigin="7751,1777" coordsize="12,2">
              <v:shape style="position:absolute;left:7751;top:1777;width:12;height:2" coordorigin="7751,1777" coordsize="12,0" path="m7751,1777l7763,1777e" filled="false" stroked="true" strokeweight=".6pt" strokecolor="#000008">
                <v:path arrowok="t"/>
              </v:shape>
            </v:group>
            <v:group style="position:absolute;left:7770;top:1777;width:12;height:2" coordorigin="7770,1777" coordsize="12,2">
              <v:shape style="position:absolute;left:7770;top:1777;width:12;height:2" coordorigin="7770,1777" coordsize="12,0" path="m7770,1777l7782,1777e" filled="false" stroked="true" strokeweight=".6pt" strokecolor="#000008">
                <v:path arrowok="t"/>
              </v:shape>
            </v:group>
            <v:group style="position:absolute;left:7789;top:1777;width:12;height:2" coordorigin="7789,1777" coordsize="12,2">
              <v:shape style="position:absolute;left:7789;top:1777;width:12;height:2" coordorigin="7789,1777" coordsize="12,0" path="m7789,1777l7801,1777e" filled="false" stroked="true" strokeweight=".6pt" strokecolor="#000008">
                <v:path arrowok="t"/>
              </v:shape>
            </v:group>
            <v:group style="position:absolute;left:7808;top:1777;width:12;height:2" coordorigin="7808,1777" coordsize="12,2">
              <v:shape style="position:absolute;left:7808;top:1777;width:12;height:2" coordorigin="7808,1777" coordsize="12,0" path="m7808,1777l7820,1777e" filled="false" stroked="true" strokeweight=".6pt" strokecolor="#000008">
                <v:path arrowok="t"/>
              </v:shape>
            </v:group>
            <v:group style="position:absolute;left:7828;top:1777;width:12;height:2" coordorigin="7828,1777" coordsize="12,2">
              <v:shape style="position:absolute;left:7828;top:1777;width:12;height:2" coordorigin="7828,1777" coordsize="12,0" path="m7828,1777l7840,1777e" filled="false" stroked="true" strokeweight=".6pt" strokecolor="#000008">
                <v:path arrowok="t"/>
              </v:shape>
            </v:group>
            <v:group style="position:absolute;left:7847;top:1777;width:12;height:2" coordorigin="7847,1777" coordsize="12,2">
              <v:shape style="position:absolute;left:7847;top:1777;width:12;height:2" coordorigin="7847,1777" coordsize="12,0" path="m7847,1777l7859,1777e" filled="false" stroked="true" strokeweight=".6pt" strokecolor="#000008">
                <v:path arrowok="t"/>
              </v:shape>
            </v:group>
            <v:group style="position:absolute;left:7866;top:1777;width:12;height:2" coordorigin="7866,1777" coordsize="12,2">
              <v:shape style="position:absolute;left:7866;top:1777;width:12;height:2" coordorigin="7866,1777" coordsize="12,0" path="m7866,1777l7878,1777e" filled="false" stroked="true" strokeweight=".6pt" strokecolor="#000008">
                <v:path arrowok="t"/>
              </v:shape>
            </v:group>
            <v:group style="position:absolute;left:7885;top:1777;width:12;height:2" coordorigin="7885,1777" coordsize="12,2">
              <v:shape style="position:absolute;left:7885;top:1777;width:12;height:2" coordorigin="7885,1777" coordsize="12,0" path="m7885,1777l7897,1777e" filled="false" stroked="true" strokeweight=".6pt" strokecolor="#000008">
                <v:path arrowok="t"/>
              </v:shape>
            </v:group>
            <v:group style="position:absolute;left:7904;top:1777;width:12;height:2" coordorigin="7904,1777" coordsize="12,2">
              <v:shape style="position:absolute;left:7904;top:1777;width:12;height:2" coordorigin="7904,1777" coordsize="12,0" path="m7904,1777l7916,1777e" filled="false" stroked="true" strokeweight=".6pt" strokecolor="#000008">
                <v:path arrowok="t"/>
              </v:shape>
            </v:group>
            <v:group style="position:absolute;left:7924;top:1777;width:12;height:2" coordorigin="7924,1777" coordsize="12,2">
              <v:shape style="position:absolute;left:7924;top:1777;width:12;height:2" coordorigin="7924,1777" coordsize="12,0" path="m7924,1777l7936,1777e" filled="false" stroked="true" strokeweight=".6pt" strokecolor="#000008">
                <v:path arrowok="t"/>
              </v:shape>
            </v:group>
            <v:group style="position:absolute;left:7943;top:1777;width:12;height:2" coordorigin="7943,1777" coordsize="12,2">
              <v:shape style="position:absolute;left:7943;top:1777;width:12;height:2" coordorigin="7943,1777" coordsize="12,0" path="m7943,1777l7955,1777e" filled="false" stroked="true" strokeweight=".6pt" strokecolor="#000008">
                <v:path arrowok="t"/>
              </v:shape>
            </v:group>
            <v:group style="position:absolute;left:7962;top:1777;width:12;height:2" coordorigin="7962,1777" coordsize="12,2">
              <v:shape style="position:absolute;left:7962;top:1777;width:12;height:2" coordorigin="7962,1777" coordsize="12,0" path="m7962,1777l7974,1777e" filled="false" stroked="true" strokeweight=".6pt" strokecolor="#000008">
                <v:path arrowok="t"/>
              </v:shape>
            </v:group>
            <v:group style="position:absolute;left:7981;top:1777;width:12;height:2" coordorigin="7981,1777" coordsize="12,2">
              <v:shape style="position:absolute;left:7981;top:1777;width:12;height:2" coordorigin="7981,1777" coordsize="12,0" path="m7981,1777l7993,1777e" filled="false" stroked="true" strokeweight=".6pt" strokecolor="#000008">
                <v:path arrowok="t"/>
              </v:shape>
            </v:group>
            <v:group style="position:absolute;left:8000;top:1777;width:12;height:2" coordorigin="8000,1777" coordsize="12,2">
              <v:shape style="position:absolute;left:8000;top:1777;width:12;height:2" coordorigin="8000,1777" coordsize="12,0" path="m8000,1777l8012,1777e" filled="false" stroked="true" strokeweight=".6pt" strokecolor="#000008">
                <v:path arrowok="t"/>
              </v:shape>
            </v:group>
            <v:group style="position:absolute;left:8020;top:1777;width:12;height:2" coordorigin="8020,1777" coordsize="12,2">
              <v:shape style="position:absolute;left:8020;top:1777;width:12;height:2" coordorigin="8020,1777" coordsize="12,0" path="m8020,1777l8032,1777e" filled="false" stroked="true" strokeweight=".6pt" strokecolor="#000008">
                <v:path arrowok="t"/>
              </v:shape>
            </v:group>
            <v:group style="position:absolute;left:8039;top:1777;width:12;height:2" coordorigin="8039,1777" coordsize="12,2">
              <v:shape style="position:absolute;left:8039;top:1777;width:12;height:2" coordorigin="8039,1777" coordsize="12,0" path="m8039,1777l8051,1777e" filled="false" stroked="true" strokeweight=".6pt" strokecolor="#000008">
                <v:path arrowok="t"/>
              </v:shape>
            </v:group>
            <v:group style="position:absolute;left:8058;top:1777;width:12;height:2" coordorigin="8058,1777" coordsize="12,2">
              <v:shape style="position:absolute;left:8058;top:1777;width:12;height:2" coordorigin="8058,1777" coordsize="12,0" path="m8058,1777l8070,1777e" filled="false" stroked="true" strokeweight=".6pt" strokecolor="#000008">
                <v:path arrowok="t"/>
              </v:shape>
            </v:group>
            <v:group style="position:absolute;left:8077;top:1777;width:12;height:2" coordorigin="8077,1777" coordsize="12,2">
              <v:shape style="position:absolute;left:8077;top:1777;width:12;height:2" coordorigin="8077,1777" coordsize="12,0" path="m8077,1777l8089,1777e" filled="false" stroked="true" strokeweight=".6pt" strokecolor="#000008">
                <v:path arrowok="t"/>
              </v:shape>
            </v:group>
            <v:group style="position:absolute;left:8096;top:1777;width:12;height:2" coordorigin="8096,1777" coordsize="12,2">
              <v:shape style="position:absolute;left:8096;top:1777;width:12;height:2" coordorigin="8096,1777" coordsize="12,0" path="m8096,1777l8108,1777e" filled="false" stroked="true" strokeweight=".6pt" strokecolor="#000008">
                <v:path arrowok="t"/>
              </v:shape>
            </v:group>
            <v:group style="position:absolute;left:8116;top:1777;width:12;height:2" coordorigin="8116,1777" coordsize="12,2">
              <v:shape style="position:absolute;left:8116;top:1777;width:12;height:2" coordorigin="8116,1777" coordsize="12,0" path="m8116,1777l8128,1777e" filled="false" stroked="true" strokeweight=".6pt" strokecolor="#000008">
                <v:path arrowok="t"/>
              </v:shape>
            </v:group>
            <v:group style="position:absolute;left:8135;top:1777;width:12;height:2" coordorigin="8135,1777" coordsize="12,2">
              <v:shape style="position:absolute;left:8135;top:1777;width:12;height:2" coordorigin="8135,1777" coordsize="12,0" path="m8135,1777l8147,1777e" filled="false" stroked="true" strokeweight=".6pt" strokecolor="#000008">
                <v:path arrowok="t"/>
              </v:shape>
            </v:group>
            <v:group style="position:absolute;left:8154;top:1777;width:12;height:2" coordorigin="8154,1777" coordsize="12,2">
              <v:shape style="position:absolute;left:8154;top:1777;width:12;height:2" coordorigin="8154,1777" coordsize="12,0" path="m8154,1777l8166,1777e" filled="false" stroked="true" strokeweight=".6pt" strokecolor="#000008">
                <v:path arrowok="t"/>
              </v:shape>
            </v:group>
            <v:group style="position:absolute;left:8173;top:1777;width:12;height:2" coordorigin="8173,1777" coordsize="12,2">
              <v:shape style="position:absolute;left:8173;top:1777;width:12;height:2" coordorigin="8173,1777" coordsize="12,0" path="m8173,1777l8185,1777e" filled="false" stroked="true" strokeweight=".6pt" strokecolor="#000008">
                <v:path arrowok="t"/>
              </v:shape>
            </v:group>
            <v:group style="position:absolute;left:8192;top:1777;width:12;height:2" coordorigin="8192,1777" coordsize="12,2">
              <v:shape style="position:absolute;left:8192;top:1777;width:12;height:2" coordorigin="8192,1777" coordsize="12,0" path="m8192,1777l8204,1777e" filled="false" stroked="true" strokeweight=".6pt" strokecolor="#000008">
                <v:path arrowok="t"/>
              </v:shape>
            </v:group>
            <v:group style="position:absolute;left:8212;top:1777;width:12;height:2" coordorigin="8212,1777" coordsize="12,2">
              <v:shape style="position:absolute;left:8212;top:1777;width:12;height:2" coordorigin="8212,1777" coordsize="12,0" path="m8212,1777l8224,1777e" filled="false" stroked="true" strokeweight=".6pt" strokecolor="#000008">
                <v:path arrowok="t"/>
              </v:shape>
            </v:group>
            <v:group style="position:absolute;left:8231;top:1777;width:12;height:2" coordorigin="8231,1777" coordsize="12,2">
              <v:shape style="position:absolute;left:8231;top:1777;width:12;height:2" coordorigin="8231,1777" coordsize="12,0" path="m8231,1777l8243,1777e" filled="false" stroked="true" strokeweight=".6pt" strokecolor="#000008">
                <v:path arrowok="t"/>
              </v:shape>
            </v:group>
            <v:group style="position:absolute;left:8250;top:1777;width:12;height:2" coordorigin="8250,1777" coordsize="12,2">
              <v:shape style="position:absolute;left:8250;top:1777;width:12;height:2" coordorigin="8250,1777" coordsize="12,0" path="m8250,1777l8262,1777e" filled="false" stroked="true" strokeweight=".6pt" strokecolor="#000008">
                <v:path arrowok="t"/>
              </v:shape>
            </v:group>
            <v:group style="position:absolute;left:8269;top:1777;width:12;height:2" coordorigin="8269,1777" coordsize="12,2">
              <v:shape style="position:absolute;left:8269;top:1777;width:12;height:2" coordorigin="8269,1777" coordsize="12,0" path="m8269,1777l8281,1777e" filled="false" stroked="true" strokeweight=".6pt" strokecolor="#000008">
                <v:path arrowok="t"/>
              </v:shape>
            </v:group>
            <v:group style="position:absolute;left:8288;top:1777;width:12;height:2" coordorigin="8288,1777" coordsize="12,2">
              <v:shape style="position:absolute;left:8288;top:1777;width:12;height:2" coordorigin="8288,1777" coordsize="12,0" path="m8288,1777l8300,1777e" filled="false" stroked="true" strokeweight=".6pt" strokecolor="#000008">
                <v:path arrowok="t"/>
              </v:shape>
            </v:group>
            <v:group style="position:absolute;left:8308;top:1777;width:12;height:2" coordorigin="8308,1777" coordsize="12,2">
              <v:shape style="position:absolute;left:8308;top:1777;width:12;height:2" coordorigin="8308,1777" coordsize="12,0" path="m8308,1777l8320,1777e" filled="false" stroked="true" strokeweight=".6pt" strokecolor="#000008">
                <v:path arrowok="t"/>
              </v:shape>
            </v:group>
            <v:group style="position:absolute;left:8327;top:1777;width:12;height:2" coordorigin="8327,1777" coordsize="12,2">
              <v:shape style="position:absolute;left:8327;top:1777;width:12;height:2" coordorigin="8327,1777" coordsize="12,0" path="m8327,1777l8339,1777e" filled="false" stroked="true" strokeweight=".6pt" strokecolor="#000008">
                <v:path arrowok="t"/>
              </v:shape>
            </v:group>
            <v:group style="position:absolute;left:8346;top:1777;width:12;height:2" coordorigin="8346,1777" coordsize="12,2">
              <v:shape style="position:absolute;left:8346;top:1777;width:12;height:2" coordorigin="8346,1777" coordsize="12,0" path="m8346,1777l8358,1777e" filled="false" stroked="true" strokeweight=".6pt" strokecolor="#000008">
                <v:path arrowok="t"/>
              </v:shape>
            </v:group>
            <v:group style="position:absolute;left:8365;top:1777;width:12;height:2" coordorigin="8365,1777" coordsize="12,2">
              <v:shape style="position:absolute;left:8365;top:1777;width:12;height:2" coordorigin="8365,1777" coordsize="12,0" path="m8365,1777l8377,1777e" filled="false" stroked="true" strokeweight=".6pt" strokecolor="#000008">
                <v:path arrowok="t"/>
              </v:shape>
            </v:group>
            <v:group style="position:absolute;left:8384;top:1777;width:12;height:2" coordorigin="8384,1777" coordsize="12,2">
              <v:shape style="position:absolute;left:8384;top:1777;width:12;height:2" coordorigin="8384,1777" coordsize="12,0" path="m8384,1777l8396,1777e" filled="false" stroked="true" strokeweight=".6pt" strokecolor="#000008">
                <v:path arrowok="t"/>
              </v:shape>
            </v:group>
            <v:group style="position:absolute;left:8404;top:1777;width:12;height:2" coordorigin="8404,1777" coordsize="12,2">
              <v:shape style="position:absolute;left:8404;top:1777;width:12;height:2" coordorigin="8404,1777" coordsize="12,0" path="m8404,1777l8416,1777e" filled="false" stroked="true" strokeweight=".6pt" strokecolor="#000008">
                <v:path arrowok="t"/>
              </v:shape>
            </v:group>
            <v:group style="position:absolute;left:8423;top:1777;width:12;height:2" coordorigin="8423,1777" coordsize="12,2">
              <v:shape style="position:absolute;left:8423;top:1777;width:12;height:2" coordorigin="8423,1777" coordsize="12,0" path="m8423,1777l8435,1777e" filled="false" stroked="true" strokeweight=".6pt" strokecolor="#000008">
                <v:path arrowok="t"/>
              </v:shape>
            </v:group>
            <v:group style="position:absolute;left:8442;top:1777;width:12;height:2" coordorigin="8442,1777" coordsize="12,2">
              <v:shape style="position:absolute;left:8442;top:1777;width:12;height:2" coordorigin="8442,1777" coordsize="12,0" path="m8442,1777l8454,1777e" filled="false" stroked="true" strokeweight=".6pt" strokecolor="#000008">
                <v:path arrowok="t"/>
              </v:shape>
            </v:group>
            <v:group style="position:absolute;left:8461;top:1777;width:12;height:2" coordorigin="8461,1777" coordsize="12,2">
              <v:shape style="position:absolute;left:8461;top:1777;width:12;height:2" coordorigin="8461,1777" coordsize="12,0" path="m8461,1777l8473,1777e" filled="false" stroked="true" strokeweight=".6pt" strokecolor="#000008">
                <v:path arrowok="t"/>
              </v:shape>
            </v:group>
            <v:group style="position:absolute;left:8480;top:1777;width:12;height:2" coordorigin="8480,1777" coordsize="12,2">
              <v:shape style="position:absolute;left:8480;top:1777;width:12;height:2" coordorigin="8480,1777" coordsize="12,0" path="m8480,1777l8492,1777e" filled="false" stroked="true" strokeweight=".6pt" strokecolor="#000008">
                <v:path arrowok="t"/>
              </v:shape>
            </v:group>
            <v:group style="position:absolute;left:8500;top:1777;width:12;height:2" coordorigin="8500,1777" coordsize="12,2">
              <v:shape style="position:absolute;left:8500;top:1777;width:12;height:2" coordorigin="8500,1777" coordsize="12,0" path="m8500,1777l8512,1777e" filled="false" stroked="true" strokeweight=".6pt" strokecolor="#000008">
                <v:path arrowok="t"/>
              </v:shape>
            </v:group>
            <v:group style="position:absolute;left:8519;top:1777;width:12;height:2" coordorigin="8519,1777" coordsize="12,2">
              <v:shape style="position:absolute;left:8519;top:1777;width:12;height:2" coordorigin="8519,1777" coordsize="12,0" path="m8519,1777l8531,1777e" filled="false" stroked="true" strokeweight=".6pt" strokecolor="#000008">
                <v:path arrowok="t"/>
              </v:shape>
            </v:group>
            <v:group style="position:absolute;left:8538;top:1777;width:12;height:2" coordorigin="8538,1777" coordsize="12,2">
              <v:shape style="position:absolute;left:8538;top:1777;width:12;height:2" coordorigin="8538,1777" coordsize="12,0" path="m8538,1777l8550,1777e" filled="false" stroked="true" strokeweight=".6pt" strokecolor="#000008">
                <v:path arrowok="t"/>
              </v:shape>
            </v:group>
            <v:group style="position:absolute;left:8557;top:1777;width:12;height:2" coordorigin="8557,1777" coordsize="12,2">
              <v:shape style="position:absolute;left:8557;top:1777;width:12;height:2" coordorigin="8557,1777" coordsize="12,0" path="m8557,1777l8569,1777e" filled="false" stroked="true" strokeweight=".6pt" strokecolor="#000008">
                <v:path arrowok="t"/>
              </v:shape>
            </v:group>
            <v:group style="position:absolute;left:8576;top:1777;width:12;height:2" coordorigin="8576,1777" coordsize="12,2">
              <v:shape style="position:absolute;left:8576;top:1777;width:12;height:2" coordorigin="8576,1777" coordsize="12,0" path="m8576,1777l8588,1777e" filled="false" stroked="true" strokeweight=".6pt" strokecolor="#000008">
                <v:path arrowok="t"/>
              </v:shape>
            </v:group>
            <v:group style="position:absolute;left:8596;top:1777;width:12;height:2" coordorigin="8596,1777" coordsize="12,2">
              <v:shape style="position:absolute;left:8596;top:1777;width:12;height:2" coordorigin="8596,1777" coordsize="12,0" path="m8596,1777l8608,1777e" filled="false" stroked="true" strokeweight=".6pt" strokecolor="#000008">
                <v:path arrowok="t"/>
              </v:shape>
            </v:group>
            <v:group style="position:absolute;left:8615;top:1777;width:12;height:2" coordorigin="8615,1777" coordsize="12,2">
              <v:shape style="position:absolute;left:8615;top:1777;width:12;height:2" coordorigin="8615,1777" coordsize="12,0" path="m8615,1777l8627,1777e" filled="false" stroked="true" strokeweight=".6pt" strokecolor="#000008">
                <v:path arrowok="t"/>
              </v:shape>
            </v:group>
            <w10:wrap type="none"/>
          </v:group>
        </w:pict>
      </w:r>
      <w:r>
        <w:rPr/>
        <w:pict>
          <v:group style="position:absolute;margin-left:449.399994pt;margin-top:88.539696pt;width:72.25pt;height:.6pt;mso-position-horizontal-relative:page;mso-position-vertical-relative:paragraph;z-index:3328" coordorigin="8988,1771" coordsize="1445,12">
            <v:group style="position:absolute;left:8994;top:1777;width:12;height:2" coordorigin="8994,1777" coordsize="12,2">
              <v:shape style="position:absolute;left:8994;top:1777;width:12;height:2" coordorigin="8994,1777" coordsize="12,0" path="m8994,1777l9006,1777e" filled="false" stroked="true" strokeweight=".6pt" strokecolor="#000008">
                <v:path arrowok="t"/>
              </v:shape>
            </v:group>
            <v:group style="position:absolute;left:9013;top:1777;width:12;height:2" coordorigin="9013,1777" coordsize="12,2">
              <v:shape style="position:absolute;left:9013;top:1777;width:12;height:2" coordorigin="9013,1777" coordsize="12,0" path="m9013,1777l9025,1777e" filled="false" stroked="true" strokeweight=".6pt" strokecolor="#000008">
                <v:path arrowok="t"/>
              </v:shape>
            </v:group>
            <v:group style="position:absolute;left:9032;top:1777;width:12;height:2" coordorigin="9032,1777" coordsize="12,2">
              <v:shape style="position:absolute;left:9032;top:1777;width:12;height:2" coordorigin="9032,1777" coordsize="12,0" path="m9032,1777l9044,1777e" filled="false" stroked="true" strokeweight=".6pt" strokecolor="#000008">
                <v:path arrowok="t"/>
              </v:shape>
            </v:group>
            <v:group style="position:absolute;left:9052;top:1777;width:12;height:2" coordorigin="9052,1777" coordsize="12,2">
              <v:shape style="position:absolute;left:9052;top:1777;width:12;height:2" coordorigin="9052,1777" coordsize="12,0" path="m9052,1777l9064,1777e" filled="false" stroked="true" strokeweight=".6pt" strokecolor="#000008">
                <v:path arrowok="t"/>
              </v:shape>
            </v:group>
            <v:group style="position:absolute;left:9071;top:1777;width:12;height:2" coordorigin="9071,1777" coordsize="12,2">
              <v:shape style="position:absolute;left:9071;top:1777;width:12;height:2" coordorigin="9071,1777" coordsize="12,0" path="m9071,1777l9083,1777e" filled="false" stroked="true" strokeweight=".6pt" strokecolor="#000008">
                <v:path arrowok="t"/>
              </v:shape>
            </v:group>
            <v:group style="position:absolute;left:9090;top:1777;width:12;height:2" coordorigin="9090,1777" coordsize="12,2">
              <v:shape style="position:absolute;left:9090;top:1777;width:12;height:2" coordorigin="9090,1777" coordsize="12,0" path="m9090,1777l9102,1777e" filled="false" stroked="true" strokeweight=".6pt" strokecolor="#000008">
                <v:path arrowok="t"/>
              </v:shape>
            </v:group>
            <v:group style="position:absolute;left:9109;top:1777;width:12;height:2" coordorigin="9109,1777" coordsize="12,2">
              <v:shape style="position:absolute;left:9109;top:1777;width:12;height:2" coordorigin="9109,1777" coordsize="12,0" path="m9109,1777l9121,1777e" filled="false" stroked="true" strokeweight=".6pt" strokecolor="#000008">
                <v:path arrowok="t"/>
              </v:shape>
            </v:group>
            <v:group style="position:absolute;left:9128;top:1777;width:12;height:2" coordorigin="9128,1777" coordsize="12,2">
              <v:shape style="position:absolute;left:9128;top:1777;width:12;height:2" coordorigin="9128,1777" coordsize="12,0" path="m9128,1777l9140,1777e" filled="false" stroked="true" strokeweight=".6pt" strokecolor="#000008">
                <v:path arrowok="t"/>
              </v:shape>
            </v:group>
            <v:group style="position:absolute;left:9148;top:1777;width:12;height:2" coordorigin="9148,1777" coordsize="12,2">
              <v:shape style="position:absolute;left:9148;top:1777;width:12;height:2" coordorigin="9148,1777" coordsize="12,0" path="m9148,1777l9160,1777e" filled="false" stroked="true" strokeweight=".6pt" strokecolor="#000008">
                <v:path arrowok="t"/>
              </v:shape>
            </v:group>
            <v:group style="position:absolute;left:9167;top:1777;width:12;height:2" coordorigin="9167,1777" coordsize="12,2">
              <v:shape style="position:absolute;left:9167;top:1777;width:12;height:2" coordorigin="9167,1777" coordsize="12,0" path="m9167,1777l9179,1777e" filled="false" stroked="true" strokeweight=".6pt" strokecolor="#000008">
                <v:path arrowok="t"/>
              </v:shape>
            </v:group>
            <v:group style="position:absolute;left:9186;top:1777;width:12;height:2" coordorigin="9186,1777" coordsize="12,2">
              <v:shape style="position:absolute;left:9186;top:1777;width:12;height:2" coordorigin="9186,1777" coordsize="12,0" path="m9186,1777l9198,1777e" filled="false" stroked="true" strokeweight=".6pt" strokecolor="#000008">
                <v:path arrowok="t"/>
              </v:shape>
            </v:group>
            <v:group style="position:absolute;left:9205;top:1777;width:12;height:2" coordorigin="9205,1777" coordsize="12,2">
              <v:shape style="position:absolute;left:9205;top:1777;width:12;height:2" coordorigin="9205,1777" coordsize="12,0" path="m9205,1777l9217,1777e" filled="false" stroked="true" strokeweight=".6pt" strokecolor="#000008">
                <v:path arrowok="t"/>
              </v:shape>
            </v:group>
            <v:group style="position:absolute;left:9224;top:1777;width:12;height:2" coordorigin="9224,1777" coordsize="12,2">
              <v:shape style="position:absolute;left:9224;top:1777;width:12;height:2" coordorigin="9224,1777" coordsize="12,0" path="m9224,1777l9236,1777e" filled="false" stroked="true" strokeweight=".6pt" strokecolor="#000008">
                <v:path arrowok="t"/>
              </v:shape>
            </v:group>
            <v:group style="position:absolute;left:9244;top:1777;width:12;height:2" coordorigin="9244,1777" coordsize="12,2">
              <v:shape style="position:absolute;left:9244;top:1777;width:12;height:2" coordorigin="9244,1777" coordsize="12,0" path="m9244,1777l9256,1777e" filled="false" stroked="true" strokeweight=".6pt" strokecolor="#000008">
                <v:path arrowok="t"/>
              </v:shape>
            </v:group>
            <v:group style="position:absolute;left:9263;top:1777;width:12;height:2" coordorigin="9263,1777" coordsize="12,2">
              <v:shape style="position:absolute;left:9263;top:1777;width:12;height:2" coordorigin="9263,1777" coordsize="12,0" path="m9263,1777l9275,1777e" filled="false" stroked="true" strokeweight=".6pt" strokecolor="#000008">
                <v:path arrowok="t"/>
              </v:shape>
            </v:group>
            <v:group style="position:absolute;left:9282;top:1777;width:12;height:2" coordorigin="9282,1777" coordsize="12,2">
              <v:shape style="position:absolute;left:9282;top:1777;width:12;height:2" coordorigin="9282,1777" coordsize="12,0" path="m9282,1777l9294,1777e" filled="false" stroked="true" strokeweight=".6pt" strokecolor="#000008">
                <v:path arrowok="t"/>
              </v:shape>
            </v:group>
            <v:group style="position:absolute;left:9301;top:1777;width:12;height:2" coordorigin="9301,1777" coordsize="12,2">
              <v:shape style="position:absolute;left:9301;top:1777;width:12;height:2" coordorigin="9301,1777" coordsize="12,0" path="m9301,1777l9313,1777e" filled="false" stroked="true" strokeweight=".6pt" strokecolor="#000008">
                <v:path arrowok="t"/>
              </v:shape>
            </v:group>
            <v:group style="position:absolute;left:9320;top:1777;width:12;height:2" coordorigin="9320,1777" coordsize="12,2">
              <v:shape style="position:absolute;left:9320;top:1777;width:12;height:2" coordorigin="9320,1777" coordsize="12,0" path="m9320,1777l9332,1777e" filled="false" stroked="true" strokeweight=".6pt" strokecolor="#000008">
                <v:path arrowok="t"/>
              </v:shape>
            </v:group>
            <v:group style="position:absolute;left:9340;top:1777;width:12;height:2" coordorigin="9340,1777" coordsize="12,2">
              <v:shape style="position:absolute;left:9340;top:1777;width:12;height:2" coordorigin="9340,1777" coordsize="12,0" path="m9340,1777l9352,1777e" filled="false" stroked="true" strokeweight=".6pt" strokecolor="#000008">
                <v:path arrowok="t"/>
              </v:shape>
            </v:group>
            <v:group style="position:absolute;left:9359;top:1777;width:12;height:2" coordorigin="9359,1777" coordsize="12,2">
              <v:shape style="position:absolute;left:9359;top:1777;width:12;height:2" coordorigin="9359,1777" coordsize="12,0" path="m9359,1777l9371,1777e" filled="false" stroked="true" strokeweight=".6pt" strokecolor="#000008">
                <v:path arrowok="t"/>
              </v:shape>
            </v:group>
            <v:group style="position:absolute;left:9378;top:1777;width:12;height:2" coordorigin="9378,1777" coordsize="12,2">
              <v:shape style="position:absolute;left:9378;top:1777;width:12;height:2" coordorigin="9378,1777" coordsize="12,0" path="m9378,1777l9390,1777e" filled="false" stroked="true" strokeweight=".6pt" strokecolor="#000008">
                <v:path arrowok="t"/>
              </v:shape>
            </v:group>
            <v:group style="position:absolute;left:9397;top:1777;width:12;height:2" coordorigin="9397,1777" coordsize="12,2">
              <v:shape style="position:absolute;left:9397;top:1777;width:12;height:2" coordorigin="9397,1777" coordsize="12,0" path="m9397,1777l9409,1777e" filled="false" stroked="true" strokeweight=".6pt" strokecolor="#000008">
                <v:path arrowok="t"/>
              </v:shape>
            </v:group>
            <v:group style="position:absolute;left:9416;top:1777;width:12;height:2" coordorigin="9416,1777" coordsize="12,2">
              <v:shape style="position:absolute;left:9416;top:1777;width:12;height:2" coordorigin="9416,1777" coordsize="12,0" path="m9416,1777l9428,1777e" filled="false" stroked="true" strokeweight=".6pt" strokecolor="#000008">
                <v:path arrowok="t"/>
              </v:shape>
            </v:group>
            <v:group style="position:absolute;left:9436;top:1777;width:12;height:2" coordorigin="9436,1777" coordsize="12,2">
              <v:shape style="position:absolute;left:9436;top:1777;width:12;height:2" coordorigin="9436,1777" coordsize="12,0" path="m9436,1777l9448,1777e" filled="false" stroked="true" strokeweight=".6pt" strokecolor="#000008">
                <v:path arrowok="t"/>
              </v:shape>
            </v:group>
            <v:group style="position:absolute;left:9455;top:1777;width:12;height:2" coordorigin="9455,1777" coordsize="12,2">
              <v:shape style="position:absolute;left:9455;top:1777;width:12;height:2" coordorigin="9455,1777" coordsize="12,0" path="m9455,1777l9467,1777e" filled="false" stroked="true" strokeweight=".6pt" strokecolor="#000008">
                <v:path arrowok="t"/>
              </v:shape>
            </v:group>
            <v:group style="position:absolute;left:9474;top:1777;width:12;height:2" coordorigin="9474,1777" coordsize="12,2">
              <v:shape style="position:absolute;left:9474;top:1777;width:12;height:2" coordorigin="9474,1777" coordsize="12,0" path="m9474,1777l9486,1777e" filled="false" stroked="true" strokeweight=".6pt" strokecolor="#000008">
                <v:path arrowok="t"/>
              </v:shape>
            </v:group>
            <v:group style="position:absolute;left:9493;top:1777;width:12;height:2" coordorigin="9493,1777" coordsize="12,2">
              <v:shape style="position:absolute;left:9493;top:1777;width:12;height:2" coordorigin="9493,1777" coordsize="12,0" path="m9493,1777l9505,1777e" filled="false" stroked="true" strokeweight=".6pt" strokecolor="#000008">
                <v:path arrowok="t"/>
              </v:shape>
            </v:group>
            <v:group style="position:absolute;left:9512;top:1777;width:12;height:2" coordorigin="9512,1777" coordsize="12,2">
              <v:shape style="position:absolute;left:9512;top:1777;width:12;height:2" coordorigin="9512,1777" coordsize="12,0" path="m9512,1777l9524,1777e" filled="false" stroked="true" strokeweight=".6pt" strokecolor="#000008">
                <v:path arrowok="t"/>
              </v:shape>
            </v:group>
            <v:group style="position:absolute;left:9532;top:1777;width:12;height:2" coordorigin="9532,1777" coordsize="12,2">
              <v:shape style="position:absolute;left:9532;top:1777;width:12;height:2" coordorigin="9532,1777" coordsize="12,0" path="m9532,1777l9544,1777e" filled="false" stroked="true" strokeweight=".6pt" strokecolor="#000008">
                <v:path arrowok="t"/>
              </v:shape>
            </v:group>
            <v:group style="position:absolute;left:9551;top:1777;width:12;height:2" coordorigin="9551,1777" coordsize="12,2">
              <v:shape style="position:absolute;left:9551;top:1777;width:12;height:2" coordorigin="9551,1777" coordsize="12,0" path="m9551,1777l9563,1777e" filled="false" stroked="true" strokeweight=".6pt" strokecolor="#000008">
                <v:path arrowok="t"/>
              </v:shape>
            </v:group>
            <v:group style="position:absolute;left:9570;top:1777;width:12;height:2" coordorigin="9570,1777" coordsize="12,2">
              <v:shape style="position:absolute;left:9570;top:1777;width:12;height:2" coordorigin="9570,1777" coordsize="12,0" path="m9570,1777l9582,1777e" filled="false" stroked="true" strokeweight=".6pt" strokecolor="#000008">
                <v:path arrowok="t"/>
              </v:shape>
            </v:group>
            <v:group style="position:absolute;left:9589;top:1777;width:12;height:2" coordorigin="9589,1777" coordsize="12,2">
              <v:shape style="position:absolute;left:9589;top:1777;width:12;height:2" coordorigin="9589,1777" coordsize="12,0" path="m9589,1777l9601,1777e" filled="false" stroked="true" strokeweight=".6pt" strokecolor="#000008">
                <v:path arrowok="t"/>
              </v:shape>
            </v:group>
            <v:group style="position:absolute;left:9608;top:1777;width:12;height:2" coordorigin="9608,1777" coordsize="12,2">
              <v:shape style="position:absolute;left:9608;top:1777;width:12;height:2" coordorigin="9608,1777" coordsize="12,0" path="m9608,1777l9620,1777e" filled="false" stroked="true" strokeweight=".6pt" strokecolor="#000008">
                <v:path arrowok="t"/>
              </v:shape>
            </v:group>
            <v:group style="position:absolute;left:9628;top:1777;width:12;height:2" coordorigin="9628,1777" coordsize="12,2">
              <v:shape style="position:absolute;left:9628;top:1777;width:12;height:2" coordorigin="9628,1777" coordsize="12,0" path="m9628,1777l9640,1777e" filled="false" stroked="true" strokeweight=".6pt" strokecolor="#000008">
                <v:path arrowok="t"/>
              </v:shape>
            </v:group>
            <v:group style="position:absolute;left:9647;top:1777;width:12;height:2" coordorigin="9647,1777" coordsize="12,2">
              <v:shape style="position:absolute;left:9647;top:1777;width:12;height:2" coordorigin="9647,1777" coordsize="12,0" path="m9647,1777l9659,1777e" filled="false" stroked="true" strokeweight=".6pt" strokecolor="#000008">
                <v:path arrowok="t"/>
              </v:shape>
            </v:group>
            <v:group style="position:absolute;left:9666;top:1777;width:12;height:2" coordorigin="9666,1777" coordsize="12,2">
              <v:shape style="position:absolute;left:9666;top:1777;width:12;height:2" coordorigin="9666,1777" coordsize="12,0" path="m9666,1777l9678,1777e" filled="false" stroked="true" strokeweight=".6pt" strokecolor="#000008">
                <v:path arrowok="t"/>
              </v:shape>
            </v:group>
            <v:group style="position:absolute;left:9685;top:1777;width:12;height:2" coordorigin="9685,1777" coordsize="12,2">
              <v:shape style="position:absolute;left:9685;top:1777;width:12;height:2" coordorigin="9685,1777" coordsize="12,0" path="m9685,1777l9697,1777e" filled="false" stroked="true" strokeweight=".6pt" strokecolor="#000008">
                <v:path arrowok="t"/>
              </v:shape>
            </v:group>
            <v:group style="position:absolute;left:9704;top:1777;width:12;height:2" coordorigin="9704,1777" coordsize="12,2">
              <v:shape style="position:absolute;left:9704;top:1777;width:12;height:2" coordorigin="9704,1777" coordsize="12,0" path="m9704,1777l9716,1777e" filled="false" stroked="true" strokeweight=".6pt" strokecolor="#000008">
                <v:path arrowok="t"/>
              </v:shape>
            </v:group>
            <v:group style="position:absolute;left:9724;top:1777;width:12;height:2" coordorigin="9724,1777" coordsize="12,2">
              <v:shape style="position:absolute;left:9724;top:1777;width:12;height:2" coordorigin="9724,1777" coordsize="12,0" path="m9724,1777l9736,1777e" filled="false" stroked="true" strokeweight=".6pt" strokecolor="#000008">
                <v:path arrowok="t"/>
              </v:shape>
            </v:group>
            <v:group style="position:absolute;left:9743;top:1777;width:12;height:2" coordorigin="9743,1777" coordsize="12,2">
              <v:shape style="position:absolute;left:9743;top:1777;width:12;height:2" coordorigin="9743,1777" coordsize="12,0" path="m9743,1777l9755,1777e" filled="false" stroked="true" strokeweight=".6pt" strokecolor="#000008">
                <v:path arrowok="t"/>
              </v:shape>
            </v:group>
            <v:group style="position:absolute;left:9762;top:1777;width:12;height:2" coordorigin="9762,1777" coordsize="12,2">
              <v:shape style="position:absolute;left:9762;top:1777;width:12;height:2" coordorigin="9762,1777" coordsize="12,0" path="m9762,1777l9774,1777e" filled="false" stroked="true" strokeweight=".6pt" strokecolor="#000008">
                <v:path arrowok="t"/>
              </v:shape>
            </v:group>
            <v:group style="position:absolute;left:9781;top:1777;width:12;height:2" coordorigin="9781,1777" coordsize="12,2">
              <v:shape style="position:absolute;left:9781;top:1777;width:12;height:2" coordorigin="9781,1777" coordsize="12,0" path="m9781,1777l9793,1777e" filled="false" stroked="true" strokeweight=".6pt" strokecolor="#000008">
                <v:path arrowok="t"/>
              </v:shape>
            </v:group>
            <v:group style="position:absolute;left:9800;top:1777;width:12;height:2" coordorigin="9800,1777" coordsize="12,2">
              <v:shape style="position:absolute;left:9800;top:1777;width:12;height:2" coordorigin="9800,1777" coordsize="12,0" path="m9800,1777l9812,1777e" filled="false" stroked="true" strokeweight=".6pt" strokecolor="#000008">
                <v:path arrowok="t"/>
              </v:shape>
            </v:group>
            <v:group style="position:absolute;left:9820;top:1777;width:12;height:2" coordorigin="9820,1777" coordsize="12,2">
              <v:shape style="position:absolute;left:9820;top:1777;width:12;height:2" coordorigin="9820,1777" coordsize="12,0" path="m9820,1777l9832,1777e" filled="false" stroked="true" strokeweight=".6pt" strokecolor="#000008">
                <v:path arrowok="t"/>
              </v:shape>
            </v:group>
            <v:group style="position:absolute;left:9839;top:1777;width:12;height:2" coordorigin="9839,1777" coordsize="12,2">
              <v:shape style="position:absolute;left:9839;top:1777;width:12;height:2" coordorigin="9839,1777" coordsize="12,0" path="m9839,1777l9851,1777e" filled="false" stroked="true" strokeweight=".6pt" strokecolor="#000008">
                <v:path arrowok="t"/>
              </v:shape>
            </v:group>
            <v:group style="position:absolute;left:9858;top:1777;width:12;height:2" coordorigin="9858,1777" coordsize="12,2">
              <v:shape style="position:absolute;left:9858;top:1777;width:12;height:2" coordorigin="9858,1777" coordsize="12,0" path="m9858,1777l9870,1777e" filled="false" stroked="true" strokeweight=".6pt" strokecolor="#000008">
                <v:path arrowok="t"/>
              </v:shape>
            </v:group>
            <v:group style="position:absolute;left:9877;top:1777;width:12;height:2" coordorigin="9877,1777" coordsize="12,2">
              <v:shape style="position:absolute;left:9877;top:1777;width:12;height:2" coordorigin="9877,1777" coordsize="12,0" path="m9877,1777l9889,1777e" filled="false" stroked="true" strokeweight=".6pt" strokecolor="#000008">
                <v:path arrowok="t"/>
              </v:shape>
            </v:group>
            <v:group style="position:absolute;left:9896;top:1777;width:12;height:2" coordorigin="9896,1777" coordsize="12,2">
              <v:shape style="position:absolute;left:9896;top:1777;width:12;height:2" coordorigin="9896,1777" coordsize="12,0" path="m9896,1777l9908,1777e" filled="false" stroked="true" strokeweight=".6pt" strokecolor="#000008">
                <v:path arrowok="t"/>
              </v:shape>
            </v:group>
            <v:group style="position:absolute;left:9916;top:1777;width:12;height:2" coordorigin="9916,1777" coordsize="12,2">
              <v:shape style="position:absolute;left:9916;top:1777;width:12;height:2" coordorigin="9916,1777" coordsize="12,0" path="m9916,1777l9928,1777e" filled="false" stroked="true" strokeweight=".6pt" strokecolor="#000008">
                <v:path arrowok="t"/>
              </v:shape>
            </v:group>
            <v:group style="position:absolute;left:9935;top:1777;width:12;height:2" coordorigin="9935,1777" coordsize="12,2">
              <v:shape style="position:absolute;left:9935;top:1777;width:12;height:2" coordorigin="9935,1777" coordsize="12,0" path="m9935,1777l9947,1777e" filled="false" stroked="true" strokeweight=".6pt" strokecolor="#000008">
                <v:path arrowok="t"/>
              </v:shape>
            </v:group>
            <v:group style="position:absolute;left:9954;top:1777;width:12;height:2" coordorigin="9954,1777" coordsize="12,2">
              <v:shape style="position:absolute;left:9954;top:1777;width:12;height:2" coordorigin="9954,1777" coordsize="12,0" path="m9954,1777l9966,1777e" filled="false" stroked="true" strokeweight=".6pt" strokecolor="#000008">
                <v:path arrowok="t"/>
              </v:shape>
            </v:group>
            <v:group style="position:absolute;left:9973;top:1777;width:12;height:2" coordorigin="9973,1777" coordsize="12,2">
              <v:shape style="position:absolute;left:9973;top:1777;width:12;height:2" coordorigin="9973,1777" coordsize="12,0" path="m9973,1777l9985,1777e" filled="false" stroked="true" strokeweight=".6pt" strokecolor="#000008">
                <v:path arrowok="t"/>
              </v:shape>
            </v:group>
            <v:group style="position:absolute;left:9992;top:1777;width:12;height:2" coordorigin="9992,1777" coordsize="12,2">
              <v:shape style="position:absolute;left:9992;top:1777;width:12;height:2" coordorigin="9992,1777" coordsize="12,0" path="m9992,1777l10004,1777e" filled="false" stroked="true" strokeweight=".6pt" strokecolor="#000008">
                <v:path arrowok="t"/>
              </v:shape>
            </v:group>
            <v:group style="position:absolute;left:10012;top:1777;width:12;height:2" coordorigin="10012,1777" coordsize="12,2">
              <v:shape style="position:absolute;left:10012;top:1777;width:12;height:2" coordorigin="10012,1777" coordsize="12,0" path="m10012,1777l10024,1777e" filled="false" stroked="true" strokeweight=".6pt" strokecolor="#000008">
                <v:path arrowok="t"/>
              </v:shape>
            </v:group>
            <v:group style="position:absolute;left:10031;top:1777;width:12;height:2" coordorigin="10031,1777" coordsize="12,2">
              <v:shape style="position:absolute;left:10031;top:1777;width:12;height:2" coordorigin="10031,1777" coordsize="12,0" path="m10031,1777l10043,1777e" filled="false" stroked="true" strokeweight=".6pt" strokecolor="#000008">
                <v:path arrowok="t"/>
              </v:shape>
            </v:group>
            <v:group style="position:absolute;left:10050;top:1777;width:12;height:2" coordorigin="10050,1777" coordsize="12,2">
              <v:shape style="position:absolute;left:10050;top:1777;width:12;height:2" coordorigin="10050,1777" coordsize="12,0" path="m10050,1777l10062,1777e" filled="false" stroked="true" strokeweight=".6pt" strokecolor="#000008">
                <v:path arrowok="t"/>
              </v:shape>
            </v:group>
            <v:group style="position:absolute;left:10069;top:1777;width:12;height:2" coordorigin="10069,1777" coordsize="12,2">
              <v:shape style="position:absolute;left:10069;top:1777;width:12;height:2" coordorigin="10069,1777" coordsize="12,0" path="m10069,1777l10081,1777e" filled="false" stroked="true" strokeweight=".6pt" strokecolor="#000008">
                <v:path arrowok="t"/>
              </v:shape>
            </v:group>
            <v:group style="position:absolute;left:10088;top:1777;width:12;height:2" coordorigin="10088,1777" coordsize="12,2">
              <v:shape style="position:absolute;left:10088;top:1777;width:12;height:2" coordorigin="10088,1777" coordsize="12,0" path="m10088,1777l10100,1777e" filled="false" stroked="true" strokeweight=".6pt" strokecolor="#000008">
                <v:path arrowok="t"/>
              </v:shape>
            </v:group>
            <v:group style="position:absolute;left:10108;top:1777;width:12;height:2" coordorigin="10108,1777" coordsize="12,2">
              <v:shape style="position:absolute;left:10108;top:1777;width:12;height:2" coordorigin="10108,1777" coordsize="12,0" path="m10108,1777l10120,1777e" filled="false" stroked="true" strokeweight=".6pt" strokecolor="#000008">
                <v:path arrowok="t"/>
              </v:shape>
            </v:group>
            <v:group style="position:absolute;left:10127;top:1777;width:12;height:2" coordorigin="10127,1777" coordsize="12,2">
              <v:shape style="position:absolute;left:10127;top:1777;width:12;height:2" coordorigin="10127,1777" coordsize="12,0" path="m10127,1777l10139,1777e" filled="false" stroked="true" strokeweight=".6pt" strokecolor="#000008">
                <v:path arrowok="t"/>
              </v:shape>
            </v:group>
            <v:group style="position:absolute;left:10146;top:1777;width:12;height:2" coordorigin="10146,1777" coordsize="12,2">
              <v:shape style="position:absolute;left:10146;top:1777;width:12;height:2" coordorigin="10146,1777" coordsize="12,0" path="m10146,1777l10158,1777e" filled="false" stroked="true" strokeweight=".6pt" strokecolor="#000008">
                <v:path arrowok="t"/>
              </v:shape>
            </v:group>
            <v:group style="position:absolute;left:10165;top:1777;width:12;height:2" coordorigin="10165,1777" coordsize="12,2">
              <v:shape style="position:absolute;left:10165;top:1777;width:12;height:2" coordorigin="10165,1777" coordsize="12,0" path="m10165,1777l10177,1777e" filled="false" stroked="true" strokeweight=".6pt" strokecolor="#000008">
                <v:path arrowok="t"/>
              </v:shape>
            </v:group>
            <v:group style="position:absolute;left:10184;top:1777;width:12;height:2" coordorigin="10184,1777" coordsize="12,2">
              <v:shape style="position:absolute;left:10184;top:1777;width:12;height:2" coordorigin="10184,1777" coordsize="12,0" path="m10184,1777l10196,1777e" filled="false" stroked="true" strokeweight=".6pt" strokecolor="#000008">
                <v:path arrowok="t"/>
              </v:shape>
            </v:group>
            <v:group style="position:absolute;left:10204;top:1777;width:12;height:2" coordorigin="10204,1777" coordsize="12,2">
              <v:shape style="position:absolute;left:10204;top:1777;width:12;height:2" coordorigin="10204,1777" coordsize="12,0" path="m10204,1777l10216,1777e" filled="false" stroked="true" strokeweight=".6pt" strokecolor="#000008">
                <v:path arrowok="t"/>
              </v:shape>
            </v:group>
            <v:group style="position:absolute;left:10223;top:1777;width:12;height:2" coordorigin="10223,1777" coordsize="12,2">
              <v:shape style="position:absolute;left:10223;top:1777;width:12;height:2" coordorigin="10223,1777" coordsize="12,0" path="m10223,1777l10235,1777e" filled="false" stroked="true" strokeweight=".6pt" strokecolor="#000008">
                <v:path arrowok="t"/>
              </v:shape>
            </v:group>
            <v:group style="position:absolute;left:10242;top:1777;width:12;height:2" coordorigin="10242,1777" coordsize="12,2">
              <v:shape style="position:absolute;left:10242;top:1777;width:12;height:2" coordorigin="10242,1777" coordsize="12,0" path="m10242,1777l10254,1777e" filled="false" stroked="true" strokeweight=".6pt" strokecolor="#000008">
                <v:path arrowok="t"/>
              </v:shape>
            </v:group>
            <v:group style="position:absolute;left:10261;top:1777;width:12;height:2" coordorigin="10261,1777" coordsize="12,2">
              <v:shape style="position:absolute;left:10261;top:1777;width:12;height:2" coordorigin="10261,1777" coordsize="12,0" path="m10261,1777l10273,1777e" filled="false" stroked="true" strokeweight=".6pt" strokecolor="#000008">
                <v:path arrowok="t"/>
              </v:shape>
            </v:group>
            <v:group style="position:absolute;left:10280;top:1777;width:12;height:2" coordorigin="10280,1777" coordsize="12,2">
              <v:shape style="position:absolute;left:10280;top:1777;width:12;height:2" coordorigin="10280,1777" coordsize="12,0" path="m10280,1777l10292,1777e" filled="false" stroked="true" strokeweight=".6pt" strokecolor="#000008">
                <v:path arrowok="t"/>
              </v:shape>
            </v:group>
            <v:group style="position:absolute;left:10300;top:1777;width:12;height:2" coordorigin="10300,1777" coordsize="12,2">
              <v:shape style="position:absolute;left:10300;top:1777;width:12;height:2" coordorigin="10300,1777" coordsize="12,0" path="m10300,1777l10312,1777e" filled="false" stroked="true" strokeweight=".6pt" strokecolor="#000008">
                <v:path arrowok="t"/>
              </v:shape>
            </v:group>
            <v:group style="position:absolute;left:10319;top:1777;width:12;height:2" coordorigin="10319,1777" coordsize="12,2">
              <v:shape style="position:absolute;left:10319;top:1777;width:12;height:2" coordorigin="10319,1777" coordsize="12,0" path="m10319,1777l10331,1777e" filled="false" stroked="true" strokeweight=".6pt" strokecolor="#000008">
                <v:path arrowok="t"/>
              </v:shape>
            </v:group>
            <v:group style="position:absolute;left:10338;top:1777;width:12;height:2" coordorigin="10338,1777" coordsize="12,2">
              <v:shape style="position:absolute;left:10338;top:1777;width:12;height:2" coordorigin="10338,1777" coordsize="12,0" path="m10338,1777l10350,1777e" filled="false" stroked="true" strokeweight=".6pt" strokecolor="#000008">
                <v:path arrowok="t"/>
              </v:shape>
            </v:group>
            <v:group style="position:absolute;left:10357;top:1777;width:12;height:2" coordorigin="10357,1777" coordsize="12,2">
              <v:shape style="position:absolute;left:10357;top:1777;width:12;height:2" coordorigin="10357,1777" coordsize="12,0" path="m10357,1777l10369,1777e" filled="false" stroked="true" strokeweight=".6pt" strokecolor="#000008">
                <v:path arrowok="t"/>
              </v:shape>
            </v:group>
            <v:group style="position:absolute;left:10376;top:1777;width:12;height:2" coordorigin="10376,1777" coordsize="12,2">
              <v:shape style="position:absolute;left:10376;top:1777;width:12;height:2" coordorigin="10376,1777" coordsize="12,0" path="m10376,1777l10388,1777e" filled="false" stroked="true" strokeweight=".6pt" strokecolor="#000008">
                <v:path arrowok="t"/>
              </v:shape>
            </v:group>
            <v:group style="position:absolute;left:10396;top:1777;width:12;height:2" coordorigin="10396,1777" coordsize="12,2">
              <v:shape style="position:absolute;left:10396;top:1777;width:12;height:2" coordorigin="10396,1777" coordsize="12,0" path="m10396,1777l10408,1777e" filled="false" stroked="true" strokeweight=".6pt" strokecolor="#000008">
                <v:path arrowok="t"/>
              </v:shape>
            </v:group>
            <v:group style="position:absolute;left:10415;top:1777;width:12;height:2" coordorigin="10415,1777" coordsize="12,2">
              <v:shape style="position:absolute;left:10415;top:1777;width:12;height:2" coordorigin="10415,1777" coordsize="12,0" path="m10415,1777l10427,1777e" filled="false" stroked="true" strokeweight=".6pt" strokecolor="#000008">
                <v:path arrowok="t"/>
              </v:shape>
            </v:group>
            <w10:wrap type="none"/>
          </v:group>
        </w:pict>
      </w:r>
      <w:r>
        <w:rPr>
          <w:rFonts w:ascii="宋体" w:hAnsi="宋体" w:cs="宋体" w:eastAsia="宋体" w:hint="default"/>
          <w:sz w:val="20"/>
          <w:szCs w:val="20"/>
        </w:rPr>
        <w:t>购买商品、接受劳务支付的现金</w:t>
      </w:r>
      <w:r>
        <w:rPr>
          <w:rFonts w:ascii="宋体" w:hAnsi="宋体" w:cs="宋体" w:eastAsia="宋体" w:hint="default"/>
          <w:w w:val="99"/>
          <w:sz w:val="20"/>
          <w:szCs w:val="20"/>
        </w:rPr>
        <w:t> </w:t>
      </w:r>
      <w:r>
        <w:rPr>
          <w:rFonts w:ascii="宋体" w:hAnsi="宋体" w:cs="宋体" w:eastAsia="宋体" w:hint="default"/>
          <w:w w:val="95"/>
          <w:sz w:val="20"/>
          <w:szCs w:val="20"/>
        </w:rPr>
        <w:t>支付给职工以及为职工支付的现金</w:t>
      </w:r>
      <w:r>
        <w:rPr>
          <w:rFonts w:ascii="宋体" w:hAnsi="宋体" w:cs="宋体" w:eastAsia="宋体" w:hint="default"/>
          <w:spacing w:val="43"/>
          <w:w w:val="95"/>
          <w:sz w:val="20"/>
          <w:szCs w:val="20"/>
        </w:rPr>
        <w:t> </w:t>
      </w:r>
      <w:r>
        <w:rPr>
          <w:rFonts w:ascii="宋体" w:hAnsi="宋体" w:cs="宋体" w:eastAsia="宋体" w:hint="default"/>
          <w:sz w:val="20"/>
          <w:szCs w:val="20"/>
        </w:rPr>
        <w:t>支付的各项税费</w:t>
      </w:r>
      <w:r>
        <w:rPr>
          <w:rFonts w:ascii="宋体" w:hAnsi="宋体" w:cs="宋体" w:eastAsia="宋体" w:hint="default"/>
          <w:w w:val="99"/>
          <w:sz w:val="20"/>
          <w:szCs w:val="20"/>
        </w:rPr>
        <w:t> </w:t>
      </w:r>
      <w:r>
        <w:rPr>
          <w:rFonts w:ascii="宋体" w:hAnsi="宋体" w:cs="宋体" w:eastAsia="宋体" w:hint="default"/>
          <w:sz w:val="20"/>
          <w:szCs w:val="20"/>
        </w:rPr>
        <w:t>支付其他与经营活动有关的现金</w:t>
      </w:r>
    </w:p>
    <w:p>
      <w:pPr>
        <w:spacing w:line="324" w:lineRule="auto" w:before="0"/>
        <w:ind w:left="991" w:right="4451" w:firstLine="3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p>
      <w:pPr>
        <w:spacing w:line="332" w:lineRule="exact" w:before="0"/>
        <w:ind w:left="516" w:right="149" w:hanging="38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p>
      <w:pPr>
        <w:spacing w:line="422" w:lineRule="auto" w:before="94"/>
        <w:ind w:left="516" w:right="4451" w:firstLine="0"/>
        <w:jc w:val="left"/>
        <w:rPr>
          <w:rFonts w:ascii="宋体" w:hAnsi="宋体" w:cs="宋体" w:eastAsia="宋体" w:hint="default"/>
          <w:sz w:val="20"/>
          <w:szCs w:val="20"/>
        </w:rPr>
      </w:pPr>
      <w:r>
        <w:rPr>
          <w:rFonts w:ascii="宋体" w:hAnsi="宋体" w:cs="宋体" w:eastAsia="宋体" w:hint="default"/>
          <w:sz w:val="20"/>
          <w:szCs w:val="20"/>
        </w:rPr>
        <w:t>收回投资收到的现金</w:t>
      </w:r>
      <w:r>
        <w:rPr>
          <w:rFonts w:ascii="宋体" w:hAnsi="宋体" w:cs="宋体" w:eastAsia="宋体" w:hint="default"/>
          <w:w w:val="99"/>
          <w:sz w:val="20"/>
          <w:szCs w:val="20"/>
        </w:rPr>
        <w:t> </w:t>
      </w:r>
      <w:r>
        <w:rPr>
          <w:rFonts w:ascii="宋体" w:hAnsi="宋体" w:cs="宋体" w:eastAsia="宋体" w:hint="default"/>
          <w:w w:val="95"/>
          <w:sz w:val="20"/>
          <w:szCs w:val="20"/>
        </w:rPr>
        <w:t>取得投资收益所收到的现金</w:t>
      </w:r>
      <w:r>
        <w:rPr>
          <w:rFonts w:ascii="宋体" w:hAnsi="宋体" w:cs="宋体" w:eastAsia="宋体" w:hint="default"/>
          <w:sz w:val="20"/>
          <w:szCs w:val="20"/>
        </w:rPr>
      </w:r>
    </w:p>
    <w:p>
      <w:pPr>
        <w:spacing w:line="207" w:lineRule="exact" w:before="0"/>
        <w:ind w:left="516" w:right="149" w:firstLine="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处置固定资产、无形资产和其他长期资产所收回的现</w:t>
      </w:r>
    </w:p>
    <w:p>
      <w:pPr>
        <w:spacing w:line="260" w:lineRule="exact" w:before="0"/>
        <w:ind w:left="317" w:right="149" w:firstLine="0"/>
        <w:jc w:val="left"/>
        <w:rPr>
          <w:rFonts w:ascii="宋体" w:hAnsi="宋体" w:cs="宋体" w:eastAsia="宋体" w:hint="default"/>
          <w:sz w:val="20"/>
          <w:szCs w:val="20"/>
        </w:rPr>
      </w:pPr>
      <w:r>
        <w:rPr>
          <w:rFonts w:ascii="宋体" w:hAnsi="宋体" w:cs="宋体" w:eastAsia="宋体" w:hint="default"/>
          <w:sz w:val="20"/>
          <w:szCs w:val="20"/>
        </w:rPr>
        <w:t>金净额</w:t>
      </w:r>
    </w:p>
    <w:p>
      <w:pPr>
        <w:spacing w:line="422" w:lineRule="auto" w:before="98"/>
        <w:ind w:left="516" w:right="4451" w:firstLine="0"/>
        <w:jc w:val="left"/>
        <w:rPr>
          <w:rFonts w:ascii="宋体" w:hAnsi="宋体" w:cs="宋体" w:eastAsia="宋体" w:hint="default"/>
          <w:sz w:val="20"/>
          <w:szCs w:val="20"/>
        </w:rPr>
      </w:pPr>
      <w:r>
        <w:rPr/>
        <w:pict>
          <v:group style="position:absolute;margin-left:359.399994pt;margin-top:47.359673pt;width:72.25pt;height:.6pt;mso-position-horizontal-relative:page;mso-position-vertical-relative:paragraph;z-index:3352" coordorigin="7188,947" coordsize="1445,12">
            <v:group style="position:absolute;left:7194;top:953;width:12;height:2" coordorigin="7194,953" coordsize="12,2">
              <v:shape style="position:absolute;left:7194;top:953;width:12;height:2" coordorigin="7194,953" coordsize="12,0" path="m7194,953l7206,953e" filled="false" stroked="true" strokeweight=".6pt" strokecolor="#000008">
                <v:path arrowok="t"/>
              </v:shape>
            </v:group>
            <v:group style="position:absolute;left:7213;top:953;width:12;height:2" coordorigin="7213,953" coordsize="12,2">
              <v:shape style="position:absolute;left:7213;top:953;width:12;height:2" coordorigin="7213,953" coordsize="12,0" path="m7213,953l7225,953e" filled="false" stroked="true" strokeweight=".6pt" strokecolor="#000008">
                <v:path arrowok="t"/>
              </v:shape>
            </v:group>
            <v:group style="position:absolute;left:7232;top:953;width:12;height:2" coordorigin="7232,953" coordsize="12,2">
              <v:shape style="position:absolute;left:7232;top:953;width:12;height:2" coordorigin="7232,953" coordsize="12,0" path="m7232,953l7244,953e" filled="false" stroked="true" strokeweight=".6pt" strokecolor="#000008">
                <v:path arrowok="t"/>
              </v:shape>
            </v:group>
            <v:group style="position:absolute;left:7252;top:953;width:12;height:2" coordorigin="7252,953" coordsize="12,2">
              <v:shape style="position:absolute;left:7252;top:953;width:12;height:2" coordorigin="7252,953" coordsize="12,0" path="m7252,953l7264,953e" filled="false" stroked="true" strokeweight=".6pt" strokecolor="#000008">
                <v:path arrowok="t"/>
              </v:shape>
            </v:group>
            <v:group style="position:absolute;left:7271;top:953;width:12;height:2" coordorigin="7271,953" coordsize="12,2">
              <v:shape style="position:absolute;left:7271;top:953;width:12;height:2" coordorigin="7271,953" coordsize="12,0" path="m7271,953l7283,953e" filled="false" stroked="true" strokeweight=".6pt" strokecolor="#000008">
                <v:path arrowok="t"/>
              </v:shape>
            </v:group>
            <v:group style="position:absolute;left:7290;top:953;width:12;height:2" coordorigin="7290,953" coordsize="12,2">
              <v:shape style="position:absolute;left:7290;top:953;width:12;height:2" coordorigin="7290,953" coordsize="12,0" path="m7290,953l7302,953e" filled="false" stroked="true" strokeweight=".6pt" strokecolor="#000008">
                <v:path arrowok="t"/>
              </v:shape>
            </v:group>
            <v:group style="position:absolute;left:7309;top:953;width:12;height:2" coordorigin="7309,953" coordsize="12,2">
              <v:shape style="position:absolute;left:7309;top:953;width:12;height:2" coordorigin="7309,953" coordsize="12,0" path="m7309,953l7321,953e" filled="false" stroked="true" strokeweight=".6pt" strokecolor="#000008">
                <v:path arrowok="t"/>
              </v:shape>
            </v:group>
            <v:group style="position:absolute;left:7328;top:953;width:12;height:2" coordorigin="7328,953" coordsize="12,2">
              <v:shape style="position:absolute;left:7328;top:953;width:12;height:2" coordorigin="7328,953" coordsize="12,0" path="m7328,953l7340,953e" filled="false" stroked="true" strokeweight=".6pt" strokecolor="#000008">
                <v:path arrowok="t"/>
              </v:shape>
            </v:group>
            <v:group style="position:absolute;left:7348;top:953;width:12;height:2" coordorigin="7348,953" coordsize="12,2">
              <v:shape style="position:absolute;left:7348;top:953;width:12;height:2" coordorigin="7348,953" coordsize="12,0" path="m7348,953l7360,953e" filled="false" stroked="true" strokeweight=".6pt" strokecolor="#000008">
                <v:path arrowok="t"/>
              </v:shape>
            </v:group>
            <v:group style="position:absolute;left:7367;top:953;width:12;height:2" coordorigin="7367,953" coordsize="12,2">
              <v:shape style="position:absolute;left:7367;top:953;width:12;height:2" coordorigin="7367,953" coordsize="12,0" path="m7367,953l7379,953e" filled="false" stroked="true" strokeweight=".6pt" strokecolor="#000008">
                <v:path arrowok="t"/>
              </v:shape>
            </v:group>
            <v:group style="position:absolute;left:7386;top:953;width:12;height:2" coordorigin="7386,953" coordsize="12,2">
              <v:shape style="position:absolute;left:7386;top:953;width:12;height:2" coordorigin="7386,953" coordsize="12,0" path="m7386,953l7398,953e" filled="false" stroked="true" strokeweight=".6pt" strokecolor="#000008">
                <v:path arrowok="t"/>
              </v:shape>
            </v:group>
            <v:group style="position:absolute;left:7405;top:953;width:12;height:2" coordorigin="7405,953" coordsize="12,2">
              <v:shape style="position:absolute;left:7405;top:953;width:12;height:2" coordorigin="7405,953" coordsize="12,0" path="m7405,953l7417,953e" filled="false" stroked="true" strokeweight=".6pt" strokecolor="#000008">
                <v:path arrowok="t"/>
              </v:shape>
            </v:group>
            <v:group style="position:absolute;left:7424;top:953;width:12;height:2" coordorigin="7424,953" coordsize="12,2">
              <v:shape style="position:absolute;left:7424;top:953;width:12;height:2" coordorigin="7424,953" coordsize="12,0" path="m7424,953l7436,953e" filled="false" stroked="true" strokeweight=".6pt" strokecolor="#000008">
                <v:path arrowok="t"/>
              </v:shape>
            </v:group>
            <v:group style="position:absolute;left:7444;top:953;width:12;height:2" coordorigin="7444,953" coordsize="12,2">
              <v:shape style="position:absolute;left:7444;top:953;width:12;height:2" coordorigin="7444,953" coordsize="12,0" path="m7444,953l7456,953e" filled="false" stroked="true" strokeweight=".6pt" strokecolor="#000008">
                <v:path arrowok="t"/>
              </v:shape>
            </v:group>
            <v:group style="position:absolute;left:7463;top:953;width:12;height:2" coordorigin="7463,953" coordsize="12,2">
              <v:shape style="position:absolute;left:7463;top:953;width:12;height:2" coordorigin="7463,953" coordsize="12,0" path="m7463,953l7475,953e" filled="false" stroked="true" strokeweight=".6pt" strokecolor="#000008">
                <v:path arrowok="t"/>
              </v:shape>
            </v:group>
            <v:group style="position:absolute;left:7482;top:953;width:12;height:2" coordorigin="7482,953" coordsize="12,2">
              <v:shape style="position:absolute;left:7482;top:953;width:12;height:2" coordorigin="7482,953" coordsize="12,0" path="m7482,953l7494,953e" filled="false" stroked="true" strokeweight=".6pt" strokecolor="#000008">
                <v:path arrowok="t"/>
              </v:shape>
            </v:group>
            <v:group style="position:absolute;left:7501;top:953;width:12;height:2" coordorigin="7501,953" coordsize="12,2">
              <v:shape style="position:absolute;left:7501;top:953;width:12;height:2" coordorigin="7501,953" coordsize="12,0" path="m7501,953l7513,953e" filled="false" stroked="true" strokeweight=".6pt" strokecolor="#000008">
                <v:path arrowok="t"/>
              </v:shape>
            </v:group>
            <v:group style="position:absolute;left:7520;top:953;width:12;height:2" coordorigin="7520,953" coordsize="12,2">
              <v:shape style="position:absolute;left:7520;top:953;width:12;height:2" coordorigin="7520,953" coordsize="12,0" path="m7520,953l7532,953e" filled="false" stroked="true" strokeweight=".6pt" strokecolor="#000008">
                <v:path arrowok="t"/>
              </v:shape>
            </v:group>
            <v:group style="position:absolute;left:7540;top:953;width:12;height:2" coordorigin="7540,953" coordsize="12,2">
              <v:shape style="position:absolute;left:7540;top:953;width:12;height:2" coordorigin="7540,953" coordsize="12,0" path="m7540,953l7552,953e" filled="false" stroked="true" strokeweight=".6pt" strokecolor="#000008">
                <v:path arrowok="t"/>
              </v:shape>
            </v:group>
            <v:group style="position:absolute;left:7559;top:953;width:12;height:2" coordorigin="7559,953" coordsize="12,2">
              <v:shape style="position:absolute;left:7559;top:953;width:12;height:2" coordorigin="7559,953" coordsize="12,0" path="m7559,953l7571,953e" filled="false" stroked="true" strokeweight=".6pt" strokecolor="#000008">
                <v:path arrowok="t"/>
              </v:shape>
            </v:group>
            <v:group style="position:absolute;left:7578;top:953;width:12;height:2" coordorigin="7578,953" coordsize="12,2">
              <v:shape style="position:absolute;left:7578;top:953;width:12;height:2" coordorigin="7578,953" coordsize="12,0" path="m7578,953l7590,953e" filled="false" stroked="true" strokeweight=".6pt" strokecolor="#000008">
                <v:path arrowok="t"/>
              </v:shape>
            </v:group>
            <v:group style="position:absolute;left:7597;top:953;width:12;height:2" coordorigin="7597,953" coordsize="12,2">
              <v:shape style="position:absolute;left:7597;top:953;width:12;height:2" coordorigin="7597,953" coordsize="12,0" path="m7597,953l7609,953e" filled="false" stroked="true" strokeweight=".6pt" strokecolor="#000008">
                <v:path arrowok="t"/>
              </v:shape>
            </v:group>
            <v:group style="position:absolute;left:7616;top:953;width:12;height:2" coordorigin="7616,953" coordsize="12,2">
              <v:shape style="position:absolute;left:7616;top:953;width:12;height:2" coordorigin="7616,953" coordsize="12,0" path="m7616,953l7628,953e" filled="false" stroked="true" strokeweight=".6pt" strokecolor="#000008">
                <v:path arrowok="t"/>
              </v:shape>
            </v:group>
            <v:group style="position:absolute;left:7636;top:953;width:12;height:2" coordorigin="7636,953" coordsize="12,2">
              <v:shape style="position:absolute;left:7636;top:953;width:12;height:2" coordorigin="7636,953" coordsize="12,0" path="m7636,953l7648,953e" filled="false" stroked="true" strokeweight=".6pt" strokecolor="#000008">
                <v:path arrowok="t"/>
              </v:shape>
            </v:group>
            <v:group style="position:absolute;left:7655;top:953;width:12;height:2" coordorigin="7655,953" coordsize="12,2">
              <v:shape style="position:absolute;left:7655;top:953;width:12;height:2" coordorigin="7655,953" coordsize="12,0" path="m7655,953l7667,953e" filled="false" stroked="true" strokeweight=".6pt" strokecolor="#000008">
                <v:path arrowok="t"/>
              </v:shape>
            </v:group>
            <v:group style="position:absolute;left:7674;top:953;width:12;height:2" coordorigin="7674,953" coordsize="12,2">
              <v:shape style="position:absolute;left:7674;top:953;width:12;height:2" coordorigin="7674,953" coordsize="12,0" path="m7674,953l7686,953e" filled="false" stroked="true" strokeweight=".6pt" strokecolor="#000008">
                <v:path arrowok="t"/>
              </v:shape>
            </v:group>
            <v:group style="position:absolute;left:7693;top:953;width:12;height:2" coordorigin="7693,953" coordsize="12,2">
              <v:shape style="position:absolute;left:7693;top:953;width:12;height:2" coordorigin="7693,953" coordsize="12,0" path="m7693,953l7705,953e" filled="false" stroked="true" strokeweight=".6pt" strokecolor="#000008">
                <v:path arrowok="t"/>
              </v:shape>
            </v:group>
            <v:group style="position:absolute;left:7712;top:953;width:12;height:2" coordorigin="7712,953" coordsize="12,2">
              <v:shape style="position:absolute;left:7712;top:953;width:12;height:2" coordorigin="7712,953" coordsize="12,0" path="m7712,953l7724,953e" filled="false" stroked="true" strokeweight=".6pt" strokecolor="#000008">
                <v:path arrowok="t"/>
              </v:shape>
            </v:group>
            <v:group style="position:absolute;left:7732;top:953;width:12;height:2" coordorigin="7732,953" coordsize="12,2">
              <v:shape style="position:absolute;left:7732;top:953;width:12;height:2" coordorigin="7732,953" coordsize="12,0" path="m7732,953l7744,953e" filled="false" stroked="true" strokeweight=".6pt" strokecolor="#000008">
                <v:path arrowok="t"/>
              </v:shape>
            </v:group>
            <v:group style="position:absolute;left:7751;top:953;width:12;height:2" coordorigin="7751,953" coordsize="12,2">
              <v:shape style="position:absolute;left:7751;top:953;width:12;height:2" coordorigin="7751,953" coordsize="12,0" path="m7751,953l7763,953e" filled="false" stroked="true" strokeweight=".6pt" strokecolor="#000008">
                <v:path arrowok="t"/>
              </v:shape>
            </v:group>
            <v:group style="position:absolute;left:7770;top:953;width:12;height:2" coordorigin="7770,953" coordsize="12,2">
              <v:shape style="position:absolute;left:7770;top:953;width:12;height:2" coordorigin="7770,953" coordsize="12,0" path="m7770,953l7782,953e" filled="false" stroked="true" strokeweight=".6pt" strokecolor="#000008">
                <v:path arrowok="t"/>
              </v:shape>
            </v:group>
            <v:group style="position:absolute;left:7789;top:953;width:12;height:2" coordorigin="7789,953" coordsize="12,2">
              <v:shape style="position:absolute;left:7789;top:953;width:12;height:2" coordorigin="7789,953" coordsize="12,0" path="m7789,953l7801,953e" filled="false" stroked="true" strokeweight=".6pt" strokecolor="#000008">
                <v:path arrowok="t"/>
              </v:shape>
            </v:group>
            <v:group style="position:absolute;left:7808;top:953;width:12;height:2" coordorigin="7808,953" coordsize="12,2">
              <v:shape style="position:absolute;left:7808;top:953;width:12;height:2" coordorigin="7808,953" coordsize="12,0" path="m7808,953l7820,953e" filled="false" stroked="true" strokeweight=".6pt" strokecolor="#000008">
                <v:path arrowok="t"/>
              </v:shape>
            </v:group>
            <v:group style="position:absolute;left:7828;top:953;width:12;height:2" coordorigin="7828,953" coordsize="12,2">
              <v:shape style="position:absolute;left:7828;top:953;width:12;height:2" coordorigin="7828,953" coordsize="12,0" path="m7828,953l7840,953e" filled="false" stroked="true" strokeweight=".6pt" strokecolor="#000008">
                <v:path arrowok="t"/>
              </v:shape>
            </v:group>
            <v:group style="position:absolute;left:7847;top:953;width:12;height:2" coordorigin="7847,953" coordsize="12,2">
              <v:shape style="position:absolute;left:7847;top:953;width:12;height:2" coordorigin="7847,953" coordsize="12,0" path="m7847,953l7859,953e" filled="false" stroked="true" strokeweight=".6pt" strokecolor="#000008">
                <v:path arrowok="t"/>
              </v:shape>
            </v:group>
            <v:group style="position:absolute;left:7866;top:953;width:12;height:2" coordorigin="7866,953" coordsize="12,2">
              <v:shape style="position:absolute;left:7866;top:953;width:12;height:2" coordorigin="7866,953" coordsize="12,0" path="m7866,953l7878,953e" filled="false" stroked="true" strokeweight=".6pt" strokecolor="#000008">
                <v:path arrowok="t"/>
              </v:shape>
            </v:group>
            <v:group style="position:absolute;left:7885;top:953;width:12;height:2" coordorigin="7885,953" coordsize="12,2">
              <v:shape style="position:absolute;left:7885;top:953;width:12;height:2" coordorigin="7885,953" coordsize="12,0" path="m7885,953l7897,953e" filled="false" stroked="true" strokeweight=".6pt" strokecolor="#000008">
                <v:path arrowok="t"/>
              </v:shape>
            </v:group>
            <v:group style="position:absolute;left:7904;top:953;width:12;height:2" coordorigin="7904,953" coordsize="12,2">
              <v:shape style="position:absolute;left:7904;top:953;width:12;height:2" coordorigin="7904,953" coordsize="12,0" path="m7904,953l7916,953e" filled="false" stroked="true" strokeweight=".6pt" strokecolor="#000008">
                <v:path arrowok="t"/>
              </v:shape>
            </v:group>
            <v:group style="position:absolute;left:7924;top:953;width:12;height:2" coordorigin="7924,953" coordsize="12,2">
              <v:shape style="position:absolute;left:7924;top:953;width:12;height:2" coordorigin="7924,953" coordsize="12,0" path="m7924,953l7936,953e" filled="false" stroked="true" strokeweight=".6pt" strokecolor="#000008">
                <v:path arrowok="t"/>
              </v:shape>
            </v:group>
            <v:group style="position:absolute;left:7943;top:953;width:12;height:2" coordorigin="7943,953" coordsize="12,2">
              <v:shape style="position:absolute;left:7943;top:953;width:12;height:2" coordorigin="7943,953" coordsize="12,0" path="m7943,953l7955,953e" filled="false" stroked="true" strokeweight=".6pt" strokecolor="#000008">
                <v:path arrowok="t"/>
              </v:shape>
            </v:group>
            <v:group style="position:absolute;left:7962;top:953;width:12;height:2" coordorigin="7962,953" coordsize="12,2">
              <v:shape style="position:absolute;left:7962;top:953;width:12;height:2" coordorigin="7962,953" coordsize="12,0" path="m7962,953l7974,953e" filled="false" stroked="true" strokeweight=".6pt" strokecolor="#000008">
                <v:path arrowok="t"/>
              </v:shape>
            </v:group>
            <v:group style="position:absolute;left:7981;top:953;width:12;height:2" coordorigin="7981,953" coordsize="12,2">
              <v:shape style="position:absolute;left:7981;top:953;width:12;height:2" coordorigin="7981,953" coordsize="12,0" path="m7981,953l7993,953e" filled="false" stroked="true" strokeweight=".6pt" strokecolor="#000008">
                <v:path arrowok="t"/>
              </v:shape>
            </v:group>
            <v:group style="position:absolute;left:8000;top:953;width:12;height:2" coordorigin="8000,953" coordsize="12,2">
              <v:shape style="position:absolute;left:8000;top:953;width:12;height:2" coordorigin="8000,953" coordsize="12,0" path="m8000,953l8012,953e" filled="false" stroked="true" strokeweight=".6pt" strokecolor="#000008">
                <v:path arrowok="t"/>
              </v:shape>
            </v:group>
            <v:group style="position:absolute;left:8020;top:953;width:12;height:2" coordorigin="8020,953" coordsize="12,2">
              <v:shape style="position:absolute;left:8020;top:953;width:12;height:2" coordorigin="8020,953" coordsize="12,0" path="m8020,953l8032,953e" filled="false" stroked="true" strokeweight=".6pt" strokecolor="#000008">
                <v:path arrowok="t"/>
              </v:shape>
            </v:group>
            <v:group style="position:absolute;left:8039;top:953;width:12;height:2" coordorigin="8039,953" coordsize="12,2">
              <v:shape style="position:absolute;left:8039;top:953;width:12;height:2" coordorigin="8039,953" coordsize="12,0" path="m8039,953l8051,953e" filled="false" stroked="true" strokeweight=".6pt" strokecolor="#000008">
                <v:path arrowok="t"/>
              </v:shape>
            </v:group>
            <v:group style="position:absolute;left:8058;top:953;width:12;height:2" coordorigin="8058,953" coordsize="12,2">
              <v:shape style="position:absolute;left:8058;top:953;width:12;height:2" coordorigin="8058,953" coordsize="12,0" path="m8058,953l8070,953e" filled="false" stroked="true" strokeweight=".6pt" strokecolor="#000008">
                <v:path arrowok="t"/>
              </v:shape>
            </v:group>
            <v:group style="position:absolute;left:8077;top:953;width:12;height:2" coordorigin="8077,953" coordsize="12,2">
              <v:shape style="position:absolute;left:8077;top:953;width:12;height:2" coordorigin="8077,953" coordsize="12,0" path="m8077,953l8089,953e" filled="false" stroked="true" strokeweight=".6pt" strokecolor="#000008">
                <v:path arrowok="t"/>
              </v:shape>
            </v:group>
            <v:group style="position:absolute;left:8096;top:953;width:12;height:2" coordorigin="8096,953" coordsize="12,2">
              <v:shape style="position:absolute;left:8096;top:953;width:12;height:2" coordorigin="8096,953" coordsize="12,0" path="m8096,953l8108,953e" filled="false" stroked="true" strokeweight=".6pt" strokecolor="#000008">
                <v:path arrowok="t"/>
              </v:shape>
            </v:group>
            <v:group style="position:absolute;left:8116;top:953;width:12;height:2" coordorigin="8116,953" coordsize="12,2">
              <v:shape style="position:absolute;left:8116;top:953;width:12;height:2" coordorigin="8116,953" coordsize="12,0" path="m8116,953l8128,953e" filled="false" stroked="true" strokeweight=".6pt" strokecolor="#000008">
                <v:path arrowok="t"/>
              </v:shape>
            </v:group>
            <v:group style="position:absolute;left:8135;top:953;width:12;height:2" coordorigin="8135,953" coordsize="12,2">
              <v:shape style="position:absolute;left:8135;top:953;width:12;height:2" coordorigin="8135,953" coordsize="12,0" path="m8135,953l8147,953e" filled="false" stroked="true" strokeweight=".6pt" strokecolor="#000008">
                <v:path arrowok="t"/>
              </v:shape>
            </v:group>
            <v:group style="position:absolute;left:8154;top:953;width:12;height:2" coordorigin="8154,953" coordsize="12,2">
              <v:shape style="position:absolute;left:8154;top:953;width:12;height:2" coordorigin="8154,953" coordsize="12,0" path="m8154,953l8166,953e" filled="false" stroked="true" strokeweight=".6pt" strokecolor="#000008">
                <v:path arrowok="t"/>
              </v:shape>
            </v:group>
            <v:group style="position:absolute;left:8173;top:953;width:12;height:2" coordorigin="8173,953" coordsize="12,2">
              <v:shape style="position:absolute;left:8173;top:953;width:12;height:2" coordorigin="8173,953" coordsize="12,0" path="m8173,953l8185,953e" filled="false" stroked="true" strokeweight=".6pt" strokecolor="#000008">
                <v:path arrowok="t"/>
              </v:shape>
            </v:group>
            <v:group style="position:absolute;left:8192;top:953;width:12;height:2" coordorigin="8192,953" coordsize="12,2">
              <v:shape style="position:absolute;left:8192;top:953;width:12;height:2" coordorigin="8192,953" coordsize="12,0" path="m8192,953l8204,953e" filled="false" stroked="true" strokeweight=".6pt" strokecolor="#000008">
                <v:path arrowok="t"/>
              </v:shape>
            </v:group>
            <v:group style="position:absolute;left:8212;top:953;width:12;height:2" coordorigin="8212,953" coordsize="12,2">
              <v:shape style="position:absolute;left:8212;top:953;width:12;height:2" coordorigin="8212,953" coordsize="12,0" path="m8212,953l8224,953e" filled="false" stroked="true" strokeweight=".6pt" strokecolor="#000008">
                <v:path arrowok="t"/>
              </v:shape>
            </v:group>
            <v:group style="position:absolute;left:8231;top:953;width:12;height:2" coordorigin="8231,953" coordsize="12,2">
              <v:shape style="position:absolute;left:8231;top:953;width:12;height:2" coordorigin="8231,953" coordsize="12,0" path="m8231,953l8243,953e" filled="false" stroked="true" strokeweight=".6pt" strokecolor="#000008">
                <v:path arrowok="t"/>
              </v:shape>
            </v:group>
            <v:group style="position:absolute;left:8250;top:953;width:12;height:2" coordorigin="8250,953" coordsize="12,2">
              <v:shape style="position:absolute;left:8250;top:953;width:12;height:2" coordorigin="8250,953" coordsize="12,0" path="m8250,953l8262,953e" filled="false" stroked="true" strokeweight=".6pt" strokecolor="#000008">
                <v:path arrowok="t"/>
              </v:shape>
            </v:group>
            <v:group style="position:absolute;left:8269;top:953;width:12;height:2" coordorigin="8269,953" coordsize="12,2">
              <v:shape style="position:absolute;left:8269;top:953;width:12;height:2" coordorigin="8269,953" coordsize="12,0" path="m8269,953l8281,953e" filled="false" stroked="true" strokeweight=".6pt" strokecolor="#000008">
                <v:path arrowok="t"/>
              </v:shape>
            </v:group>
            <v:group style="position:absolute;left:8288;top:953;width:12;height:2" coordorigin="8288,953" coordsize="12,2">
              <v:shape style="position:absolute;left:8288;top:953;width:12;height:2" coordorigin="8288,953" coordsize="12,0" path="m8288,953l8300,953e" filled="false" stroked="true" strokeweight=".6pt" strokecolor="#000008">
                <v:path arrowok="t"/>
              </v:shape>
            </v:group>
            <v:group style="position:absolute;left:8308;top:953;width:12;height:2" coordorigin="8308,953" coordsize="12,2">
              <v:shape style="position:absolute;left:8308;top:953;width:12;height:2" coordorigin="8308,953" coordsize="12,0" path="m8308,953l8320,953e" filled="false" stroked="true" strokeweight=".6pt" strokecolor="#000008">
                <v:path arrowok="t"/>
              </v:shape>
            </v:group>
            <v:group style="position:absolute;left:8327;top:953;width:12;height:2" coordorigin="8327,953" coordsize="12,2">
              <v:shape style="position:absolute;left:8327;top:953;width:12;height:2" coordorigin="8327,953" coordsize="12,0" path="m8327,953l8339,953e" filled="false" stroked="true" strokeweight=".6pt" strokecolor="#000008">
                <v:path arrowok="t"/>
              </v:shape>
            </v:group>
            <v:group style="position:absolute;left:8346;top:953;width:12;height:2" coordorigin="8346,953" coordsize="12,2">
              <v:shape style="position:absolute;left:8346;top:953;width:12;height:2" coordorigin="8346,953" coordsize="12,0" path="m8346,953l8358,953e" filled="false" stroked="true" strokeweight=".6pt" strokecolor="#000008">
                <v:path arrowok="t"/>
              </v:shape>
            </v:group>
            <v:group style="position:absolute;left:8365;top:953;width:12;height:2" coordorigin="8365,953" coordsize="12,2">
              <v:shape style="position:absolute;left:8365;top:953;width:12;height:2" coordorigin="8365,953" coordsize="12,0" path="m8365,953l8377,953e" filled="false" stroked="true" strokeweight=".6pt" strokecolor="#000008">
                <v:path arrowok="t"/>
              </v:shape>
            </v:group>
            <v:group style="position:absolute;left:8384;top:953;width:12;height:2" coordorigin="8384,953" coordsize="12,2">
              <v:shape style="position:absolute;left:8384;top:953;width:12;height:2" coordorigin="8384,953" coordsize="12,0" path="m8384,953l8396,953e" filled="false" stroked="true" strokeweight=".6pt" strokecolor="#000008">
                <v:path arrowok="t"/>
              </v:shape>
            </v:group>
            <v:group style="position:absolute;left:8404;top:953;width:12;height:2" coordorigin="8404,953" coordsize="12,2">
              <v:shape style="position:absolute;left:8404;top:953;width:12;height:2" coordorigin="8404,953" coordsize="12,0" path="m8404,953l8416,953e" filled="false" stroked="true" strokeweight=".6pt" strokecolor="#000008">
                <v:path arrowok="t"/>
              </v:shape>
            </v:group>
            <v:group style="position:absolute;left:8423;top:953;width:12;height:2" coordorigin="8423,953" coordsize="12,2">
              <v:shape style="position:absolute;left:8423;top:953;width:12;height:2" coordorigin="8423,953" coordsize="12,0" path="m8423,953l8435,953e" filled="false" stroked="true" strokeweight=".6pt" strokecolor="#000008">
                <v:path arrowok="t"/>
              </v:shape>
            </v:group>
            <v:group style="position:absolute;left:8442;top:953;width:12;height:2" coordorigin="8442,953" coordsize="12,2">
              <v:shape style="position:absolute;left:8442;top:953;width:12;height:2" coordorigin="8442,953" coordsize="12,0" path="m8442,953l8454,953e" filled="false" stroked="true" strokeweight=".6pt" strokecolor="#000008">
                <v:path arrowok="t"/>
              </v:shape>
            </v:group>
            <v:group style="position:absolute;left:8461;top:953;width:12;height:2" coordorigin="8461,953" coordsize="12,2">
              <v:shape style="position:absolute;left:8461;top:953;width:12;height:2" coordorigin="8461,953" coordsize="12,0" path="m8461,953l8473,953e" filled="false" stroked="true" strokeweight=".6pt" strokecolor="#000008">
                <v:path arrowok="t"/>
              </v:shape>
            </v:group>
            <v:group style="position:absolute;left:8480;top:953;width:12;height:2" coordorigin="8480,953" coordsize="12,2">
              <v:shape style="position:absolute;left:8480;top:953;width:12;height:2" coordorigin="8480,953" coordsize="12,0" path="m8480,953l8492,953e" filled="false" stroked="true" strokeweight=".6pt" strokecolor="#000008">
                <v:path arrowok="t"/>
              </v:shape>
            </v:group>
            <v:group style="position:absolute;left:8500;top:953;width:12;height:2" coordorigin="8500,953" coordsize="12,2">
              <v:shape style="position:absolute;left:8500;top:953;width:12;height:2" coordorigin="8500,953" coordsize="12,0" path="m8500,953l8512,953e" filled="false" stroked="true" strokeweight=".6pt" strokecolor="#000008">
                <v:path arrowok="t"/>
              </v:shape>
            </v:group>
            <v:group style="position:absolute;left:8519;top:953;width:12;height:2" coordorigin="8519,953" coordsize="12,2">
              <v:shape style="position:absolute;left:8519;top:953;width:12;height:2" coordorigin="8519,953" coordsize="12,0" path="m8519,953l8531,953e" filled="false" stroked="true" strokeweight=".6pt" strokecolor="#000008">
                <v:path arrowok="t"/>
              </v:shape>
            </v:group>
            <v:group style="position:absolute;left:8538;top:953;width:12;height:2" coordorigin="8538,953" coordsize="12,2">
              <v:shape style="position:absolute;left:8538;top:953;width:12;height:2" coordorigin="8538,953" coordsize="12,0" path="m8538,953l8550,953e" filled="false" stroked="true" strokeweight=".6pt" strokecolor="#000008">
                <v:path arrowok="t"/>
              </v:shape>
            </v:group>
            <v:group style="position:absolute;left:8557;top:953;width:12;height:2" coordorigin="8557,953" coordsize="12,2">
              <v:shape style="position:absolute;left:8557;top:953;width:12;height:2" coordorigin="8557,953" coordsize="12,0" path="m8557,953l8569,953e" filled="false" stroked="true" strokeweight=".6pt" strokecolor="#000008">
                <v:path arrowok="t"/>
              </v:shape>
            </v:group>
            <v:group style="position:absolute;left:8576;top:953;width:12;height:2" coordorigin="8576,953" coordsize="12,2">
              <v:shape style="position:absolute;left:8576;top:953;width:12;height:2" coordorigin="8576,953" coordsize="12,0" path="m8576,953l8588,953e" filled="false" stroked="true" strokeweight=".6pt" strokecolor="#000008">
                <v:path arrowok="t"/>
              </v:shape>
            </v:group>
            <v:group style="position:absolute;left:8596;top:953;width:12;height:2" coordorigin="8596,953" coordsize="12,2">
              <v:shape style="position:absolute;left:8596;top:953;width:12;height:2" coordorigin="8596,953" coordsize="12,0" path="m8596,953l8608,953e" filled="false" stroked="true" strokeweight=".6pt" strokecolor="#000008">
                <v:path arrowok="t"/>
              </v:shape>
            </v:group>
            <v:group style="position:absolute;left:8615;top:953;width:12;height:2" coordorigin="8615,953" coordsize="12,2">
              <v:shape style="position:absolute;left:8615;top:953;width:12;height:2" coordorigin="8615,953" coordsize="12,0" path="m8615,953l8627,953e" filled="false" stroked="true" strokeweight=".6pt" strokecolor="#000008">
                <v:path arrowok="t"/>
              </v:shape>
            </v:group>
            <w10:wrap type="none"/>
          </v:group>
        </w:pict>
      </w:r>
      <w:r>
        <w:rPr/>
        <w:pict>
          <v:group style="position:absolute;margin-left:449.399994pt;margin-top:47.359673pt;width:72.25pt;height:.6pt;mso-position-horizontal-relative:page;mso-position-vertical-relative:paragraph;z-index:3376" coordorigin="8988,947" coordsize="1445,12">
            <v:group style="position:absolute;left:8994;top:953;width:12;height:2" coordorigin="8994,953" coordsize="12,2">
              <v:shape style="position:absolute;left:8994;top:953;width:12;height:2" coordorigin="8994,953" coordsize="12,0" path="m8994,953l9006,953e" filled="false" stroked="true" strokeweight=".6pt" strokecolor="#000008">
                <v:path arrowok="t"/>
              </v:shape>
            </v:group>
            <v:group style="position:absolute;left:9013;top:953;width:12;height:2" coordorigin="9013,953" coordsize="12,2">
              <v:shape style="position:absolute;left:9013;top:953;width:12;height:2" coordorigin="9013,953" coordsize="12,0" path="m9013,953l9025,953e" filled="false" stroked="true" strokeweight=".6pt" strokecolor="#000008">
                <v:path arrowok="t"/>
              </v:shape>
            </v:group>
            <v:group style="position:absolute;left:9032;top:953;width:12;height:2" coordorigin="9032,953" coordsize="12,2">
              <v:shape style="position:absolute;left:9032;top:953;width:12;height:2" coordorigin="9032,953" coordsize="12,0" path="m9032,953l9044,953e" filled="false" stroked="true" strokeweight=".6pt" strokecolor="#000008">
                <v:path arrowok="t"/>
              </v:shape>
            </v:group>
            <v:group style="position:absolute;left:9052;top:953;width:12;height:2" coordorigin="9052,953" coordsize="12,2">
              <v:shape style="position:absolute;left:9052;top:953;width:12;height:2" coordorigin="9052,953" coordsize="12,0" path="m9052,953l9064,953e" filled="false" stroked="true" strokeweight=".6pt" strokecolor="#000008">
                <v:path arrowok="t"/>
              </v:shape>
            </v:group>
            <v:group style="position:absolute;left:9071;top:953;width:12;height:2" coordorigin="9071,953" coordsize="12,2">
              <v:shape style="position:absolute;left:9071;top:953;width:12;height:2" coordorigin="9071,953" coordsize="12,0" path="m9071,953l9083,953e" filled="false" stroked="true" strokeweight=".6pt" strokecolor="#000008">
                <v:path arrowok="t"/>
              </v:shape>
            </v:group>
            <v:group style="position:absolute;left:9090;top:953;width:12;height:2" coordorigin="9090,953" coordsize="12,2">
              <v:shape style="position:absolute;left:9090;top:953;width:12;height:2" coordorigin="9090,953" coordsize="12,0" path="m9090,953l9102,953e" filled="false" stroked="true" strokeweight=".6pt" strokecolor="#000008">
                <v:path arrowok="t"/>
              </v:shape>
            </v:group>
            <v:group style="position:absolute;left:9109;top:953;width:12;height:2" coordorigin="9109,953" coordsize="12,2">
              <v:shape style="position:absolute;left:9109;top:953;width:12;height:2" coordorigin="9109,953" coordsize="12,0" path="m9109,953l9121,953e" filled="false" stroked="true" strokeweight=".6pt" strokecolor="#000008">
                <v:path arrowok="t"/>
              </v:shape>
            </v:group>
            <v:group style="position:absolute;left:9128;top:953;width:12;height:2" coordorigin="9128,953" coordsize="12,2">
              <v:shape style="position:absolute;left:9128;top:953;width:12;height:2" coordorigin="9128,953" coordsize="12,0" path="m9128,953l9140,953e" filled="false" stroked="true" strokeweight=".6pt" strokecolor="#000008">
                <v:path arrowok="t"/>
              </v:shape>
            </v:group>
            <v:group style="position:absolute;left:9148;top:953;width:12;height:2" coordorigin="9148,953" coordsize="12,2">
              <v:shape style="position:absolute;left:9148;top:953;width:12;height:2" coordorigin="9148,953" coordsize="12,0" path="m9148,953l9160,953e" filled="false" stroked="true" strokeweight=".6pt" strokecolor="#000008">
                <v:path arrowok="t"/>
              </v:shape>
            </v:group>
            <v:group style="position:absolute;left:9167;top:953;width:12;height:2" coordorigin="9167,953" coordsize="12,2">
              <v:shape style="position:absolute;left:9167;top:953;width:12;height:2" coordorigin="9167,953" coordsize="12,0" path="m9167,953l9179,953e" filled="false" stroked="true" strokeweight=".6pt" strokecolor="#000008">
                <v:path arrowok="t"/>
              </v:shape>
            </v:group>
            <v:group style="position:absolute;left:9186;top:953;width:12;height:2" coordorigin="9186,953" coordsize="12,2">
              <v:shape style="position:absolute;left:9186;top:953;width:12;height:2" coordorigin="9186,953" coordsize="12,0" path="m9186,953l9198,953e" filled="false" stroked="true" strokeweight=".6pt" strokecolor="#000008">
                <v:path arrowok="t"/>
              </v:shape>
            </v:group>
            <v:group style="position:absolute;left:9205;top:953;width:12;height:2" coordorigin="9205,953" coordsize="12,2">
              <v:shape style="position:absolute;left:9205;top:953;width:12;height:2" coordorigin="9205,953" coordsize="12,0" path="m9205,953l9217,953e" filled="false" stroked="true" strokeweight=".6pt" strokecolor="#000008">
                <v:path arrowok="t"/>
              </v:shape>
            </v:group>
            <v:group style="position:absolute;left:9224;top:953;width:12;height:2" coordorigin="9224,953" coordsize="12,2">
              <v:shape style="position:absolute;left:9224;top:953;width:12;height:2" coordorigin="9224,953" coordsize="12,0" path="m9224,953l9236,953e" filled="false" stroked="true" strokeweight=".6pt" strokecolor="#000008">
                <v:path arrowok="t"/>
              </v:shape>
            </v:group>
            <v:group style="position:absolute;left:9244;top:953;width:12;height:2" coordorigin="9244,953" coordsize="12,2">
              <v:shape style="position:absolute;left:9244;top:953;width:12;height:2" coordorigin="9244,953" coordsize="12,0" path="m9244,953l9256,953e" filled="false" stroked="true" strokeweight=".6pt" strokecolor="#000008">
                <v:path arrowok="t"/>
              </v:shape>
            </v:group>
            <v:group style="position:absolute;left:9263;top:953;width:12;height:2" coordorigin="9263,953" coordsize="12,2">
              <v:shape style="position:absolute;left:9263;top:953;width:12;height:2" coordorigin="9263,953" coordsize="12,0" path="m9263,953l9275,953e" filled="false" stroked="true" strokeweight=".6pt" strokecolor="#000008">
                <v:path arrowok="t"/>
              </v:shape>
            </v:group>
            <v:group style="position:absolute;left:9282;top:953;width:12;height:2" coordorigin="9282,953" coordsize="12,2">
              <v:shape style="position:absolute;left:9282;top:953;width:12;height:2" coordorigin="9282,953" coordsize="12,0" path="m9282,953l9294,953e" filled="false" stroked="true" strokeweight=".6pt" strokecolor="#000008">
                <v:path arrowok="t"/>
              </v:shape>
            </v:group>
            <v:group style="position:absolute;left:9301;top:953;width:12;height:2" coordorigin="9301,953" coordsize="12,2">
              <v:shape style="position:absolute;left:9301;top:953;width:12;height:2" coordorigin="9301,953" coordsize="12,0" path="m9301,953l9313,953e" filled="false" stroked="true" strokeweight=".6pt" strokecolor="#000008">
                <v:path arrowok="t"/>
              </v:shape>
            </v:group>
            <v:group style="position:absolute;left:9320;top:953;width:12;height:2" coordorigin="9320,953" coordsize="12,2">
              <v:shape style="position:absolute;left:9320;top:953;width:12;height:2" coordorigin="9320,953" coordsize="12,0" path="m9320,953l9332,953e" filled="false" stroked="true" strokeweight=".6pt" strokecolor="#000008">
                <v:path arrowok="t"/>
              </v:shape>
            </v:group>
            <v:group style="position:absolute;left:9340;top:953;width:12;height:2" coordorigin="9340,953" coordsize="12,2">
              <v:shape style="position:absolute;left:9340;top:953;width:12;height:2" coordorigin="9340,953" coordsize="12,0" path="m9340,953l9352,953e" filled="false" stroked="true" strokeweight=".6pt" strokecolor="#000008">
                <v:path arrowok="t"/>
              </v:shape>
            </v:group>
            <v:group style="position:absolute;left:9359;top:953;width:12;height:2" coordorigin="9359,953" coordsize="12,2">
              <v:shape style="position:absolute;left:9359;top:953;width:12;height:2" coordorigin="9359,953" coordsize="12,0" path="m9359,953l9371,953e" filled="false" stroked="true" strokeweight=".6pt" strokecolor="#000008">
                <v:path arrowok="t"/>
              </v:shape>
            </v:group>
            <v:group style="position:absolute;left:9378;top:953;width:12;height:2" coordorigin="9378,953" coordsize="12,2">
              <v:shape style="position:absolute;left:9378;top:953;width:12;height:2" coordorigin="9378,953" coordsize="12,0" path="m9378,953l9390,953e" filled="false" stroked="true" strokeweight=".6pt" strokecolor="#000008">
                <v:path arrowok="t"/>
              </v:shape>
            </v:group>
            <v:group style="position:absolute;left:9397;top:953;width:12;height:2" coordorigin="9397,953" coordsize="12,2">
              <v:shape style="position:absolute;left:9397;top:953;width:12;height:2" coordorigin="9397,953" coordsize="12,0" path="m9397,953l9409,953e" filled="false" stroked="true" strokeweight=".6pt" strokecolor="#000008">
                <v:path arrowok="t"/>
              </v:shape>
            </v:group>
            <v:group style="position:absolute;left:9416;top:953;width:12;height:2" coordorigin="9416,953" coordsize="12,2">
              <v:shape style="position:absolute;left:9416;top:953;width:12;height:2" coordorigin="9416,953" coordsize="12,0" path="m9416,953l9428,953e" filled="false" stroked="true" strokeweight=".6pt" strokecolor="#000008">
                <v:path arrowok="t"/>
              </v:shape>
            </v:group>
            <v:group style="position:absolute;left:9436;top:953;width:12;height:2" coordorigin="9436,953" coordsize="12,2">
              <v:shape style="position:absolute;left:9436;top:953;width:12;height:2" coordorigin="9436,953" coordsize="12,0" path="m9436,953l9448,953e" filled="false" stroked="true" strokeweight=".6pt" strokecolor="#000008">
                <v:path arrowok="t"/>
              </v:shape>
            </v:group>
            <v:group style="position:absolute;left:9455;top:953;width:12;height:2" coordorigin="9455,953" coordsize="12,2">
              <v:shape style="position:absolute;left:9455;top:953;width:12;height:2" coordorigin="9455,953" coordsize="12,0" path="m9455,953l9467,953e" filled="false" stroked="true" strokeweight=".6pt" strokecolor="#000008">
                <v:path arrowok="t"/>
              </v:shape>
            </v:group>
            <v:group style="position:absolute;left:9474;top:953;width:12;height:2" coordorigin="9474,953" coordsize="12,2">
              <v:shape style="position:absolute;left:9474;top:953;width:12;height:2" coordorigin="9474,953" coordsize="12,0" path="m9474,953l9486,953e" filled="false" stroked="true" strokeweight=".6pt" strokecolor="#000008">
                <v:path arrowok="t"/>
              </v:shape>
            </v:group>
            <v:group style="position:absolute;left:9493;top:953;width:12;height:2" coordorigin="9493,953" coordsize="12,2">
              <v:shape style="position:absolute;left:9493;top:953;width:12;height:2" coordorigin="9493,953" coordsize="12,0" path="m9493,953l9505,953e" filled="false" stroked="true" strokeweight=".6pt" strokecolor="#000008">
                <v:path arrowok="t"/>
              </v:shape>
            </v:group>
            <v:group style="position:absolute;left:9512;top:953;width:12;height:2" coordorigin="9512,953" coordsize="12,2">
              <v:shape style="position:absolute;left:9512;top:953;width:12;height:2" coordorigin="9512,953" coordsize="12,0" path="m9512,953l9524,953e" filled="false" stroked="true" strokeweight=".6pt" strokecolor="#000008">
                <v:path arrowok="t"/>
              </v:shape>
            </v:group>
            <v:group style="position:absolute;left:9532;top:953;width:12;height:2" coordorigin="9532,953" coordsize="12,2">
              <v:shape style="position:absolute;left:9532;top:953;width:12;height:2" coordorigin="9532,953" coordsize="12,0" path="m9532,953l9544,953e" filled="false" stroked="true" strokeweight=".6pt" strokecolor="#000008">
                <v:path arrowok="t"/>
              </v:shape>
            </v:group>
            <v:group style="position:absolute;left:9551;top:953;width:12;height:2" coordorigin="9551,953" coordsize="12,2">
              <v:shape style="position:absolute;left:9551;top:953;width:12;height:2" coordorigin="9551,953" coordsize="12,0" path="m9551,953l9563,953e" filled="false" stroked="true" strokeweight=".6pt" strokecolor="#000008">
                <v:path arrowok="t"/>
              </v:shape>
            </v:group>
            <v:group style="position:absolute;left:9570;top:953;width:12;height:2" coordorigin="9570,953" coordsize="12,2">
              <v:shape style="position:absolute;left:9570;top:953;width:12;height:2" coordorigin="9570,953" coordsize="12,0" path="m9570,953l9582,953e" filled="false" stroked="true" strokeweight=".6pt" strokecolor="#000008">
                <v:path arrowok="t"/>
              </v:shape>
            </v:group>
            <v:group style="position:absolute;left:9589;top:953;width:12;height:2" coordorigin="9589,953" coordsize="12,2">
              <v:shape style="position:absolute;left:9589;top:953;width:12;height:2" coordorigin="9589,953" coordsize="12,0" path="m9589,953l9601,953e" filled="false" stroked="true" strokeweight=".6pt" strokecolor="#000008">
                <v:path arrowok="t"/>
              </v:shape>
            </v:group>
            <v:group style="position:absolute;left:9608;top:953;width:12;height:2" coordorigin="9608,953" coordsize="12,2">
              <v:shape style="position:absolute;left:9608;top:953;width:12;height:2" coordorigin="9608,953" coordsize="12,0" path="m9608,953l9620,953e" filled="false" stroked="true" strokeweight=".6pt" strokecolor="#000008">
                <v:path arrowok="t"/>
              </v:shape>
            </v:group>
            <v:group style="position:absolute;left:9628;top:953;width:12;height:2" coordorigin="9628,953" coordsize="12,2">
              <v:shape style="position:absolute;left:9628;top:953;width:12;height:2" coordorigin="9628,953" coordsize="12,0" path="m9628,953l9640,953e" filled="false" stroked="true" strokeweight=".6pt" strokecolor="#000008">
                <v:path arrowok="t"/>
              </v:shape>
            </v:group>
            <v:group style="position:absolute;left:9647;top:953;width:12;height:2" coordorigin="9647,953" coordsize="12,2">
              <v:shape style="position:absolute;left:9647;top:953;width:12;height:2" coordorigin="9647,953" coordsize="12,0" path="m9647,953l9659,953e" filled="false" stroked="true" strokeweight=".6pt" strokecolor="#000008">
                <v:path arrowok="t"/>
              </v:shape>
            </v:group>
            <v:group style="position:absolute;left:9666;top:953;width:12;height:2" coordorigin="9666,953" coordsize="12,2">
              <v:shape style="position:absolute;left:9666;top:953;width:12;height:2" coordorigin="9666,953" coordsize="12,0" path="m9666,953l9678,953e" filled="false" stroked="true" strokeweight=".6pt" strokecolor="#000008">
                <v:path arrowok="t"/>
              </v:shape>
            </v:group>
            <v:group style="position:absolute;left:9685;top:953;width:12;height:2" coordorigin="9685,953" coordsize="12,2">
              <v:shape style="position:absolute;left:9685;top:953;width:12;height:2" coordorigin="9685,953" coordsize="12,0" path="m9685,953l9697,953e" filled="false" stroked="true" strokeweight=".6pt" strokecolor="#000008">
                <v:path arrowok="t"/>
              </v:shape>
            </v:group>
            <v:group style="position:absolute;left:9704;top:953;width:12;height:2" coordorigin="9704,953" coordsize="12,2">
              <v:shape style="position:absolute;left:9704;top:953;width:12;height:2" coordorigin="9704,953" coordsize="12,0" path="m9704,953l9716,953e" filled="false" stroked="true" strokeweight=".6pt" strokecolor="#000008">
                <v:path arrowok="t"/>
              </v:shape>
            </v:group>
            <v:group style="position:absolute;left:9724;top:953;width:12;height:2" coordorigin="9724,953" coordsize="12,2">
              <v:shape style="position:absolute;left:9724;top:953;width:12;height:2" coordorigin="9724,953" coordsize="12,0" path="m9724,953l9736,953e" filled="false" stroked="true" strokeweight=".6pt" strokecolor="#000008">
                <v:path arrowok="t"/>
              </v:shape>
            </v:group>
            <v:group style="position:absolute;left:9743;top:953;width:12;height:2" coordorigin="9743,953" coordsize="12,2">
              <v:shape style="position:absolute;left:9743;top:953;width:12;height:2" coordorigin="9743,953" coordsize="12,0" path="m9743,953l9755,953e" filled="false" stroked="true" strokeweight=".6pt" strokecolor="#000008">
                <v:path arrowok="t"/>
              </v:shape>
            </v:group>
            <v:group style="position:absolute;left:9762;top:953;width:12;height:2" coordorigin="9762,953" coordsize="12,2">
              <v:shape style="position:absolute;left:9762;top:953;width:12;height:2" coordorigin="9762,953" coordsize="12,0" path="m9762,953l9774,953e" filled="false" stroked="true" strokeweight=".6pt" strokecolor="#000008">
                <v:path arrowok="t"/>
              </v:shape>
            </v:group>
            <v:group style="position:absolute;left:9781;top:953;width:12;height:2" coordorigin="9781,953" coordsize="12,2">
              <v:shape style="position:absolute;left:9781;top:953;width:12;height:2" coordorigin="9781,953" coordsize="12,0" path="m9781,953l9793,953e" filled="false" stroked="true" strokeweight=".6pt" strokecolor="#000008">
                <v:path arrowok="t"/>
              </v:shape>
            </v:group>
            <v:group style="position:absolute;left:9800;top:953;width:12;height:2" coordorigin="9800,953" coordsize="12,2">
              <v:shape style="position:absolute;left:9800;top:953;width:12;height:2" coordorigin="9800,953" coordsize="12,0" path="m9800,953l9812,953e" filled="false" stroked="true" strokeweight=".6pt" strokecolor="#000008">
                <v:path arrowok="t"/>
              </v:shape>
            </v:group>
            <v:group style="position:absolute;left:9820;top:953;width:12;height:2" coordorigin="9820,953" coordsize="12,2">
              <v:shape style="position:absolute;left:9820;top:953;width:12;height:2" coordorigin="9820,953" coordsize="12,0" path="m9820,953l9832,953e" filled="false" stroked="true" strokeweight=".6pt" strokecolor="#000008">
                <v:path arrowok="t"/>
              </v:shape>
            </v:group>
            <v:group style="position:absolute;left:9839;top:953;width:12;height:2" coordorigin="9839,953" coordsize="12,2">
              <v:shape style="position:absolute;left:9839;top:953;width:12;height:2" coordorigin="9839,953" coordsize="12,0" path="m9839,953l9851,953e" filled="false" stroked="true" strokeweight=".6pt" strokecolor="#000008">
                <v:path arrowok="t"/>
              </v:shape>
            </v:group>
            <v:group style="position:absolute;left:9858;top:953;width:12;height:2" coordorigin="9858,953" coordsize="12,2">
              <v:shape style="position:absolute;left:9858;top:953;width:12;height:2" coordorigin="9858,953" coordsize="12,0" path="m9858,953l9870,953e" filled="false" stroked="true" strokeweight=".6pt" strokecolor="#000008">
                <v:path arrowok="t"/>
              </v:shape>
            </v:group>
            <v:group style="position:absolute;left:9877;top:953;width:12;height:2" coordorigin="9877,953" coordsize="12,2">
              <v:shape style="position:absolute;left:9877;top:953;width:12;height:2" coordorigin="9877,953" coordsize="12,0" path="m9877,953l9889,953e" filled="false" stroked="true" strokeweight=".6pt" strokecolor="#000008">
                <v:path arrowok="t"/>
              </v:shape>
            </v:group>
            <v:group style="position:absolute;left:9896;top:953;width:12;height:2" coordorigin="9896,953" coordsize="12,2">
              <v:shape style="position:absolute;left:9896;top:953;width:12;height:2" coordorigin="9896,953" coordsize="12,0" path="m9896,953l9908,953e" filled="false" stroked="true" strokeweight=".6pt" strokecolor="#000008">
                <v:path arrowok="t"/>
              </v:shape>
            </v:group>
            <v:group style="position:absolute;left:9916;top:953;width:12;height:2" coordorigin="9916,953" coordsize="12,2">
              <v:shape style="position:absolute;left:9916;top:953;width:12;height:2" coordorigin="9916,953" coordsize="12,0" path="m9916,953l9928,953e" filled="false" stroked="true" strokeweight=".6pt" strokecolor="#000008">
                <v:path arrowok="t"/>
              </v:shape>
            </v:group>
            <v:group style="position:absolute;left:9935;top:953;width:12;height:2" coordorigin="9935,953" coordsize="12,2">
              <v:shape style="position:absolute;left:9935;top:953;width:12;height:2" coordorigin="9935,953" coordsize="12,0" path="m9935,953l9947,953e" filled="false" stroked="true" strokeweight=".6pt" strokecolor="#000008">
                <v:path arrowok="t"/>
              </v:shape>
            </v:group>
            <v:group style="position:absolute;left:9954;top:953;width:12;height:2" coordorigin="9954,953" coordsize="12,2">
              <v:shape style="position:absolute;left:9954;top:953;width:12;height:2" coordorigin="9954,953" coordsize="12,0" path="m9954,953l9966,953e" filled="false" stroked="true" strokeweight=".6pt" strokecolor="#000008">
                <v:path arrowok="t"/>
              </v:shape>
            </v:group>
            <v:group style="position:absolute;left:9973;top:953;width:12;height:2" coordorigin="9973,953" coordsize="12,2">
              <v:shape style="position:absolute;left:9973;top:953;width:12;height:2" coordorigin="9973,953" coordsize="12,0" path="m9973,953l9985,953e" filled="false" stroked="true" strokeweight=".6pt" strokecolor="#000008">
                <v:path arrowok="t"/>
              </v:shape>
            </v:group>
            <v:group style="position:absolute;left:9992;top:953;width:12;height:2" coordorigin="9992,953" coordsize="12,2">
              <v:shape style="position:absolute;left:9992;top:953;width:12;height:2" coordorigin="9992,953" coordsize="12,0" path="m9992,953l10004,953e" filled="false" stroked="true" strokeweight=".6pt" strokecolor="#000008">
                <v:path arrowok="t"/>
              </v:shape>
            </v:group>
            <v:group style="position:absolute;left:10012;top:953;width:12;height:2" coordorigin="10012,953" coordsize="12,2">
              <v:shape style="position:absolute;left:10012;top:953;width:12;height:2" coordorigin="10012,953" coordsize="12,0" path="m10012,953l10024,953e" filled="false" stroked="true" strokeweight=".6pt" strokecolor="#000008">
                <v:path arrowok="t"/>
              </v:shape>
            </v:group>
            <v:group style="position:absolute;left:10031;top:953;width:12;height:2" coordorigin="10031,953" coordsize="12,2">
              <v:shape style="position:absolute;left:10031;top:953;width:12;height:2" coordorigin="10031,953" coordsize="12,0" path="m10031,953l10043,953e" filled="false" stroked="true" strokeweight=".6pt" strokecolor="#000008">
                <v:path arrowok="t"/>
              </v:shape>
            </v:group>
            <v:group style="position:absolute;left:10050;top:953;width:12;height:2" coordorigin="10050,953" coordsize="12,2">
              <v:shape style="position:absolute;left:10050;top:953;width:12;height:2" coordorigin="10050,953" coordsize="12,0" path="m10050,953l10062,953e" filled="false" stroked="true" strokeweight=".6pt" strokecolor="#000008">
                <v:path arrowok="t"/>
              </v:shape>
            </v:group>
            <v:group style="position:absolute;left:10069;top:953;width:12;height:2" coordorigin="10069,953" coordsize="12,2">
              <v:shape style="position:absolute;left:10069;top:953;width:12;height:2" coordorigin="10069,953" coordsize="12,0" path="m10069,953l10081,953e" filled="false" stroked="true" strokeweight=".6pt" strokecolor="#000008">
                <v:path arrowok="t"/>
              </v:shape>
            </v:group>
            <v:group style="position:absolute;left:10088;top:953;width:12;height:2" coordorigin="10088,953" coordsize="12,2">
              <v:shape style="position:absolute;left:10088;top:953;width:12;height:2" coordorigin="10088,953" coordsize="12,0" path="m10088,953l10100,953e" filled="false" stroked="true" strokeweight=".6pt" strokecolor="#000008">
                <v:path arrowok="t"/>
              </v:shape>
            </v:group>
            <v:group style="position:absolute;left:10108;top:953;width:12;height:2" coordorigin="10108,953" coordsize="12,2">
              <v:shape style="position:absolute;left:10108;top:953;width:12;height:2" coordorigin="10108,953" coordsize="12,0" path="m10108,953l10120,953e" filled="false" stroked="true" strokeweight=".6pt" strokecolor="#000008">
                <v:path arrowok="t"/>
              </v:shape>
            </v:group>
            <v:group style="position:absolute;left:10127;top:953;width:12;height:2" coordorigin="10127,953" coordsize="12,2">
              <v:shape style="position:absolute;left:10127;top:953;width:12;height:2" coordorigin="10127,953" coordsize="12,0" path="m10127,953l10139,953e" filled="false" stroked="true" strokeweight=".6pt" strokecolor="#000008">
                <v:path arrowok="t"/>
              </v:shape>
            </v:group>
            <v:group style="position:absolute;left:10146;top:953;width:12;height:2" coordorigin="10146,953" coordsize="12,2">
              <v:shape style="position:absolute;left:10146;top:953;width:12;height:2" coordorigin="10146,953" coordsize="12,0" path="m10146,953l10158,953e" filled="false" stroked="true" strokeweight=".6pt" strokecolor="#000008">
                <v:path arrowok="t"/>
              </v:shape>
            </v:group>
            <v:group style="position:absolute;left:10165;top:953;width:12;height:2" coordorigin="10165,953" coordsize="12,2">
              <v:shape style="position:absolute;left:10165;top:953;width:12;height:2" coordorigin="10165,953" coordsize="12,0" path="m10165,953l10177,953e" filled="false" stroked="true" strokeweight=".6pt" strokecolor="#000008">
                <v:path arrowok="t"/>
              </v:shape>
            </v:group>
            <v:group style="position:absolute;left:10184;top:953;width:12;height:2" coordorigin="10184,953" coordsize="12,2">
              <v:shape style="position:absolute;left:10184;top:953;width:12;height:2" coordorigin="10184,953" coordsize="12,0" path="m10184,953l10196,953e" filled="false" stroked="true" strokeweight=".6pt" strokecolor="#000008">
                <v:path arrowok="t"/>
              </v:shape>
            </v:group>
            <v:group style="position:absolute;left:10204;top:953;width:12;height:2" coordorigin="10204,953" coordsize="12,2">
              <v:shape style="position:absolute;left:10204;top:953;width:12;height:2" coordorigin="10204,953" coordsize="12,0" path="m10204,953l10216,953e" filled="false" stroked="true" strokeweight=".6pt" strokecolor="#000008">
                <v:path arrowok="t"/>
              </v:shape>
            </v:group>
            <v:group style="position:absolute;left:10223;top:953;width:12;height:2" coordorigin="10223,953" coordsize="12,2">
              <v:shape style="position:absolute;left:10223;top:953;width:12;height:2" coordorigin="10223,953" coordsize="12,0" path="m10223,953l10235,953e" filled="false" stroked="true" strokeweight=".6pt" strokecolor="#000008">
                <v:path arrowok="t"/>
              </v:shape>
            </v:group>
            <v:group style="position:absolute;left:10242;top:953;width:12;height:2" coordorigin="10242,953" coordsize="12,2">
              <v:shape style="position:absolute;left:10242;top:953;width:12;height:2" coordorigin="10242,953" coordsize="12,0" path="m10242,953l10254,953e" filled="false" stroked="true" strokeweight=".6pt" strokecolor="#000008">
                <v:path arrowok="t"/>
              </v:shape>
            </v:group>
            <v:group style="position:absolute;left:10261;top:953;width:12;height:2" coordorigin="10261,953" coordsize="12,2">
              <v:shape style="position:absolute;left:10261;top:953;width:12;height:2" coordorigin="10261,953" coordsize="12,0" path="m10261,953l10273,953e" filled="false" stroked="true" strokeweight=".6pt" strokecolor="#000008">
                <v:path arrowok="t"/>
              </v:shape>
            </v:group>
            <v:group style="position:absolute;left:10280;top:953;width:12;height:2" coordorigin="10280,953" coordsize="12,2">
              <v:shape style="position:absolute;left:10280;top:953;width:12;height:2" coordorigin="10280,953" coordsize="12,0" path="m10280,953l10292,953e" filled="false" stroked="true" strokeweight=".6pt" strokecolor="#000008">
                <v:path arrowok="t"/>
              </v:shape>
            </v:group>
            <v:group style="position:absolute;left:10300;top:953;width:12;height:2" coordorigin="10300,953" coordsize="12,2">
              <v:shape style="position:absolute;left:10300;top:953;width:12;height:2" coordorigin="10300,953" coordsize="12,0" path="m10300,953l10312,953e" filled="false" stroked="true" strokeweight=".6pt" strokecolor="#000008">
                <v:path arrowok="t"/>
              </v:shape>
            </v:group>
            <v:group style="position:absolute;left:10319;top:953;width:12;height:2" coordorigin="10319,953" coordsize="12,2">
              <v:shape style="position:absolute;left:10319;top:953;width:12;height:2" coordorigin="10319,953" coordsize="12,0" path="m10319,953l10331,953e" filled="false" stroked="true" strokeweight=".6pt" strokecolor="#000008">
                <v:path arrowok="t"/>
              </v:shape>
            </v:group>
            <v:group style="position:absolute;left:10338;top:953;width:12;height:2" coordorigin="10338,953" coordsize="12,2">
              <v:shape style="position:absolute;left:10338;top:953;width:12;height:2" coordorigin="10338,953" coordsize="12,0" path="m10338,953l10350,953e" filled="false" stroked="true" strokeweight=".6pt" strokecolor="#000008">
                <v:path arrowok="t"/>
              </v:shape>
            </v:group>
            <v:group style="position:absolute;left:10357;top:953;width:12;height:2" coordorigin="10357,953" coordsize="12,2">
              <v:shape style="position:absolute;left:10357;top:953;width:12;height:2" coordorigin="10357,953" coordsize="12,0" path="m10357,953l10369,953e" filled="false" stroked="true" strokeweight=".6pt" strokecolor="#000008">
                <v:path arrowok="t"/>
              </v:shape>
            </v:group>
            <v:group style="position:absolute;left:10376;top:953;width:12;height:2" coordorigin="10376,953" coordsize="12,2">
              <v:shape style="position:absolute;left:10376;top:953;width:12;height:2" coordorigin="10376,953" coordsize="12,0" path="m10376,953l10388,953e" filled="false" stroked="true" strokeweight=".6pt" strokecolor="#000008">
                <v:path arrowok="t"/>
              </v:shape>
            </v:group>
            <v:group style="position:absolute;left:10396;top:953;width:12;height:2" coordorigin="10396,953" coordsize="12,2">
              <v:shape style="position:absolute;left:10396;top:953;width:12;height:2" coordorigin="10396,953" coordsize="12,0" path="m10396,953l10408,953e" filled="false" stroked="true" strokeweight=".6pt" strokecolor="#000008">
                <v:path arrowok="t"/>
              </v:shape>
            </v:group>
            <v:group style="position:absolute;left:10415;top:953;width:12;height:2" coordorigin="10415,953" coordsize="12,2">
              <v:shape style="position:absolute;left:10415;top:953;width:12;height:2" coordorigin="10415,953" coordsize="12,0" path="m10415,953l10427,953e" filled="false" stroked="true" strokeweight=".6pt" strokecolor="#000008">
                <v:path arrowok="t"/>
              </v:shape>
            </v:group>
            <w10:wrap type="none"/>
          </v:group>
        </w:pict>
      </w:r>
      <w:r>
        <w:rPr>
          <w:rFonts w:ascii="宋体" w:hAnsi="宋体" w:cs="宋体" w:eastAsia="宋体" w:hint="default"/>
          <w:w w:val="95"/>
          <w:sz w:val="20"/>
          <w:szCs w:val="20"/>
        </w:rPr>
        <w:t>处置子公司及其他营业单位收到的现金净额</w:t>
      </w:r>
      <w:r>
        <w:rPr>
          <w:rFonts w:ascii="宋体" w:hAnsi="宋体" w:cs="宋体" w:eastAsia="宋体" w:hint="default"/>
          <w:spacing w:val="79"/>
          <w:w w:val="95"/>
          <w:sz w:val="20"/>
          <w:szCs w:val="20"/>
        </w:rPr>
        <w:t> </w:t>
      </w:r>
      <w:r>
        <w:rPr>
          <w:rFonts w:ascii="宋体" w:hAnsi="宋体" w:cs="宋体" w:eastAsia="宋体" w:hint="default"/>
          <w:sz w:val="20"/>
          <w:szCs w:val="20"/>
        </w:rPr>
        <w:t>收到其他与投资活动有关的现金</w:t>
      </w:r>
    </w:p>
    <w:p>
      <w:pPr>
        <w:spacing w:line="297" w:lineRule="auto" w:before="0"/>
        <w:ind w:left="516" w:right="4451" w:firstLine="775"/>
        <w:jc w:val="left"/>
        <w:rPr>
          <w:rFonts w:ascii="宋体" w:hAnsi="宋体" w:cs="宋体" w:eastAsia="宋体"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b/>
          <w:bCs/>
          <w:w w:val="99"/>
          <w:sz w:val="20"/>
          <w:szCs w:val="20"/>
        </w:rPr>
        <w:t> </w:t>
      </w:r>
      <w:r>
        <w:rPr>
          <w:rFonts w:ascii="宋体" w:hAnsi="宋体" w:cs="宋体" w:eastAsia="宋体" w:hint="default"/>
          <w:spacing w:val="-3"/>
          <w:sz w:val="20"/>
          <w:szCs w:val="20"/>
        </w:rPr>
        <w:t>购建固定资产、无形资产和其他长期资产所支</w:t>
      </w:r>
    </w:p>
    <w:p>
      <w:pPr>
        <w:spacing w:line="211" w:lineRule="exact" w:before="0"/>
        <w:ind w:left="317" w:right="149" w:firstLine="0"/>
        <w:jc w:val="left"/>
        <w:rPr>
          <w:rFonts w:ascii="宋体" w:hAnsi="宋体" w:cs="宋体" w:eastAsia="宋体" w:hint="default"/>
          <w:sz w:val="20"/>
          <w:szCs w:val="20"/>
        </w:rPr>
      </w:pPr>
      <w:r>
        <w:rPr>
          <w:rFonts w:ascii="宋体" w:hAnsi="宋体" w:cs="宋体" w:eastAsia="宋体" w:hint="default"/>
          <w:sz w:val="20"/>
          <w:szCs w:val="20"/>
        </w:rPr>
        <w:t>付的现金</w:t>
      </w:r>
    </w:p>
    <w:p>
      <w:pPr>
        <w:spacing w:line="422" w:lineRule="auto" w:before="98"/>
        <w:ind w:left="516" w:right="4451" w:firstLine="0"/>
        <w:jc w:val="left"/>
        <w:rPr>
          <w:rFonts w:ascii="宋体" w:hAnsi="宋体" w:cs="宋体" w:eastAsia="宋体" w:hint="default"/>
          <w:sz w:val="20"/>
          <w:szCs w:val="20"/>
        </w:rPr>
      </w:pPr>
      <w:r>
        <w:rPr/>
        <w:pict>
          <v:group style="position:absolute;margin-left:359.399994pt;margin-top:70.399673pt;width:72.25pt;height:.6pt;mso-position-horizontal-relative:page;mso-position-vertical-relative:paragraph;z-index:3400" coordorigin="7188,1408" coordsize="1445,12">
            <v:group style="position:absolute;left:7194;top:1414;width:12;height:2" coordorigin="7194,1414" coordsize="12,2">
              <v:shape style="position:absolute;left:7194;top:1414;width:12;height:2" coordorigin="7194,1414" coordsize="12,0" path="m7194,1414l7206,1414e" filled="false" stroked="true" strokeweight=".6pt" strokecolor="#000008">
                <v:path arrowok="t"/>
              </v:shape>
            </v:group>
            <v:group style="position:absolute;left:7213;top:1414;width:12;height:2" coordorigin="7213,1414" coordsize="12,2">
              <v:shape style="position:absolute;left:7213;top:1414;width:12;height:2" coordorigin="7213,1414" coordsize="12,0" path="m7213,1414l7225,1414e" filled="false" stroked="true" strokeweight=".6pt" strokecolor="#000008">
                <v:path arrowok="t"/>
              </v:shape>
            </v:group>
            <v:group style="position:absolute;left:7232;top:1414;width:12;height:2" coordorigin="7232,1414" coordsize="12,2">
              <v:shape style="position:absolute;left:7232;top:1414;width:12;height:2" coordorigin="7232,1414" coordsize="12,0" path="m7232,1414l7244,1414e" filled="false" stroked="true" strokeweight=".6pt" strokecolor="#000008">
                <v:path arrowok="t"/>
              </v:shape>
            </v:group>
            <v:group style="position:absolute;left:7252;top:1414;width:12;height:2" coordorigin="7252,1414" coordsize="12,2">
              <v:shape style="position:absolute;left:7252;top:1414;width:12;height:2" coordorigin="7252,1414" coordsize="12,0" path="m7252,1414l7264,1414e" filled="false" stroked="true" strokeweight=".6pt" strokecolor="#000008">
                <v:path arrowok="t"/>
              </v:shape>
            </v:group>
            <v:group style="position:absolute;left:7271;top:1414;width:12;height:2" coordorigin="7271,1414" coordsize="12,2">
              <v:shape style="position:absolute;left:7271;top:1414;width:12;height:2" coordorigin="7271,1414" coordsize="12,0" path="m7271,1414l7283,1414e" filled="false" stroked="true" strokeweight=".6pt" strokecolor="#000008">
                <v:path arrowok="t"/>
              </v:shape>
            </v:group>
            <v:group style="position:absolute;left:7290;top:1414;width:12;height:2" coordorigin="7290,1414" coordsize="12,2">
              <v:shape style="position:absolute;left:7290;top:1414;width:12;height:2" coordorigin="7290,1414" coordsize="12,0" path="m7290,1414l7302,1414e" filled="false" stroked="true" strokeweight=".6pt" strokecolor="#000008">
                <v:path arrowok="t"/>
              </v:shape>
            </v:group>
            <v:group style="position:absolute;left:7309;top:1414;width:12;height:2" coordorigin="7309,1414" coordsize="12,2">
              <v:shape style="position:absolute;left:7309;top:1414;width:12;height:2" coordorigin="7309,1414" coordsize="12,0" path="m7309,1414l7321,1414e" filled="false" stroked="true" strokeweight=".6pt" strokecolor="#000008">
                <v:path arrowok="t"/>
              </v:shape>
            </v:group>
            <v:group style="position:absolute;left:7328;top:1414;width:12;height:2" coordorigin="7328,1414" coordsize="12,2">
              <v:shape style="position:absolute;left:7328;top:1414;width:12;height:2" coordorigin="7328,1414" coordsize="12,0" path="m7328,1414l7340,1414e" filled="false" stroked="true" strokeweight=".6pt" strokecolor="#000008">
                <v:path arrowok="t"/>
              </v:shape>
            </v:group>
            <v:group style="position:absolute;left:7348;top:1414;width:12;height:2" coordorigin="7348,1414" coordsize="12,2">
              <v:shape style="position:absolute;left:7348;top:1414;width:12;height:2" coordorigin="7348,1414" coordsize="12,0" path="m7348,1414l7360,1414e" filled="false" stroked="true" strokeweight=".6pt" strokecolor="#000008">
                <v:path arrowok="t"/>
              </v:shape>
            </v:group>
            <v:group style="position:absolute;left:7367;top:1414;width:12;height:2" coordorigin="7367,1414" coordsize="12,2">
              <v:shape style="position:absolute;left:7367;top:1414;width:12;height:2" coordorigin="7367,1414" coordsize="12,0" path="m7367,1414l7379,1414e" filled="false" stroked="true" strokeweight=".6pt" strokecolor="#000008">
                <v:path arrowok="t"/>
              </v:shape>
            </v:group>
            <v:group style="position:absolute;left:7386;top:1414;width:12;height:2" coordorigin="7386,1414" coordsize="12,2">
              <v:shape style="position:absolute;left:7386;top:1414;width:12;height:2" coordorigin="7386,1414" coordsize="12,0" path="m7386,1414l7398,1414e" filled="false" stroked="true" strokeweight=".6pt" strokecolor="#000008">
                <v:path arrowok="t"/>
              </v:shape>
            </v:group>
            <v:group style="position:absolute;left:7405;top:1414;width:12;height:2" coordorigin="7405,1414" coordsize="12,2">
              <v:shape style="position:absolute;left:7405;top:1414;width:12;height:2" coordorigin="7405,1414" coordsize="12,0" path="m7405,1414l7417,1414e" filled="false" stroked="true" strokeweight=".6pt" strokecolor="#000008">
                <v:path arrowok="t"/>
              </v:shape>
            </v:group>
            <v:group style="position:absolute;left:7424;top:1414;width:12;height:2" coordorigin="7424,1414" coordsize="12,2">
              <v:shape style="position:absolute;left:7424;top:1414;width:12;height:2" coordorigin="7424,1414" coordsize="12,0" path="m7424,1414l7436,1414e" filled="false" stroked="true" strokeweight=".6pt" strokecolor="#000008">
                <v:path arrowok="t"/>
              </v:shape>
            </v:group>
            <v:group style="position:absolute;left:7444;top:1414;width:12;height:2" coordorigin="7444,1414" coordsize="12,2">
              <v:shape style="position:absolute;left:7444;top:1414;width:12;height:2" coordorigin="7444,1414" coordsize="12,0" path="m7444,1414l7456,1414e" filled="false" stroked="true" strokeweight=".6pt" strokecolor="#000008">
                <v:path arrowok="t"/>
              </v:shape>
            </v:group>
            <v:group style="position:absolute;left:7463;top:1414;width:12;height:2" coordorigin="7463,1414" coordsize="12,2">
              <v:shape style="position:absolute;left:7463;top:1414;width:12;height:2" coordorigin="7463,1414" coordsize="12,0" path="m7463,1414l7475,1414e" filled="false" stroked="true" strokeweight=".6pt" strokecolor="#000008">
                <v:path arrowok="t"/>
              </v:shape>
            </v:group>
            <v:group style="position:absolute;left:7482;top:1414;width:12;height:2" coordorigin="7482,1414" coordsize="12,2">
              <v:shape style="position:absolute;left:7482;top:1414;width:12;height:2" coordorigin="7482,1414" coordsize="12,0" path="m7482,1414l7494,1414e" filled="false" stroked="true" strokeweight=".6pt" strokecolor="#000008">
                <v:path arrowok="t"/>
              </v:shape>
            </v:group>
            <v:group style="position:absolute;left:7501;top:1414;width:12;height:2" coordorigin="7501,1414" coordsize="12,2">
              <v:shape style="position:absolute;left:7501;top:1414;width:12;height:2" coordorigin="7501,1414" coordsize="12,0" path="m7501,1414l7513,1414e" filled="false" stroked="true" strokeweight=".6pt" strokecolor="#000008">
                <v:path arrowok="t"/>
              </v:shape>
            </v:group>
            <v:group style="position:absolute;left:7520;top:1414;width:12;height:2" coordorigin="7520,1414" coordsize="12,2">
              <v:shape style="position:absolute;left:7520;top:1414;width:12;height:2" coordorigin="7520,1414" coordsize="12,0" path="m7520,1414l7532,1414e" filled="false" stroked="true" strokeweight=".6pt" strokecolor="#000008">
                <v:path arrowok="t"/>
              </v:shape>
            </v:group>
            <v:group style="position:absolute;left:7540;top:1414;width:12;height:2" coordorigin="7540,1414" coordsize="12,2">
              <v:shape style="position:absolute;left:7540;top:1414;width:12;height:2" coordorigin="7540,1414" coordsize="12,0" path="m7540,1414l7552,1414e" filled="false" stroked="true" strokeweight=".6pt" strokecolor="#000008">
                <v:path arrowok="t"/>
              </v:shape>
            </v:group>
            <v:group style="position:absolute;left:7559;top:1414;width:12;height:2" coordorigin="7559,1414" coordsize="12,2">
              <v:shape style="position:absolute;left:7559;top:1414;width:12;height:2" coordorigin="7559,1414" coordsize="12,0" path="m7559,1414l7571,1414e" filled="false" stroked="true" strokeweight=".6pt" strokecolor="#000008">
                <v:path arrowok="t"/>
              </v:shape>
            </v:group>
            <v:group style="position:absolute;left:7578;top:1414;width:12;height:2" coordorigin="7578,1414" coordsize="12,2">
              <v:shape style="position:absolute;left:7578;top:1414;width:12;height:2" coordorigin="7578,1414" coordsize="12,0" path="m7578,1414l7590,1414e" filled="false" stroked="true" strokeweight=".6pt" strokecolor="#000008">
                <v:path arrowok="t"/>
              </v:shape>
            </v:group>
            <v:group style="position:absolute;left:7597;top:1414;width:12;height:2" coordorigin="7597,1414" coordsize="12,2">
              <v:shape style="position:absolute;left:7597;top:1414;width:12;height:2" coordorigin="7597,1414" coordsize="12,0" path="m7597,1414l7609,1414e" filled="false" stroked="true" strokeweight=".6pt" strokecolor="#000008">
                <v:path arrowok="t"/>
              </v:shape>
            </v:group>
            <v:group style="position:absolute;left:7616;top:1414;width:12;height:2" coordorigin="7616,1414" coordsize="12,2">
              <v:shape style="position:absolute;left:7616;top:1414;width:12;height:2" coordorigin="7616,1414" coordsize="12,0" path="m7616,1414l7628,1414e" filled="false" stroked="true" strokeweight=".6pt" strokecolor="#000008">
                <v:path arrowok="t"/>
              </v:shape>
            </v:group>
            <v:group style="position:absolute;left:7636;top:1414;width:12;height:2" coordorigin="7636,1414" coordsize="12,2">
              <v:shape style="position:absolute;left:7636;top:1414;width:12;height:2" coordorigin="7636,1414" coordsize="12,0" path="m7636,1414l7648,1414e" filled="false" stroked="true" strokeweight=".6pt" strokecolor="#000008">
                <v:path arrowok="t"/>
              </v:shape>
            </v:group>
            <v:group style="position:absolute;left:7655;top:1414;width:12;height:2" coordorigin="7655,1414" coordsize="12,2">
              <v:shape style="position:absolute;left:7655;top:1414;width:12;height:2" coordorigin="7655,1414" coordsize="12,0" path="m7655,1414l7667,1414e" filled="false" stroked="true" strokeweight=".6pt" strokecolor="#000008">
                <v:path arrowok="t"/>
              </v:shape>
            </v:group>
            <v:group style="position:absolute;left:7674;top:1414;width:12;height:2" coordorigin="7674,1414" coordsize="12,2">
              <v:shape style="position:absolute;left:7674;top:1414;width:12;height:2" coordorigin="7674,1414" coordsize="12,0" path="m7674,1414l7686,1414e" filled="false" stroked="true" strokeweight=".6pt" strokecolor="#000008">
                <v:path arrowok="t"/>
              </v:shape>
            </v:group>
            <v:group style="position:absolute;left:7693;top:1414;width:12;height:2" coordorigin="7693,1414" coordsize="12,2">
              <v:shape style="position:absolute;left:7693;top:1414;width:12;height:2" coordorigin="7693,1414" coordsize="12,0" path="m7693,1414l7705,1414e" filled="false" stroked="true" strokeweight=".6pt" strokecolor="#000008">
                <v:path arrowok="t"/>
              </v:shape>
            </v:group>
            <v:group style="position:absolute;left:7712;top:1414;width:12;height:2" coordorigin="7712,1414" coordsize="12,2">
              <v:shape style="position:absolute;left:7712;top:1414;width:12;height:2" coordorigin="7712,1414" coordsize="12,0" path="m7712,1414l7724,1414e" filled="false" stroked="true" strokeweight=".6pt" strokecolor="#000008">
                <v:path arrowok="t"/>
              </v:shape>
            </v:group>
            <v:group style="position:absolute;left:7732;top:1414;width:12;height:2" coordorigin="7732,1414" coordsize="12,2">
              <v:shape style="position:absolute;left:7732;top:1414;width:12;height:2" coordorigin="7732,1414" coordsize="12,0" path="m7732,1414l7744,1414e" filled="false" stroked="true" strokeweight=".6pt" strokecolor="#000008">
                <v:path arrowok="t"/>
              </v:shape>
            </v:group>
            <v:group style="position:absolute;left:7751;top:1414;width:12;height:2" coordorigin="7751,1414" coordsize="12,2">
              <v:shape style="position:absolute;left:7751;top:1414;width:12;height:2" coordorigin="7751,1414" coordsize="12,0" path="m7751,1414l7763,1414e" filled="false" stroked="true" strokeweight=".6pt" strokecolor="#000008">
                <v:path arrowok="t"/>
              </v:shape>
            </v:group>
            <v:group style="position:absolute;left:7770;top:1414;width:12;height:2" coordorigin="7770,1414" coordsize="12,2">
              <v:shape style="position:absolute;left:7770;top:1414;width:12;height:2" coordorigin="7770,1414" coordsize="12,0" path="m7770,1414l7782,1414e" filled="false" stroked="true" strokeweight=".6pt" strokecolor="#000008">
                <v:path arrowok="t"/>
              </v:shape>
            </v:group>
            <v:group style="position:absolute;left:7789;top:1414;width:12;height:2" coordorigin="7789,1414" coordsize="12,2">
              <v:shape style="position:absolute;left:7789;top:1414;width:12;height:2" coordorigin="7789,1414" coordsize="12,0" path="m7789,1414l7801,1414e" filled="false" stroked="true" strokeweight=".6pt" strokecolor="#000008">
                <v:path arrowok="t"/>
              </v:shape>
            </v:group>
            <v:group style="position:absolute;left:7808;top:1414;width:12;height:2" coordorigin="7808,1414" coordsize="12,2">
              <v:shape style="position:absolute;left:7808;top:1414;width:12;height:2" coordorigin="7808,1414" coordsize="12,0" path="m7808,1414l7820,1414e" filled="false" stroked="true" strokeweight=".6pt" strokecolor="#000008">
                <v:path arrowok="t"/>
              </v:shape>
            </v:group>
            <v:group style="position:absolute;left:7828;top:1414;width:12;height:2" coordorigin="7828,1414" coordsize="12,2">
              <v:shape style="position:absolute;left:7828;top:1414;width:12;height:2" coordorigin="7828,1414" coordsize="12,0" path="m7828,1414l7840,1414e" filled="false" stroked="true" strokeweight=".6pt" strokecolor="#000008">
                <v:path arrowok="t"/>
              </v:shape>
            </v:group>
            <v:group style="position:absolute;left:7847;top:1414;width:12;height:2" coordorigin="7847,1414" coordsize="12,2">
              <v:shape style="position:absolute;left:7847;top:1414;width:12;height:2" coordorigin="7847,1414" coordsize="12,0" path="m7847,1414l7859,1414e" filled="false" stroked="true" strokeweight=".6pt" strokecolor="#000008">
                <v:path arrowok="t"/>
              </v:shape>
            </v:group>
            <v:group style="position:absolute;left:7866;top:1414;width:12;height:2" coordorigin="7866,1414" coordsize="12,2">
              <v:shape style="position:absolute;left:7866;top:1414;width:12;height:2" coordorigin="7866,1414" coordsize="12,0" path="m7866,1414l7878,1414e" filled="false" stroked="true" strokeweight=".6pt" strokecolor="#000008">
                <v:path arrowok="t"/>
              </v:shape>
            </v:group>
            <v:group style="position:absolute;left:7885;top:1414;width:12;height:2" coordorigin="7885,1414" coordsize="12,2">
              <v:shape style="position:absolute;left:7885;top:1414;width:12;height:2" coordorigin="7885,1414" coordsize="12,0" path="m7885,1414l7897,1414e" filled="false" stroked="true" strokeweight=".6pt" strokecolor="#000008">
                <v:path arrowok="t"/>
              </v:shape>
            </v:group>
            <v:group style="position:absolute;left:7904;top:1414;width:12;height:2" coordorigin="7904,1414" coordsize="12,2">
              <v:shape style="position:absolute;left:7904;top:1414;width:12;height:2" coordorigin="7904,1414" coordsize="12,0" path="m7904,1414l7916,1414e" filled="false" stroked="true" strokeweight=".6pt" strokecolor="#000008">
                <v:path arrowok="t"/>
              </v:shape>
            </v:group>
            <v:group style="position:absolute;left:7924;top:1414;width:12;height:2" coordorigin="7924,1414" coordsize="12,2">
              <v:shape style="position:absolute;left:7924;top:1414;width:12;height:2" coordorigin="7924,1414" coordsize="12,0" path="m7924,1414l7936,1414e" filled="false" stroked="true" strokeweight=".6pt" strokecolor="#000008">
                <v:path arrowok="t"/>
              </v:shape>
            </v:group>
            <v:group style="position:absolute;left:7943;top:1414;width:12;height:2" coordorigin="7943,1414" coordsize="12,2">
              <v:shape style="position:absolute;left:7943;top:1414;width:12;height:2" coordorigin="7943,1414" coordsize="12,0" path="m7943,1414l7955,1414e" filled="false" stroked="true" strokeweight=".6pt" strokecolor="#000008">
                <v:path arrowok="t"/>
              </v:shape>
            </v:group>
            <v:group style="position:absolute;left:7962;top:1414;width:12;height:2" coordorigin="7962,1414" coordsize="12,2">
              <v:shape style="position:absolute;left:7962;top:1414;width:12;height:2" coordorigin="7962,1414" coordsize="12,0" path="m7962,1414l7974,1414e" filled="false" stroked="true" strokeweight=".6pt" strokecolor="#000008">
                <v:path arrowok="t"/>
              </v:shape>
            </v:group>
            <v:group style="position:absolute;left:7981;top:1414;width:12;height:2" coordorigin="7981,1414" coordsize="12,2">
              <v:shape style="position:absolute;left:7981;top:1414;width:12;height:2" coordorigin="7981,1414" coordsize="12,0" path="m7981,1414l7993,1414e" filled="false" stroked="true" strokeweight=".6pt" strokecolor="#000008">
                <v:path arrowok="t"/>
              </v:shape>
            </v:group>
            <v:group style="position:absolute;left:8000;top:1414;width:12;height:2" coordorigin="8000,1414" coordsize="12,2">
              <v:shape style="position:absolute;left:8000;top:1414;width:12;height:2" coordorigin="8000,1414" coordsize="12,0" path="m8000,1414l8012,1414e" filled="false" stroked="true" strokeweight=".6pt" strokecolor="#000008">
                <v:path arrowok="t"/>
              </v:shape>
            </v:group>
            <v:group style="position:absolute;left:8020;top:1414;width:12;height:2" coordorigin="8020,1414" coordsize="12,2">
              <v:shape style="position:absolute;left:8020;top:1414;width:12;height:2" coordorigin="8020,1414" coordsize="12,0" path="m8020,1414l8032,1414e" filled="false" stroked="true" strokeweight=".6pt" strokecolor="#000008">
                <v:path arrowok="t"/>
              </v:shape>
            </v:group>
            <v:group style="position:absolute;left:8039;top:1414;width:12;height:2" coordorigin="8039,1414" coordsize="12,2">
              <v:shape style="position:absolute;left:8039;top:1414;width:12;height:2" coordorigin="8039,1414" coordsize="12,0" path="m8039,1414l8051,1414e" filled="false" stroked="true" strokeweight=".6pt" strokecolor="#000008">
                <v:path arrowok="t"/>
              </v:shape>
            </v:group>
            <v:group style="position:absolute;left:8058;top:1414;width:12;height:2" coordorigin="8058,1414" coordsize="12,2">
              <v:shape style="position:absolute;left:8058;top:1414;width:12;height:2" coordorigin="8058,1414" coordsize="12,0" path="m8058,1414l8070,1414e" filled="false" stroked="true" strokeweight=".6pt" strokecolor="#000008">
                <v:path arrowok="t"/>
              </v:shape>
            </v:group>
            <v:group style="position:absolute;left:8077;top:1414;width:12;height:2" coordorigin="8077,1414" coordsize="12,2">
              <v:shape style="position:absolute;left:8077;top:1414;width:12;height:2" coordorigin="8077,1414" coordsize="12,0" path="m8077,1414l8089,1414e" filled="false" stroked="true" strokeweight=".6pt" strokecolor="#000008">
                <v:path arrowok="t"/>
              </v:shape>
            </v:group>
            <v:group style="position:absolute;left:8096;top:1414;width:12;height:2" coordorigin="8096,1414" coordsize="12,2">
              <v:shape style="position:absolute;left:8096;top:1414;width:12;height:2" coordorigin="8096,1414" coordsize="12,0" path="m8096,1414l8108,1414e" filled="false" stroked="true" strokeweight=".6pt" strokecolor="#000008">
                <v:path arrowok="t"/>
              </v:shape>
            </v:group>
            <v:group style="position:absolute;left:8116;top:1414;width:12;height:2" coordorigin="8116,1414" coordsize="12,2">
              <v:shape style="position:absolute;left:8116;top:1414;width:12;height:2" coordorigin="8116,1414" coordsize="12,0" path="m8116,1414l8128,1414e" filled="false" stroked="true" strokeweight=".6pt" strokecolor="#000008">
                <v:path arrowok="t"/>
              </v:shape>
            </v:group>
            <v:group style="position:absolute;left:8135;top:1414;width:12;height:2" coordorigin="8135,1414" coordsize="12,2">
              <v:shape style="position:absolute;left:8135;top:1414;width:12;height:2" coordorigin="8135,1414" coordsize="12,0" path="m8135,1414l8147,1414e" filled="false" stroked="true" strokeweight=".6pt" strokecolor="#000008">
                <v:path arrowok="t"/>
              </v:shape>
            </v:group>
            <v:group style="position:absolute;left:8154;top:1414;width:12;height:2" coordorigin="8154,1414" coordsize="12,2">
              <v:shape style="position:absolute;left:8154;top:1414;width:12;height:2" coordorigin="8154,1414" coordsize="12,0" path="m8154,1414l8166,1414e" filled="false" stroked="true" strokeweight=".6pt" strokecolor="#000008">
                <v:path arrowok="t"/>
              </v:shape>
            </v:group>
            <v:group style="position:absolute;left:8173;top:1414;width:12;height:2" coordorigin="8173,1414" coordsize="12,2">
              <v:shape style="position:absolute;left:8173;top:1414;width:12;height:2" coordorigin="8173,1414" coordsize="12,0" path="m8173,1414l8185,1414e" filled="false" stroked="true" strokeweight=".6pt" strokecolor="#000008">
                <v:path arrowok="t"/>
              </v:shape>
            </v:group>
            <v:group style="position:absolute;left:8192;top:1414;width:12;height:2" coordorigin="8192,1414" coordsize="12,2">
              <v:shape style="position:absolute;left:8192;top:1414;width:12;height:2" coordorigin="8192,1414" coordsize="12,0" path="m8192,1414l8204,1414e" filled="false" stroked="true" strokeweight=".6pt" strokecolor="#000008">
                <v:path arrowok="t"/>
              </v:shape>
            </v:group>
            <v:group style="position:absolute;left:8212;top:1414;width:12;height:2" coordorigin="8212,1414" coordsize="12,2">
              <v:shape style="position:absolute;left:8212;top:1414;width:12;height:2" coordorigin="8212,1414" coordsize="12,0" path="m8212,1414l8224,1414e" filled="false" stroked="true" strokeweight=".6pt" strokecolor="#000008">
                <v:path arrowok="t"/>
              </v:shape>
            </v:group>
            <v:group style="position:absolute;left:8231;top:1414;width:12;height:2" coordorigin="8231,1414" coordsize="12,2">
              <v:shape style="position:absolute;left:8231;top:1414;width:12;height:2" coordorigin="8231,1414" coordsize="12,0" path="m8231,1414l8243,1414e" filled="false" stroked="true" strokeweight=".6pt" strokecolor="#000008">
                <v:path arrowok="t"/>
              </v:shape>
            </v:group>
            <v:group style="position:absolute;left:8250;top:1414;width:12;height:2" coordorigin="8250,1414" coordsize="12,2">
              <v:shape style="position:absolute;left:8250;top:1414;width:12;height:2" coordorigin="8250,1414" coordsize="12,0" path="m8250,1414l8262,1414e" filled="false" stroked="true" strokeweight=".6pt" strokecolor="#000008">
                <v:path arrowok="t"/>
              </v:shape>
            </v:group>
            <v:group style="position:absolute;left:8269;top:1414;width:12;height:2" coordorigin="8269,1414" coordsize="12,2">
              <v:shape style="position:absolute;left:8269;top:1414;width:12;height:2" coordorigin="8269,1414" coordsize="12,0" path="m8269,1414l8281,1414e" filled="false" stroked="true" strokeweight=".6pt" strokecolor="#000008">
                <v:path arrowok="t"/>
              </v:shape>
            </v:group>
            <v:group style="position:absolute;left:8288;top:1414;width:12;height:2" coordorigin="8288,1414" coordsize="12,2">
              <v:shape style="position:absolute;left:8288;top:1414;width:12;height:2" coordorigin="8288,1414" coordsize="12,0" path="m8288,1414l8300,1414e" filled="false" stroked="true" strokeweight=".6pt" strokecolor="#000008">
                <v:path arrowok="t"/>
              </v:shape>
            </v:group>
            <v:group style="position:absolute;left:8308;top:1414;width:12;height:2" coordorigin="8308,1414" coordsize="12,2">
              <v:shape style="position:absolute;left:8308;top:1414;width:12;height:2" coordorigin="8308,1414" coordsize="12,0" path="m8308,1414l8320,1414e" filled="false" stroked="true" strokeweight=".6pt" strokecolor="#000008">
                <v:path arrowok="t"/>
              </v:shape>
            </v:group>
            <v:group style="position:absolute;left:8327;top:1414;width:12;height:2" coordorigin="8327,1414" coordsize="12,2">
              <v:shape style="position:absolute;left:8327;top:1414;width:12;height:2" coordorigin="8327,1414" coordsize="12,0" path="m8327,1414l8339,1414e" filled="false" stroked="true" strokeweight=".6pt" strokecolor="#000008">
                <v:path arrowok="t"/>
              </v:shape>
            </v:group>
            <v:group style="position:absolute;left:8346;top:1414;width:12;height:2" coordorigin="8346,1414" coordsize="12,2">
              <v:shape style="position:absolute;left:8346;top:1414;width:12;height:2" coordorigin="8346,1414" coordsize="12,0" path="m8346,1414l8358,1414e" filled="false" stroked="true" strokeweight=".6pt" strokecolor="#000008">
                <v:path arrowok="t"/>
              </v:shape>
            </v:group>
            <v:group style="position:absolute;left:8365;top:1414;width:12;height:2" coordorigin="8365,1414" coordsize="12,2">
              <v:shape style="position:absolute;left:8365;top:1414;width:12;height:2" coordorigin="8365,1414" coordsize="12,0" path="m8365,1414l8377,1414e" filled="false" stroked="true" strokeweight=".6pt" strokecolor="#000008">
                <v:path arrowok="t"/>
              </v:shape>
            </v:group>
            <v:group style="position:absolute;left:8384;top:1414;width:12;height:2" coordorigin="8384,1414" coordsize="12,2">
              <v:shape style="position:absolute;left:8384;top:1414;width:12;height:2" coordorigin="8384,1414" coordsize="12,0" path="m8384,1414l8396,1414e" filled="false" stroked="true" strokeweight=".6pt" strokecolor="#000008">
                <v:path arrowok="t"/>
              </v:shape>
            </v:group>
            <v:group style="position:absolute;left:8404;top:1414;width:12;height:2" coordorigin="8404,1414" coordsize="12,2">
              <v:shape style="position:absolute;left:8404;top:1414;width:12;height:2" coordorigin="8404,1414" coordsize="12,0" path="m8404,1414l8416,1414e" filled="false" stroked="true" strokeweight=".6pt" strokecolor="#000008">
                <v:path arrowok="t"/>
              </v:shape>
            </v:group>
            <v:group style="position:absolute;left:8423;top:1414;width:12;height:2" coordorigin="8423,1414" coordsize="12,2">
              <v:shape style="position:absolute;left:8423;top:1414;width:12;height:2" coordorigin="8423,1414" coordsize="12,0" path="m8423,1414l8435,1414e" filled="false" stroked="true" strokeweight=".6pt" strokecolor="#000008">
                <v:path arrowok="t"/>
              </v:shape>
            </v:group>
            <v:group style="position:absolute;left:8442;top:1414;width:12;height:2" coordorigin="8442,1414" coordsize="12,2">
              <v:shape style="position:absolute;left:8442;top:1414;width:12;height:2" coordorigin="8442,1414" coordsize="12,0" path="m8442,1414l8454,1414e" filled="false" stroked="true" strokeweight=".6pt" strokecolor="#000008">
                <v:path arrowok="t"/>
              </v:shape>
            </v:group>
            <v:group style="position:absolute;left:8461;top:1414;width:12;height:2" coordorigin="8461,1414" coordsize="12,2">
              <v:shape style="position:absolute;left:8461;top:1414;width:12;height:2" coordorigin="8461,1414" coordsize="12,0" path="m8461,1414l8473,1414e" filled="false" stroked="true" strokeweight=".6pt" strokecolor="#000008">
                <v:path arrowok="t"/>
              </v:shape>
            </v:group>
            <v:group style="position:absolute;left:8480;top:1414;width:12;height:2" coordorigin="8480,1414" coordsize="12,2">
              <v:shape style="position:absolute;left:8480;top:1414;width:12;height:2" coordorigin="8480,1414" coordsize="12,0" path="m8480,1414l8492,1414e" filled="false" stroked="true" strokeweight=".6pt" strokecolor="#000008">
                <v:path arrowok="t"/>
              </v:shape>
            </v:group>
            <v:group style="position:absolute;left:8500;top:1414;width:12;height:2" coordorigin="8500,1414" coordsize="12,2">
              <v:shape style="position:absolute;left:8500;top:1414;width:12;height:2" coordorigin="8500,1414" coordsize="12,0" path="m8500,1414l8512,1414e" filled="false" stroked="true" strokeweight=".6pt" strokecolor="#000008">
                <v:path arrowok="t"/>
              </v:shape>
            </v:group>
            <v:group style="position:absolute;left:8519;top:1414;width:12;height:2" coordorigin="8519,1414" coordsize="12,2">
              <v:shape style="position:absolute;left:8519;top:1414;width:12;height:2" coordorigin="8519,1414" coordsize="12,0" path="m8519,1414l8531,1414e" filled="false" stroked="true" strokeweight=".6pt" strokecolor="#000008">
                <v:path arrowok="t"/>
              </v:shape>
            </v:group>
            <v:group style="position:absolute;left:8538;top:1414;width:12;height:2" coordorigin="8538,1414" coordsize="12,2">
              <v:shape style="position:absolute;left:8538;top:1414;width:12;height:2" coordorigin="8538,1414" coordsize="12,0" path="m8538,1414l8550,1414e" filled="false" stroked="true" strokeweight=".6pt" strokecolor="#000008">
                <v:path arrowok="t"/>
              </v:shape>
            </v:group>
            <v:group style="position:absolute;left:8557;top:1414;width:12;height:2" coordorigin="8557,1414" coordsize="12,2">
              <v:shape style="position:absolute;left:8557;top:1414;width:12;height:2" coordorigin="8557,1414" coordsize="12,0" path="m8557,1414l8569,1414e" filled="false" stroked="true" strokeweight=".6pt" strokecolor="#000008">
                <v:path arrowok="t"/>
              </v:shape>
            </v:group>
            <v:group style="position:absolute;left:8576;top:1414;width:12;height:2" coordorigin="8576,1414" coordsize="12,2">
              <v:shape style="position:absolute;left:8576;top:1414;width:12;height:2" coordorigin="8576,1414" coordsize="12,0" path="m8576,1414l8588,1414e" filled="false" stroked="true" strokeweight=".6pt" strokecolor="#000008">
                <v:path arrowok="t"/>
              </v:shape>
            </v:group>
            <v:group style="position:absolute;left:8596;top:1414;width:12;height:2" coordorigin="8596,1414" coordsize="12,2">
              <v:shape style="position:absolute;left:8596;top:1414;width:12;height:2" coordorigin="8596,1414" coordsize="12,0" path="m8596,1414l8608,1414e" filled="false" stroked="true" strokeweight=".6pt" strokecolor="#000008">
                <v:path arrowok="t"/>
              </v:shape>
            </v:group>
            <v:group style="position:absolute;left:8615;top:1414;width:12;height:2" coordorigin="8615,1414" coordsize="12,2">
              <v:shape style="position:absolute;left:8615;top:1414;width:12;height:2" coordorigin="8615,1414" coordsize="12,0" path="m8615,1414l8627,1414e" filled="false" stroked="true" strokeweight=".6pt" strokecolor="#000008">
                <v:path arrowok="t"/>
              </v:shape>
            </v:group>
            <w10:wrap type="none"/>
          </v:group>
        </w:pict>
      </w:r>
      <w:r>
        <w:rPr/>
        <w:pict>
          <v:group style="position:absolute;margin-left:449.399994pt;margin-top:70.399673pt;width:72.25pt;height:.6pt;mso-position-horizontal-relative:page;mso-position-vertical-relative:paragraph;z-index:3424" coordorigin="8988,1408" coordsize="1445,12">
            <v:group style="position:absolute;left:8994;top:1414;width:12;height:2" coordorigin="8994,1414" coordsize="12,2">
              <v:shape style="position:absolute;left:8994;top:1414;width:12;height:2" coordorigin="8994,1414" coordsize="12,0" path="m8994,1414l9006,1414e" filled="false" stroked="true" strokeweight=".6pt" strokecolor="#000008">
                <v:path arrowok="t"/>
              </v:shape>
            </v:group>
            <v:group style="position:absolute;left:9013;top:1414;width:12;height:2" coordorigin="9013,1414" coordsize="12,2">
              <v:shape style="position:absolute;left:9013;top:1414;width:12;height:2" coordorigin="9013,1414" coordsize="12,0" path="m9013,1414l9025,1414e" filled="false" stroked="true" strokeweight=".6pt" strokecolor="#000008">
                <v:path arrowok="t"/>
              </v:shape>
            </v:group>
            <v:group style="position:absolute;left:9032;top:1414;width:12;height:2" coordorigin="9032,1414" coordsize="12,2">
              <v:shape style="position:absolute;left:9032;top:1414;width:12;height:2" coordorigin="9032,1414" coordsize="12,0" path="m9032,1414l9044,1414e" filled="false" stroked="true" strokeweight=".6pt" strokecolor="#000008">
                <v:path arrowok="t"/>
              </v:shape>
            </v:group>
            <v:group style="position:absolute;left:9052;top:1414;width:12;height:2" coordorigin="9052,1414" coordsize="12,2">
              <v:shape style="position:absolute;left:9052;top:1414;width:12;height:2" coordorigin="9052,1414" coordsize="12,0" path="m9052,1414l9064,1414e" filled="false" stroked="true" strokeweight=".6pt" strokecolor="#000008">
                <v:path arrowok="t"/>
              </v:shape>
            </v:group>
            <v:group style="position:absolute;left:9071;top:1414;width:12;height:2" coordorigin="9071,1414" coordsize="12,2">
              <v:shape style="position:absolute;left:9071;top:1414;width:12;height:2" coordorigin="9071,1414" coordsize="12,0" path="m9071,1414l9083,1414e" filled="false" stroked="true" strokeweight=".6pt" strokecolor="#000008">
                <v:path arrowok="t"/>
              </v:shape>
            </v:group>
            <v:group style="position:absolute;left:9090;top:1414;width:12;height:2" coordorigin="9090,1414" coordsize="12,2">
              <v:shape style="position:absolute;left:9090;top:1414;width:12;height:2" coordorigin="9090,1414" coordsize="12,0" path="m9090,1414l9102,1414e" filled="false" stroked="true" strokeweight=".6pt" strokecolor="#000008">
                <v:path arrowok="t"/>
              </v:shape>
            </v:group>
            <v:group style="position:absolute;left:9109;top:1414;width:12;height:2" coordorigin="9109,1414" coordsize="12,2">
              <v:shape style="position:absolute;left:9109;top:1414;width:12;height:2" coordorigin="9109,1414" coordsize="12,0" path="m9109,1414l9121,1414e" filled="false" stroked="true" strokeweight=".6pt" strokecolor="#000008">
                <v:path arrowok="t"/>
              </v:shape>
            </v:group>
            <v:group style="position:absolute;left:9128;top:1414;width:12;height:2" coordorigin="9128,1414" coordsize="12,2">
              <v:shape style="position:absolute;left:9128;top:1414;width:12;height:2" coordorigin="9128,1414" coordsize="12,0" path="m9128,1414l9140,1414e" filled="false" stroked="true" strokeweight=".6pt" strokecolor="#000008">
                <v:path arrowok="t"/>
              </v:shape>
            </v:group>
            <v:group style="position:absolute;left:9148;top:1414;width:12;height:2" coordorigin="9148,1414" coordsize="12,2">
              <v:shape style="position:absolute;left:9148;top:1414;width:12;height:2" coordorigin="9148,1414" coordsize="12,0" path="m9148,1414l9160,1414e" filled="false" stroked="true" strokeweight=".6pt" strokecolor="#000008">
                <v:path arrowok="t"/>
              </v:shape>
            </v:group>
            <v:group style="position:absolute;left:9167;top:1414;width:12;height:2" coordorigin="9167,1414" coordsize="12,2">
              <v:shape style="position:absolute;left:9167;top:1414;width:12;height:2" coordorigin="9167,1414" coordsize="12,0" path="m9167,1414l9179,1414e" filled="false" stroked="true" strokeweight=".6pt" strokecolor="#000008">
                <v:path arrowok="t"/>
              </v:shape>
            </v:group>
            <v:group style="position:absolute;left:9186;top:1414;width:12;height:2" coordorigin="9186,1414" coordsize="12,2">
              <v:shape style="position:absolute;left:9186;top:1414;width:12;height:2" coordorigin="9186,1414" coordsize="12,0" path="m9186,1414l9198,1414e" filled="false" stroked="true" strokeweight=".6pt" strokecolor="#000008">
                <v:path arrowok="t"/>
              </v:shape>
            </v:group>
            <v:group style="position:absolute;left:9205;top:1414;width:12;height:2" coordorigin="9205,1414" coordsize="12,2">
              <v:shape style="position:absolute;left:9205;top:1414;width:12;height:2" coordorigin="9205,1414" coordsize="12,0" path="m9205,1414l9217,1414e" filled="false" stroked="true" strokeweight=".6pt" strokecolor="#000008">
                <v:path arrowok="t"/>
              </v:shape>
            </v:group>
            <v:group style="position:absolute;left:9224;top:1414;width:12;height:2" coordorigin="9224,1414" coordsize="12,2">
              <v:shape style="position:absolute;left:9224;top:1414;width:12;height:2" coordorigin="9224,1414" coordsize="12,0" path="m9224,1414l9236,1414e" filled="false" stroked="true" strokeweight=".6pt" strokecolor="#000008">
                <v:path arrowok="t"/>
              </v:shape>
            </v:group>
            <v:group style="position:absolute;left:9244;top:1414;width:12;height:2" coordorigin="9244,1414" coordsize="12,2">
              <v:shape style="position:absolute;left:9244;top:1414;width:12;height:2" coordorigin="9244,1414" coordsize="12,0" path="m9244,1414l9256,1414e" filled="false" stroked="true" strokeweight=".6pt" strokecolor="#000008">
                <v:path arrowok="t"/>
              </v:shape>
            </v:group>
            <v:group style="position:absolute;left:9263;top:1414;width:12;height:2" coordorigin="9263,1414" coordsize="12,2">
              <v:shape style="position:absolute;left:9263;top:1414;width:12;height:2" coordorigin="9263,1414" coordsize="12,0" path="m9263,1414l9275,1414e" filled="false" stroked="true" strokeweight=".6pt" strokecolor="#000008">
                <v:path arrowok="t"/>
              </v:shape>
            </v:group>
            <v:group style="position:absolute;left:9282;top:1414;width:12;height:2" coordorigin="9282,1414" coordsize="12,2">
              <v:shape style="position:absolute;left:9282;top:1414;width:12;height:2" coordorigin="9282,1414" coordsize="12,0" path="m9282,1414l9294,1414e" filled="false" stroked="true" strokeweight=".6pt" strokecolor="#000008">
                <v:path arrowok="t"/>
              </v:shape>
            </v:group>
            <v:group style="position:absolute;left:9301;top:1414;width:12;height:2" coordorigin="9301,1414" coordsize="12,2">
              <v:shape style="position:absolute;left:9301;top:1414;width:12;height:2" coordorigin="9301,1414" coordsize="12,0" path="m9301,1414l9313,1414e" filled="false" stroked="true" strokeweight=".6pt" strokecolor="#000008">
                <v:path arrowok="t"/>
              </v:shape>
            </v:group>
            <v:group style="position:absolute;left:9320;top:1414;width:12;height:2" coordorigin="9320,1414" coordsize="12,2">
              <v:shape style="position:absolute;left:9320;top:1414;width:12;height:2" coordorigin="9320,1414" coordsize="12,0" path="m9320,1414l9332,1414e" filled="false" stroked="true" strokeweight=".6pt" strokecolor="#000008">
                <v:path arrowok="t"/>
              </v:shape>
            </v:group>
            <v:group style="position:absolute;left:9340;top:1414;width:12;height:2" coordorigin="9340,1414" coordsize="12,2">
              <v:shape style="position:absolute;left:9340;top:1414;width:12;height:2" coordorigin="9340,1414" coordsize="12,0" path="m9340,1414l9352,1414e" filled="false" stroked="true" strokeweight=".6pt" strokecolor="#000008">
                <v:path arrowok="t"/>
              </v:shape>
            </v:group>
            <v:group style="position:absolute;left:9359;top:1414;width:12;height:2" coordorigin="9359,1414" coordsize="12,2">
              <v:shape style="position:absolute;left:9359;top:1414;width:12;height:2" coordorigin="9359,1414" coordsize="12,0" path="m9359,1414l9371,1414e" filled="false" stroked="true" strokeweight=".6pt" strokecolor="#000008">
                <v:path arrowok="t"/>
              </v:shape>
            </v:group>
            <v:group style="position:absolute;left:9378;top:1414;width:12;height:2" coordorigin="9378,1414" coordsize="12,2">
              <v:shape style="position:absolute;left:9378;top:1414;width:12;height:2" coordorigin="9378,1414" coordsize="12,0" path="m9378,1414l9390,1414e" filled="false" stroked="true" strokeweight=".6pt" strokecolor="#000008">
                <v:path arrowok="t"/>
              </v:shape>
            </v:group>
            <v:group style="position:absolute;left:9397;top:1414;width:12;height:2" coordorigin="9397,1414" coordsize="12,2">
              <v:shape style="position:absolute;left:9397;top:1414;width:12;height:2" coordorigin="9397,1414" coordsize="12,0" path="m9397,1414l9409,1414e" filled="false" stroked="true" strokeweight=".6pt" strokecolor="#000008">
                <v:path arrowok="t"/>
              </v:shape>
            </v:group>
            <v:group style="position:absolute;left:9416;top:1414;width:12;height:2" coordorigin="9416,1414" coordsize="12,2">
              <v:shape style="position:absolute;left:9416;top:1414;width:12;height:2" coordorigin="9416,1414" coordsize="12,0" path="m9416,1414l9428,1414e" filled="false" stroked="true" strokeweight=".6pt" strokecolor="#000008">
                <v:path arrowok="t"/>
              </v:shape>
            </v:group>
            <v:group style="position:absolute;left:9436;top:1414;width:12;height:2" coordorigin="9436,1414" coordsize="12,2">
              <v:shape style="position:absolute;left:9436;top:1414;width:12;height:2" coordorigin="9436,1414" coordsize="12,0" path="m9436,1414l9448,1414e" filled="false" stroked="true" strokeweight=".6pt" strokecolor="#000008">
                <v:path arrowok="t"/>
              </v:shape>
            </v:group>
            <v:group style="position:absolute;left:9455;top:1414;width:12;height:2" coordorigin="9455,1414" coordsize="12,2">
              <v:shape style="position:absolute;left:9455;top:1414;width:12;height:2" coordorigin="9455,1414" coordsize="12,0" path="m9455,1414l9467,1414e" filled="false" stroked="true" strokeweight=".6pt" strokecolor="#000008">
                <v:path arrowok="t"/>
              </v:shape>
            </v:group>
            <v:group style="position:absolute;left:9474;top:1414;width:12;height:2" coordorigin="9474,1414" coordsize="12,2">
              <v:shape style="position:absolute;left:9474;top:1414;width:12;height:2" coordorigin="9474,1414" coordsize="12,0" path="m9474,1414l9486,1414e" filled="false" stroked="true" strokeweight=".6pt" strokecolor="#000008">
                <v:path arrowok="t"/>
              </v:shape>
            </v:group>
            <v:group style="position:absolute;left:9493;top:1414;width:12;height:2" coordorigin="9493,1414" coordsize="12,2">
              <v:shape style="position:absolute;left:9493;top:1414;width:12;height:2" coordorigin="9493,1414" coordsize="12,0" path="m9493,1414l9505,1414e" filled="false" stroked="true" strokeweight=".6pt" strokecolor="#000008">
                <v:path arrowok="t"/>
              </v:shape>
            </v:group>
            <v:group style="position:absolute;left:9512;top:1414;width:12;height:2" coordorigin="9512,1414" coordsize="12,2">
              <v:shape style="position:absolute;left:9512;top:1414;width:12;height:2" coordorigin="9512,1414" coordsize="12,0" path="m9512,1414l9524,1414e" filled="false" stroked="true" strokeweight=".6pt" strokecolor="#000008">
                <v:path arrowok="t"/>
              </v:shape>
            </v:group>
            <v:group style="position:absolute;left:9532;top:1414;width:12;height:2" coordorigin="9532,1414" coordsize="12,2">
              <v:shape style="position:absolute;left:9532;top:1414;width:12;height:2" coordorigin="9532,1414" coordsize="12,0" path="m9532,1414l9544,1414e" filled="false" stroked="true" strokeweight=".6pt" strokecolor="#000008">
                <v:path arrowok="t"/>
              </v:shape>
            </v:group>
            <v:group style="position:absolute;left:9551;top:1414;width:12;height:2" coordorigin="9551,1414" coordsize="12,2">
              <v:shape style="position:absolute;left:9551;top:1414;width:12;height:2" coordorigin="9551,1414" coordsize="12,0" path="m9551,1414l9563,1414e" filled="false" stroked="true" strokeweight=".6pt" strokecolor="#000008">
                <v:path arrowok="t"/>
              </v:shape>
            </v:group>
            <v:group style="position:absolute;left:9570;top:1414;width:12;height:2" coordorigin="9570,1414" coordsize="12,2">
              <v:shape style="position:absolute;left:9570;top:1414;width:12;height:2" coordorigin="9570,1414" coordsize="12,0" path="m9570,1414l9582,1414e" filled="false" stroked="true" strokeweight=".6pt" strokecolor="#000008">
                <v:path arrowok="t"/>
              </v:shape>
            </v:group>
            <v:group style="position:absolute;left:9589;top:1414;width:12;height:2" coordorigin="9589,1414" coordsize="12,2">
              <v:shape style="position:absolute;left:9589;top:1414;width:12;height:2" coordorigin="9589,1414" coordsize="12,0" path="m9589,1414l9601,1414e" filled="false" stroked="true" strokeweight=".6pt" strokecolor="#000008">
                <v:path arrowok="t"/>
              </v:shape>
            </v:group>
            <v:group style="position:absolute;left:9608;top:1414;width:12;height:2" coordorigin="9608,1414" coordsize="12,2">
              <v:shape style="position:absolute;left:9608;top:1414;width:12;height:2" coordorigin="9608,1414" coordsize="12,0" path="m9608,1414l9620,1414e" filled="false" stroked="true" strokeweight=".6pt" strokecolor="#000008">
                <v:path arrowok="t"/>
              </v:shape>
            </v:group>
            <v:group style="position:absolute;left:9628;top:1414;width:12;height:2" coordorigin="9628,1414" coordsize="12,2">
              <v:shape style="position:absolute;left:9628;top:1414;width:12;height:2" coordorigin="9628,1414" coordsize="12,0" path="m9628,1414l9640,1414e" filled="false" stroked="true" strokeweight=".6pt" strokecolor="#000008">
                <v:path arrowok="t"/>
              </v:shape>
            </v:group>
            <v:group style="position:absolute;left:9647;top:1414;width:12;height:2" coordorigin="9647,1414" coordsize="12,2">
              <v:shape style="position:absolute;left:9647;top:1414;width:12;height:2" coordorigin="9647,1414" coordsize="12,0" path="m9647,1414l9659,1414e" filled="false" stroked="true" strokeweight=".6pt" strokecolor="#000008">
                <v:path arrowok="t"/>
              </v:shape>
            </v:group>
            <v:group style="position:absolute;left:9666;top:1414;width:12;height:2" coordorigin="9666,1414" coordsize="12,2">
              <v:shape style="position:absolute;left:9666;top:1414;width:12;height:2" coordorigin="9666,1414" coordsize="12,0" path="m9666,1414l9678,1414e" filled="false" stroked="true" strokeweight=".6pt" strokecolor="#000008">
                <v:path arrowok="t"/>
              </v:shape>
            </v:group>
            <v:group style="position:absolute;left:9685;top:1414;width:12;height:2" coordorigin="9685,1414" coordsize="12,2">
              <v:shape style="position:absolute;left:9685;top:1414;width:12;height:2" coordorigin="9685,1414" coordsize="12,0" path="m9685,1414l9697,1414e" filled="false" stroked="true" strokeweight=".6pt" strokecolor="#000008">
                <v:path arrowok="t"/>
              </v:shape>
            </v:group>
            <v:group style="position:absolute;left:9704;top:1414;width:12;height:2" coordorigin="9704,1414" coordsize="12,2">
              <v:shape style="position:absolute;left:9704;top:1414;width:12;height:2" coordorigin="9704,1414" coordsize="12,0" path="m9704,1414l9716,1414e" filled="false" stroked="true" strokeweight=".6pt" strokecolor="#000008">
                <v:path arrowok="t"/>
              </v:shape>
            </v:group>
            <v:group style="position:absolute;left:9724;top:1414;width:12;height:2" coordorigin="9724,1414" coordsize="12,2">
              <v:shape style="position:absolute;left:9724;top:1414;width:12;height:2" coordorigin="9724,1414" coordsize="12,0" path="m9724,1414l9736,1414e" filled="false" stroked="true" strokeweight=".6pt" strokecolor="#000008">
                <v:path arrowok="t"/>
              </v:shape>
            </v:group>
            <v:group style="position:absolute;left:9743;top:1414;width:12;height:2" coordorigin="9743,1414" coordsize="12,2">
              <v:shape style="position:absolute;left:9743;top:1414;width:12;height:2" coordorigin="9743,1414" coordsize="12,0" path="m9743,1414l9755,1414e" filled="false" stroked="true" strokeweight=".6pt" strokecolor="#000008">
                <v:path arrowok="t"/>
              </v:shape>
            </v:group>
            <v:group style="position:absolute;left:9762;top:1414;width:12;height:2" coordorigin="9762,1414" coordsize="12,2">
              <v:shape style="position:absolute;left:9762;top:1414;width:12;height:2" coordorigin="9762,1414" coordsize="12,0" path="m9762,1414l9774,1414e" filled="false" stroked="true" strokeweight=".6pt" strokecolor="#000008">
                <v:path arrowok="t"/>
              </v:shape>
            </v:group>
            <v:group style="position:absolute;left:9781;top:1414;width:12;height:2" coordorigin="9781,1414" coordsize="12,2">
              <v:shape style="position:absolute;left:9781;top:1414;width:12;height:2" coordorigin="9781,1414" coordsize="12,0" path="m9781,1414l9793,1414e" filled="false" stroked="true" strokeweight=".6pt" strokecolor="#000008">
                <v:path arrowok="t"/>
              </v:shape>
            </v:group>
            <v:group style="position:absolute;left:9800;top:1414;width:12;height:2" coordorigin="9800,1414" coordsize="12,2">
              <v:shape style="position:absolute;left:9800;top:1414;width:12;height:2" coordorigin="9800,1414" coordsize="12,0" path="m9800,1414l9812,1414e" filled="false" stroked="true" strokeweight=".6pt" strokecolor="#000008">
                <v:path arrowok="t"/>
              </v:shape>
            </v:group>
            <v:group style="position:absolute;left:9820;top:1414;width:12;height:2" coordorigin="9820,1414" coordsize="12,2">
              <v:shape style="position:absolute;left:9820;top:1414;width:12;height:2" coordorigin="9820,1414" coordsize="12,0" path="m9820,1414l9832,1414e" filled="false" stroked="true" strokeweight=".6pt" strokecolor="#000008">
                <v:path arrowok="t"/>
              </v:shape>
            </v:group>
            <v:group style="position:absolute;left:9839;top:1414;width:12;height:2" coordorigin="9839,1414" coordsize="12,2">
              <v:shape style="position:absolute;left:9839;top:1414;width:12;height:2" coordorigin="9839,1414" coordsize="12,0" path="m9839,1414l9851,1414e" filled="false" stroked="true" strokeweight=".6pt" strokecolor="#000008">
                <v:path arrowok="t"/>
              </v:shape>
            </v:group>
            <v:group style="position:absolute;left:9858;top:1414;width:12;height:2" coordorigin="9858,1414" coordsize="12,2">
              <v:shape style="position:absolute;left:9858;top:1414;width:12;height:2" coordorigin="9858,1414" coordsize="12,0" path="m9858,1414l9870,1414e" filled="false" stroked="true" strokeweight=".6pt" strokecolor="#000008">
                <v:path arrowok="t"/>
              </v:shape>
            </v:group>
            <v:group style="position:absolute;left:9877;top:1414;width:12;height:2" coordorigin="9877,1414" coordsize="12,2">
              <v:shape style="position:absolute;left:9877;top:1414;width:12;height:2" coordorigin="9877,1414" coordsize="12,0" path="m9877,1414l9889,1414e" filled="false" stroked="true" strokeweight=".6pt" strokecolor="#000008">
                <v:path arrowok="t"/>
              </v:shape>
            </v:group>
            <v:group style="position:absolute;left:9896;top:1414;width:12;height:2" coordorigin="9896,1414" coordsize="12,2">
              <v:shape style="position:absolute;left:9896;top:1414;width:12;height:2" coordorigin="9896,1414" coordsize="12,0" path="m9896,1414l9908,1414e" filled="false" stroked="true" strokeweight=".6pt" strokecolor="#000008">
                <v:path arrowok="t"/>
              </v:shape>
            </v:group>
            <v:group style="position:absolute;left:9916;top:1414;width:12;height:2" coordorigin="9916,1414" coordsize="12,2">
              <v:shape style="position:absolute;left:9916;top:1414;width:12;height:2" coordorigin="9916,1414" coordsize="12,0" path="m9916,1414l9928,1414e" filled="false" stroked="true" strokeweight=".6pt" strokecolor="#000008">
                <v:path arrowok="t"/>
              </v:shape>
            </v:group>
            <v:group style="position:absolute;left:9935;top:1414;width:12;height:2" coordorigin="9935,1414" coordsize="12,2">
              <v:shape style="position:absolute;left:9935;top:1414;width:12;height:2" coordorigin="9935,1414" coordsize="12,0" path="m9935,1414l9947,1414e" filled="false" stroked="true" strokeweight=".6pt" strokecolor="#000008">
                <v:path arrowok="t"/>
              </v:shape>
            </v:group>
            <v:group style="position:absolute;left:9954;top:1414;width:12;height:2" coordorigin="9954,1414" coordsize="12,2">
              <v:shape style="position:absolute;left:9954;top:1414;width:12;height:2" coordorigin="9954,1414" coordsize="12,0" path="m9954,1414l9966,1414e" filled="false" stroked="true" strokeweight=".6pt" strokecolor="#000008">
                <v:path arrowok="t"/>
              </v:shape>
            </v:group>
            <v:group style="position:absolute;left:9973;top:1414;width:12;height:2" coordorigin="9973,1414" coordsize="12,2">
              <v:shape style="position:absolute;left:9973;top:1414;width:12;height:2" coordorigin="9973,1414" coordsize="12,0" path="m9973,1414l9985,1414e" filled="false" stroked="true" strokeweight=".6pt" strokecolor="#000008">
                <v:path arrowok="t"/>
              </v:shape>
            </v:group>
            <v:group style="position:absolute;left:9992;top:1414;width:12;height:2" coordorigin="9992,1414" coordsize="12,2">
              <v:shape style="position:absolute;left:9992;top:1414;width:12;height:2" coordorigin="9992,1414" coordsize="12,0" path="m9992,1414l10004,1414e" filled="false" stroked="true" strokeweight=".6pt" strokecolor="#000008">
                <v:path arrowok="t"/>
              </v:shape>
            </v:group>
            <v:group style="position:absolute;left:10012;top:1414;width:12;height:2" coordorigin="10012,1414" coordsize="12,2">
              <v:shape style="position:absolute;left:10012;top:1414;width:12;height:2" coordorigin="10012,1414" coordsize="12,0" path="m10012,1414l10024,1414e" filled="false" stroked="true" strokeweight=".6pt" strokecolor="#000008">
                <v:path arrowok="t"/>
              </v:shape>
            </v:group>
            <v:group style="position:absolute;left:10031;top:1414;width:12;height:2" coordorigin="10031,1414" coordsize="12,2">
              <v:shape style="position:absolute;left:10031;top:1414;width:12;height:2" coordorigin="10031,1414" coordsize="12,0" path="m10031,1414l10043,1414e" filled="false" stroked="true" strokeweight=".6pt" strokecolor="#000008">
                <v:path arrowok="t"/>
              </v:shape>
            </v:group>
            <v:group style="position:absolute;left:10050;top:1414;width:12;height:2" coordorigin="10050,1414" coordsize="12,2">
              <v:shape style="position:absolute;left:10050;top:1414;width:12;height:2" coordorigin="10050,1414" coordsize="12,0" path="m10050,1414l10062,1414e" filled="false" stroked="true" strokeweight=".6pt" strokecolor="#000008">
                <v:path arrowok="t"/>
              </v:shape>
            </v:group>
            <v:group style="position:absolute;left:10069;top:1414;width:12;height:2" coordorigin="10069,1414" coordsize="12,2">
              <v:shape style="position:absolute;left:10069;top:1414;width:12;height:2" coordorigin="10069,1414" coordsize="12,0" path="m10069,1414l10081,1414e" filled="false" stroked="true" strokeweight=".6pt" strokecolor="#000008">
                <v:path arrowok="t"/>
              </v:shape>
            </v:group>
            <v:group style="position:absolute;left:10088;top:1414;width:12;height:2" coordorigin="10088,1414" coordsize="12,2">
              <v:shape style="position:absolute;left:10088;top:1414;width:12;height:2" coordorigin="10088,1414" coordsize="12,0" path="m10088,1414l10100,1414e" filled="false" stroked="true" strokeweight=".6pt" strokecolor="#000008">
                <v:path arrowok="t"/>
              </v:shape>
            </v:group>
            <v:group style="position:absolute;left:10108;top:1414;width:12;height:2" coordorigin="10108,1414" coordsize="12,2">
              <v:shape style="position:absolute;left:10108;top:1414;width:12;height:2" coordorigin="10108,1414" coordsize="12,0" path="m10108,1414l10120,1414e" filled="false" stroked="true" strokeweight=".6pt" strokecolor="#000008">
                <v:path arrowok="t"/>
              </v:shape>
            </v:group>
            <v:group style="position:absolute;left:10127;top:1414;width:12;height:2" coordorigin="10127,1414" coordsize="12,2">
              <v:shape style="position:absolute;left:10127;top:1414;width:12;height:2" coordorigin="10127,1414" coordsize="12,0" path="m10127,1414l10139,1414e" filled="false" stroked="true" strokeweight=".6pt" strokecolor="#000008">
                <v:path arrowok="t"/>
              </v:shape>
            </v:group>
            <v:group style="position:absolute;left:10146;top:1414;width:12;height:2" coordorigin="10146,1414" coordsize="12,2">
              <v:shape style="position:absolute;left:10146;top:1414;width:12;height:2" coordorigin="10146,1414" coordsize="12,0" path="m10146,1414l10158,1414e" filled="false" stroked="true" strokeweight=".6pt" strokecolor="#000008">
                <v:path arrowok="t"/>
              </v:shape>
            </v:group>
            <v:group style="position:absolute;left:10165;top:1414;width:12;height:2" coordorigin="10165,1414" coordsize="12,2">
              <v:shape style="position:absolute;left:10165;top:1414;width:12;height:2" coordorigin="10165,1414" coordsize="12,0" path="m10165,1414l10177,1414e" filled="false" stroked="true" strokeweight=".6pt" strokecolor="#000008">
                <v:path arrowok="t"/>
              </v:shape>
            </v:group>
            <v:group style="position:absolute;left:10184;top:1414;width:12;height:2" coordorigin="10184,1414" coordsize="12,2">
              <v:shape style="position:absolute;left:10184;top:1414;width:12;height:2" coordorigin="10184,1414" coordsize="12,0" path="m10184,1414l10196,1414e" filled="false" stroked="true" strokeweight=".6pt" strokecolor="#000008">
                <v:path arrowok="t"/>
              </v:shape>
            </v:group>
            <v:group style="position:absolute;left:10204;top:1414;width:12;height:2" coordorigin="10204,1414" coordsize="12,2">
              <v:shape style="position:absolute;left:10204;top:1414;width:12;height:2" coordorigin="10204,1414" coordsize="12,0" path="m10204,1414l10216,1414e" filled="false" stroked="true" strokeweight=".6pt" strokecolor="#000008">
                <v:path arrowok="t"/>
              </v:shape>
            </v:group>
            <v:group style="position:absolute;left:10223;top:1414;width:12;height:2" coordorigin="10223,1414" coordsize="12,2">
              <v:shape style="position:absolute;left:10223;top:1414;width:12;height:2" coordorigin="10223,1414" coordsize="12,0" path="m10223,1414l10235,1414e" filled="false" stroked="true" strokeweight=".6pt" strokecolor="#000008">
                <v:path arrowok="t"/>
              </v:shape>
            </v:group>
            <v:group style="position:absolute;left:10242;top:1414;width:12;height:2" coordorigin="10242,1414" coordsize="12,2">
              <v:shape style="position:absolute;left:10242;top:1414;width:12;height:2" coordorigin="10242,1414" coordsize="12,0" path="m10242,1414l10254,1414e" filled="false" stroked="true" strokeweight=".6pt" strokecolor="#000008">
                <v:path arrowok="t"/>
              </v:shape>
            </v:group>
            <v:group style="position:absolute;left:10261;top:1414;width:12;height:2" coordorigin="10261,1414" coordsize="12,2">
              <v:shape style="position:absolute;left:10261;top:1414;width:12;height:2" coordorigin="10261,1414" coordsize="12,0" path="m10261,1414l10273,1414e" filled="false" stroked="true" strokeweight=".6pt" strokecolor="#000008">
                <v:path arrowok="t"/>
              </v:shape>
            </v:group>
            <v:group style="position:absolute;left:10280;top:1414;width:12;height:2" coordorigin="10280,1414" coordsize="12,2">
              <v:shape style="position:absolute;left:10280;top:1414;width:12;height:2" coordorigin="10280,1414" coordsize="12,0" path="m10280,1414l10292,1414e" filled="false" stroked="true" strokeweight=".6pt" strokecolor="#000008">
                <v:path arrowok="t"/>
              </v:shape>
            </v:group>
            <v:group style="position:absolute;left:10300;top:1414;width:12;height:2" coordorigin="10300,1414" coordsize="12,2">
              <v:shape style="position:absolute;left:10300;top:1414;width:12;height:2" coordorigin="10300,1414" coordsize="12,0" path="m10300,1414l10312,1414e" filled="false" stroked="true" strokeweight=".6pt" strokecolor="#000008">
                <v:path arrowok="t"/>
              </v:shape>
            </v:group>
            <v:group style="position:absolute;left:10319;top:1414;width:12;height:2" coordorigin="10319,1414" coordsize="12,2">
              <v:shape style="position:absolute;left:10319;top:1414;width:12;height:2" coordorigin="10319,1414" coordsize="12,0" path="m10319,1414l10331,1414e" filled="false" stroked="true" strokeweight=".6pt" strokecolor="#000008">
                <v:path arrowok="t"/>
              </v:shape>
            </v:group>
            <v:group style="position:absolute;left:10338;top:1414;width:12;height:2" coordorigin="10338,1414" coordsize="12,2">
              <v:shape style="position:absolute;left:10338;top:1414;width:12;height:2" coordorigin="10338,1414" coordsize="12,0" path="m10338,1414l10350,1414e" filled="false" stroked="true" strokeweight=".6pt" strokecolor="#000008">
                <v:path arrowok="t"/>
              </v:shape>
            </v:group>
            <v:group style="position:absolute;left:10357;top:1414;width:12;height:2" coordorigin="10357,1414" coordsize="12,2">
              <v:shape style="position:absolute;left:10357;top:1414;width:12;height:2" coordorigin="10357,1414" coordsize="12,0" path="m10357,1414l10369,1414e" filled="false" stroked="true" strokeweight=".6pt" strokecolor="#000008">
                <v:path arrowok="t"/>
              </v:shape>
            </v:group>
            <v:group style="position:absolute;left:10376;top:1414;width:12;height:2" coordorigin="10376,1414" coordsize="12,2">
              <v:shape style="position:absolute;left:10376;top:1414;width:12;height:2" coordorigin="10376,1414" coordsize="12,0" path="m10376,1414l10388,1414e" filled="false" stroked="true" strokeweight=".6pt" strokecolor="#000008">
                <v:path arrowok="t"/>
              </v:shape>
            </v:group>
            <v:group style="position:absolute;left:10396;top:1414;width:12;height:2" coordorigin="10396,1414" coordsize="12,2">
              <v:shape style="position:absolute;left:10396;top:1414;width:12;height:2" coordorigin="10396,1414" coordsize="12,0" path="m10396,1414l10408,1414e" filled="false" stroked="true" strokeweight=".6pt" strokecolor="#000008">
                <v:path arrowok="t"/>
              </v:shape>
            </v:group>
            <v:group style="position:absolute;left:10415;top:1414;width:12;height:2" coordorigin="10415,1414" coordsize="12,2">
              <v:shape style="position:absolute;left:10415;top:1414;width:12;height:2" coordorigin="10415,1414" coordsize="12,0" path="m10415,1414l10427,1414e" filled="false" stroked="true" strokeweight=".6pt" strokecolor="#000008">
                <v:path arrowok="t"/>
              </v:shape>
            </v:group>
            <w10:wrap type="none"/>
          </v:group>
        </w:pict>
      </w:r>
      <w:r>
        <w:rPr>
          <w:rFonts w:ascii="宋体" w:hAnsi="宋体" w:cs="宋体" w:eastAsia="宋体" w:hint="default"/>
          <w:sz w:val="20"/>
          <w:szCs w:val="20"/>
        </w:rPr>
        <w:t>投资所支付的现金</w:t>
      </w:r>
      <w:r>
        <w:rPr>
          <w:rFonts w:ascii="宋体" w:hAnsi="宋体" w:cs="宋体" w:eastAsia="宋体" w:hint="default"/>
          <w:w w:val="99"/>
          <w:sz w:val="20"/>
          <w:szCs w:val="20"/>
        </w:rPr>
        <w:t> </w:t>
      </w:r>
      <w:r>
        <w:rPr>
          <w:rFonts w:ascii="宋体" w:hAnsi="宋体" w:cs="宋体" w:eastAsia="宋体" w:hint="default"/>
          <w:w w:val="95"/>
          <w:sz w:val="20"/>
          <w:szCs w:val="20"/>
        </w:rPr>
        <w:t>取得子公司及其他营业单位支付的现金净额</w:t>
      </w:r>
      <w:r>
        <w:rPr>
          <w:rFonts w:ascii="宋体" w:hAnsi="宋体" w:cs="宋体" w:eastAsia="宋体" w:hint="default"/>
          <w:spacing w:val="79"/>
          <w:w w:val="95"/>
          <w:sz w:val="20"/>
          <w:szCs w:val="20"/>
        </w:rPr>
        <w:t> </w:t>
      </w:r>
      <w:r>
        <w:rPr>
          <w:rFonts w:ascii="宋体" w:hAnsi="宋体" w:cs="宋体" w:eastAsia="宋体" w:hint="default"/>
          <w:sz w:val="20"/>
          <w:szCs w:val="20"/>
        </w:rPr>
        <w:t>支付其他与投资活动有关的现金</w:t>
      </w:r>
    </w:p>
    <w:p>
      <w:pPr>
        <w:spacing w:line="324" w:lineRule="auto" w:before="0"/>
        <w:ind w:left="991" w:right="4451" w:firstLine="3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p>
      <w:pPr>
        <w:spacing w:line="332" w:lineRule="exact" w:before="0"/>
        <w:ind w:left="137" w:right="149"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p>
      <w:pPr>
        <w:spacing w:after="0" w:line="332" w:lineRule="exact"/>
        <w:jc w:val="left"/>
        <w:rPr>
          <w:rFonts w:ascii="Microsoft JhengHei" w:hAnsi="Microsoft JhengHei" w:cs="Microsoft JhengHei" w:eastAsia="Microsoft JhengHei" w:hint="default"/>
          <w:sz w:val="20"/>
          <w:szCs w:val="20"/>
        </w:rPr>
        <w:sectPr>
          <w:footerReference w:type="default" r:id="rId149"/>
          <w:pgSz w:w="11910" w:h="16840"/>
          <w:pgMar w:footer="897" w:header="943" w:top="1640" w:bottom="1080" w:left="1660" w:right="1320"/>
          <w:pgNumType w:start="110"/>
        </w:sectPr>
      </w:pPr>
    </w:p>
    <w:p>
      <w:pPr>
        <w:spacing w:line="240" w:lineRule="auto" w:before="15"/>
        <w:rPr>
          <w:rFonts w:ascii="Microsoft JhengHei" w:hAnsi="Microsoft JhengHei" w:cs="Microsoft JhengHei" w:eastAsia="Microsoft JhengHei" w:hint="default"/>
          <w:b/>
          <w:bCs/>
          <w:sz w:val="6"/>
          <w:szCs w:val="6"/>
        </w:rPr>
      </w:pPr>
    </w:p>
    <w:p>
      <w:pPr>
        <w:spacing w:line="20" w:lineRule="exact"/>
        <w:ind w:left="10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8.45pt;height:.75pt;mso-position-horizontal-relative:char;mso-position-vertical-relative:line" coordorigin="0,0" coordsize="8369,15">
            <v:group style="position:absolute;left:7;top:7;width:8355;height:2" coordorigin="7,7" coordsize="8355,2">
              <v:shape style="position:absolute;left:7;top:7;width:8355;height:2" coordorigin="7,7" coordsize="8355,0" path="m7,7l8362,7e" filled="false" stroked="true" strokeweight=".72pt" strokecolor="#000008">
                <v:path arrowok="t"/>
              </v:shape>
            </v:group>
          </v:group>
        </w:pict>
      </w:r>
      <w:r>
        <w:rPr>
          <w:rFonts w:ascii="Microsoft JhengHei" w:hAnsi="Microsoft JhengHei" w:cs="Microsoft JhengHei" w:eastAsia="Microsoft JhengHei" w:hint="default"/>
          <w:sz w:val="2"/>
          <w:szCs w:val="2"/>
        </w:rPr>
      </w:r>
    </w:p>
    <w:p>
      <w:pPr>
        <w:spacing w:line="422" w:lineRule="auto" w:before="63"/>
        <w:ind w:left="516" w:right="4871" w:firstLine="0"/>
        <w:jc w:val="left"/>
        <w:rPr>
          <w:rFonts w:ascii="宋体" w:hAnsi="宋体" w:cs="宋体" w:eastAsia="宋体" w:hint="default"/>
          <w:sz w:val="20"/>
          <w:szCs w:val="20"/>
        </w:rPr>
      </w:pPr>
      <w:r>
        <w:rPr/>
        <w:pict>
          <v:group style="position:absolute;margin-left:359.399994pt;margin-top:68.649689pt;width:72.25pt;height:.6pt;mso-position-horizontal-relative:page;mso-position-vertical-relative:paragraph;z-index:3496" coordorigin="7188,1373" coordsize="1445,12">
            <v:group style="position:absolute;left:7194;top:1379;width:12;height:2" coordorigin="7194,1379" coordsize="12,2">
              <v:shape style="position:absolute;left:7194;top:1379;width:12;height:2" coordorigin="7194,1379" coordsize="12,0" path="m7194,1379l7206,1379e" filled="false" stroked="true" strokeweight=".6pt" strokecolor="#000008">
                <v:path arrowok="t"/>
              </v:shape>
            </v:group>
            <v:group style="position:absolute;left:7213;top:1379;width:12;height:2" coordorigin="7213,1379" coordsize="12,2">
              <v:shape style="position:absolute;left:7213;top:1379;width:12;height:2" coordorigin="7213,1379" coordsize="12,0" path="m7213,1379l7225,1379e" filled="false" stroked="true" strokeweight=".6pt" strokecolor="#000008">
                <v:path arrowok="t"/>
              </v:shape>
            </v:group>
            <v:group style="position:absolute;left:7232;top:1379;width:12;height:2" coordorigin="7232,1379" coordsize="12,2">
              <v:shape style="position:absolute;left:7232;top:1379;width:12;height:2" coordorigin="7232,1379" coordsize="12,0" path="m7232,1379l7244,1379e" filled="false" stroked="true" strokeweight=".6pt" strokecolor="#000008">
                <v:path arrowok="t"/>
              </v:shape>
            </v:group>
            <v:group style="position:absolute;left:7252;top:1379;width:12;height:2" coordorigin="7252,1379" coordsize="12,2">
              <v:shape style="position:absolute;left:7252;top:1379;width:12;height:2" coordorigin="7252,1379" coordsize="12,0" path="m7252,1379l7264,1379e" filled="false" stroked="true" strokeweight=".6pt" strokecolor="#000008">
                <v:path arrowok="t"/>
              </v:shape>
            </v:group>
            <v:group style="position:absolute;left:7271;top:1379;width:12;height:2" coordorigin="7271,1379" coordsize="12,2">
              <v:shape style="position:absolute;left:7271;top:1379;width:12;height:2" coordorigin="7271,1379" coordsize="12,0" path="m7271,1379l7283,1379e" filled="false" stroked="true" strokeweight=".6pt" strokecolor="#000008">
                <v:path arrowok="t"/>
              </v:shape>
            </v:group>
            <v:group style="position:absolute;left:7290;top:1379;width:12;height:2" coordorigin="7290,1379" coordsize="12,2">
              <v:shape style="position:absolute;left:7290;top:1379;width:12;height:2" coordorigin="7290,1379" coordsize="12,0" path="m7290,1379l7302,1379e" filled="false" stroked="true" strokeweight=".6pt" strokecolor="#000008">
                <v:path arrowok="t"/>
              </v:shape>
            </v:group>
            <v:group style="position:absolute;left:7309;top:1379;width:12;height:2" coordorigin="7309,1379" coordsize="12,2">
              <v:shape style="position:absolute;left:7309;top:1379;width:12;height:2" coordorigin="7309,1379" coordsize="12,0" path="m7309,1379l7321,1379e" filled="false" stroked="true" strokeweight=".6pt" strokecolor="#000008">
                <v:path arrowok="t"/>
              </v:shape>
            </v:group>
            <v:group style="position:absolute;left:7328;top:1379;width:12;height:2" coordorigin="7328,1379" coordsize="12,2">
              <v:shape style="position:absolute;left:7328;top:1379;width:12;height:2" coordorigin="7328,1379" coordsize="12,0" path="m7328,1379l7340,1379e" filled="false" stroked="true" strokeweight=".6pt" strokecolor="#000008">
                <v:path arrowok="t"/>
              </v:shape>
            </v:group>
            <v:group style="position:absolute;left:7348;top:1379;width:12;height:2" coordorigin="7348,1379" coordsize="12,2">
              <v:shape style="position:absolute;left:7348;top:1379;width:12;height:2" coordorigin="7348,1379" coordsize="12,0" path="m7348,1379l7360,1379e" filled="false" stroked="true" strokeweight=".6pt" strokecolor="#000008">
                <v:path arrowok="t"/>
              </v:shape>
            </v:group>
            <v:group style="position:absolute;left:7367;top:1379;width:12;height:2" coordorigin="7367,1379" coordsize="12,2">
              <v:shape style="position:absolute;left:7367;top:1379;width:12;height:2" coordorigin="7367,1379" coordsize="12,0" path="m7367,1379l7379,1379e" filled="false" stroked="true" strokeweight=".6pt" strokecolor="#000008">
                <v:path arrowok="t"/>
              </v:shape>
            </v:group>
            <v:group style="position:absolute;left:7386;top:1379;width:12;height:2" coordorigin="7386,1379" coordsize="12,2">
              <v:shape style="position:absolute;left:7386;top:1379;width:12;height:2" coordorigin="7386,1379" coordsize="12,0" path="m7386,1379l7398,1379e" filled="false" stroked="true" strokeweight=".6pt" strokecolor="#000008">
                <v:path arrowok="t"/>
              </v:shape>
            </v:group>
            <v:group style="position:absolute;left:7405;top:1379;width:12;height:2" coordorigin="7405,1379" coordsize="12,2">
              <v:shape style="position:absolute;left:7405;top:1379;width:12;height:2" coordorigin="7405,1379" coordsize="12,0" path="m7405,1379l7417,1379e" filled="false" stroked="true" strokeweight=".6pt" strokecolor="#000008">
                <v:path arrowok="t"/>
              </v:shape>
            </v:group>
            <v:group style="position:absolute;left:7424;top:1379;width:12;height:2" coordorigin="7424,1379" coordsize="12,2">
              <v:shape style="position:absolute;left:7424;top:1379;width:12;height:2" coordorigin="7424,1379" coordsize="12,0" path="m7424,1379l7436,1379e" filled="false" stroked="true" strokeweight=".6pt" strokecolor="#000008">
                <v:path arrowok="t"/>
              </v:shape>
            </v:group>
            <v:group style="position:absolute;left:7444;top:1379;width:12;height:2" coordorigin="7444,1379" coordsize="12,2">
              <v:shape style="position:absolute;left:7444;top:1379;width:12;height:2" coordorigin="7444,1379" coordsize="12,0" path="m7444,1379l7456,1379e" filled="false" stroked="true" strokeweight=".6pt" strokecolor="#000008">
                <v:path arrowok="t"/>
              </v:shape>
            </v:group>
            <v:group style="position:absolute;left:7463;top:1379;width:12;height:2" coordorigin="7463,1379" coordsize="12,2">
              <v:shape style="position:absolute;left:7463;top:1379;width:12;height:2" coordorigin="7463,1379" coordsize="12,0" path="m7463,1379l7475,1379e" filled="false" stroked="true" strokeweight=".6pt" strokecolor="#000008">
                <v:path arrowok="t"/>
              </v:shape>
            </v:group>
            <v:group style="position:absolute;left:7482;top:1379;width:12;height:2" coordorigin="7482,1379" coordsize="12,2">
              <v:shape style="position:absolute;left:7482;top:1379;width:12;height:2" coordorigin="7482,1379" coordsize="12,0" path="m7482,1379l7494,1379e" filled="false" stroked="true" strokeweight=".6pt" strokecolor="#000008">
                <v:path arrowok="t"/>
              </v:shape>
            </v:group>
            <v:group style="position:absolute;left:7501;top:1379;width:12;height:2" coordorigin="7501,1379" coordsize="12,2">
              <v:shape style="position:absolute;left:7501;top:1379;width:12;height:2" coordorigin="7501,1379" coordsize="12,0" path="m7501,1379l7513,1379e" filled="false" stroked="true" strokeweight=".6pt" strokecolor="#000008">
                <v:path arrowok="t"/>
              </v:shape>
            </v:group>
            <v:group style="position:absolute;left:7520;top:1379;width:12;height:2" coordorigin="7520,1379" coordsize="12,2">
              <v:shape style="position:absolute;left:7520;top:1379;width:12;height:2" coordorigin="7520,1379" coordsize="12,0" path="m7520,1379l7532,1379e" filled="false" stroked="true" strokeweight=".6pt" strokecolor="#000008">
                <v:path arrowok="t"/>
              </v:shape>
            </v:group>
            <v:group style="position:absolute;left:7540;top:1379;width:12;height:2" coordorigin="7540,1379" coordsize="12,2">
              <v:shape style="position:absolute;left:7540;top:1379;width:12;height:2" coordorigin="7540,1379" coordsize="12,0" path="m7540,1379l7552,1379e" filled="false" stroked="true" strokeweight=".6pt" strokecolor="#000008">
                <v:path arrowok="t"/>
              </v:shape>
            </v:group>
            <v:group style="position:absolute;left:7559;top:1379;width:12;height:2" coordorigin="7559,1379" coordsize="12,2">
              <v:shape style="position:absolute;left:7559;top:1379;width:12;height:2" coordorigin="7559,1379" coordsize="12,0" path="m7559,1379l7571,1379e" filled="false" stroked="true" strokeweight=".6pt" strokecolor="#000008">
                <v:path arrowok="t"/>
              </v:shape>
            </v:group>
            <v:group style="position:absolute;left:7578;top:1379;width:12;height:2" coordorigin="7578,1379" coordsize="12,2">
              <v:shape style="position:absolute;left:7578;top:1379;width:12;height:2" coordorigin="7578,1379" coordsize="12,0" path="m7578,1379l7590,1379e" filled="false" stroked="true" strokeweight=".6pt" strokecolor="#000008">
                <v:path arrowok="t"/>
              </v:shape>
            </v:group>
            <v:group style="position:absolute;left:7597;top:1379;width:12;height:2" coordorigin="7597,1379" coordsize="12,2">
              <v:shape style="position:absolute;left:7597;top:1379;width:12;height:2" coordorigin="7597,1379" coordsize="12,0" path="m7597,1379l7609,1379e" filled="false" stroked="true" strokeweight=".6pt" strokecolor="#000008">
                <v:path arrowok="t"/>
              </v:shape>
            </v:group>
            <v:group style="position:absolute;left:7616;top:1379;width:12;height:2" coordorigin="7616,1379" coordsize="12,2">
              <v:shape style="position:absolute;left:7616;top:1379;width:12;height:2" coordorigin="7616,1379" coordsize="12,0" path="m7616,1379l7628,1379e" filled="false" stroked="true" strokeweight=".6pt" strokecolor="#000008">
                <v:path arrowok="t"/>
              </v:shape>
            </v:group>
            <v:group style="position:absolute;left:7636;top:1379;width:12;height:2" coordorigin="7636,1379" coordsize="12,2">
              <v:shape style="position:absolute;left:7636;top:1379;width:12;height:2" coordorigin="7636,1379" coordsize="12,0" path="m7636,1379l7648,1379e" filled="false" stroked="true" strokeweight=".6pt" strokecolor="#000008">
                <v:path arrowok="t"/>
              </v:shape>
            </v:group>
            <v:group style="position:absolute;left:7655;top:1379;width:12;height:2" coordorigin="7655,1379" coordsize="12,2">
              <v:shape style="position:absolute;left:7655;top:1379;width:12;height:2" coordorigin="7655,1379" coordsize="12,0" path="m7655,1379l7667,1379e" filled="false" stroked="true" strokeweight=".6pt" strokecolor="#000008">
                <v:path arrowok="t"/>
              </v:shape>
            </v:group>
            <v:group style="position:absolute;left:7674;top:1379;width:12;height:2" coordorigin="7674,1379" coordsize="12,2">
              <v:shape style="position:absolute;left:7674;top:1379;width:12;height:2" coordorigin="7674,1379" coordsize="12,0" path="m7674,1379l7686,1379e" filled="false" stroked="true" strokeweight=".6pt" strokecolor="#000008">
                <v:path arrowok="t"/>
              </v:shape>
            </v:group>
            <v:group style="position:absolute;left:7693;top:1379;width:12;height:2" coordorigin="7693,1379" coordsize="12,2">
              <v:shape style="position:absolute;left:7693;top:1379;width:12;height:2" coordorigin="7693,1379" coordsize="12,0" path="m7693,1379l7705,1379e" filled="false" stroked="true" strokeweight=".6pt" strokecolor="#000008">
                <v:path arrowok="t"/>
              </v:shape>
            </v:group>
            <v:group style="position:absolute;left:7712;top:1379;width:12;height:2" coordorigin="7712,1379" coordsize="12,2">
              <v:shape style="position:absolute;left:7712;top:1379;width:12;height:2" coordorigin="7712,1379" coordsize="12,0" path="m7712,1379l7724,1379e" filled="false" stroked="true" strokeweight=".6pt" strokecolor="#000008">
                <v:path arrowok="t"/>
              </v:shape>
            </v:group>
            <v:group style="position:absolute;left:7732;top:1379;width:12;height:2" coordorigin="7732,1379" coordsize="12,2">
              <v:shape style="position:absolute;left:7732;top:1379;width:12;height:2" coordorigin="7732,1379" coordsize="12,0" path="m7732,1379l7744,1379e" filled="false" stroked="true" strokeweight=".6pt" strokecolor="#000008">
                <v:path arrowok="t"/>
              </v:shape>
            </v:group>
            <v:group style="position:absolute;left:7751;top:1379;width:12;height:2" coordorigin="7751,1379" coordsize="12,2">
              <v:shape style="position:absolute;left:7751;top:1379;width:12;height:2" coordorigin="7751,1379" coordsize="12,0" path="m7751,1379l7763,1379e" filled="false" stroked="true" strokeweight=".6pt" strokecolor="#000008">
                <v:path arrowok="t"/>
              </v:shape>
            </v:group>
            <v:group style="position:absolute;left:7770;top:1379;width:12;height:2" coordorigin="7770,1379" coordsize="12,2">
              <v:shape style="position:absolute;left:7770;top:1379;width:12;height:2" coordorigin="7770,1379" coordsize="12,0" path="m7770,1379l7782,1379e" filled="false" stroked="true" strokeweight=".6pt" strokecolor="#000008">
                <v:path arrowok="t"/>
              </v:shape>
            </v:group>
            <v:group style="position:absolute;left:7789;top:1379;width:12;height:2" coordorigin="7789,1379" coordsize="12,2">
              <v:shape style="position:absolute;left:7789;top:1379;width:12;height:2" coordorigin="7789,1379" coordsize="12,0" path="m7789,1379l7801,1379e" filled="false" stroked="true" strokeweight=".6pt" strokecolor="#000008">
                <v:path arrowok="t"/>
              </v:shape>
            </v:group>
            <v:group style="position:absolute;left:7808;top:1379;width:12;height:2" coordorigin="7808,1379" coordsize="12,2">
              <v:shape style="position:absolute;left:7808;top:1379;width:12;height:2" coordorigin="7808,1379" coordsize="12,0" path="m7808,1379l7820,1379e" filled="false" stroked="true" strokeweight=".6pt" strokecolor="#000008">
                <v:path arrowok="t"/>
              </v:shape>
            </v:group>
            <v:group style="position:absolute;left:7828;top:1379;width:12;height:2" coordorigin="7828,1379" coordsize="12,2">
              <v:shape style="position:absolute;left:7828;top:1379;width:12;height:2" coordorigin="7828,1379" coordsize="12,0" path="m7828,1379l7840,1379e" filled="false" stroked="true" strokeweight=".6pt" strokecolor="#000008">
                <v:path arrowok="t"/>
              </v:shape>
            </v:group>
            <v:group style="position:absolute;left:7847;top:1379;width:12;height:2" coordorigin="7847,1379" coordsize="12,2">
              <v:shape style="position:absolute;left:7847;top:1379;width:12;height:2" coordorigin="7847,1379" coordsize="12,0" path="m7847,1379l7859,1379e" filled="false" stroked="true" strokeweight=".6pt" strokecolor="#000008">
                <v:path arrowok="t"/>
              </v:shape>
            </v:group>
            <v:group style="position:absolute;left:7866;top:1379;width:12;height:2" coordorigin="7866,1379" coordsize="12,2">
              <v:shape style="position:absolute;left:7866;top:1379;width:12;height:2" coordorigin="7866,1379" coordsize="12,0" path="m7866,1379l7878,1379e" filled="false" stroked="true" strokeweight=".6pt" strokecolor="#000008">
                <v:path arrowok="t"/>
              </v:shape>
            </v:group>
            <v:group style="position:absolute;left:7885;top:1379;width:12;height:2" coordorigin="7885,1379" coordsize="12,2">
              <v:shape style="position:absolute;left:7885;top:1379;width:12;height:2" coordorigin="7885,1379" coordsize="12,0" path="m7885,1379l7897,1379e" filled="false" stroked="true" strokeweight=".6pt" strokecolor="#000008">
                <v:path arrowok="t"/>
              </v:shape>
            </v:group>
            <v:group style="position:absolute;left:7904;top:1379;width:12;height:2" coordorigin="7904,1379" coordsize="12,2">
              <v:shape style="position:absolute;left:7904;top:1379;width:12;height:2" coordorigin="7904,1379" coordsize="12,0" path="m7904,1379l7916,1379e" filled="false" stroked="true" strokeweight=".6pt" strokecolor="#000008">
                <v:path arrowok="t"/>
              </v:shape>
            </v:group>
            <v:group style="position:absolute;left:7924;top:1379;width:12;height:2" coordorigin="7924,1379" coordsize="12,2">
              <v:shape style="position:absolute;left:7924;top:1379;width:12;height:2" coordorigin="7924,1379" coordsize="12,0" path="m7924,1379l7936,1379e" filled="false" stroked="true" strokeweight=".6pt" strokecolor="#000008">
                <v:path arrowok="t"/>
              </v:shape>
            </v:group>
            <v:group style="position:absolute;left:7943;top:1379;width:12;height:2" coordorigin="7943,1379" coordsize="12,2">
              <v:shape style="position:absolute;left:7943;top:1379;width:12;height:2" coordorigin="7943,1379" coordsize="12,0" path="m7943,1379l7955,1379e" filled="false" stroked="true" strokeweight=".6pt" strokecolor="#000008">
                <v:path arrowok="t"/>
              </v:shape>
            </v:group>
            <v:group style="position:absolute;left:7962;top:1379;width:12;height:2" coordorigin="7962,1379" coordsize="12,2">
              <v:shape style="position:absolute;left:7962;top:1379;width:12;height:2" coordorigin="7962,1379" coordsize="12,0" path="m7962,1379l7974,1379e" filled="false" stroked="true" strokeweight=".6pt" strokecolor="#000008">
                <v:path arrowok="t"/>
              </v:shape>
            </v:group>
            <v:group style="position:absolute;left:7981;top:1379;width:12;height:2" coordorigin="7981,1379" coordsize="12,2">
              <v:shape style="position:absolute;left:7981;top:1379;width:12;height:2" coordorigin="7981,1379" coordsize="12,0" path="m7981,1379l7993,1379e" filled="false" stroked="true" strokeweight=".6pt" strokecolor="#000008">
                <v:path arrowok="t"/>
              </v:shape>
            </v:group>
            <v:group style="position:absolute;left:8000;top:1379;width:12;height:2" coordorigin="8000,1379" coordsize="12,2">
              <v:shape style="position:absolute;left:8000;top:1379;width:12;height:2" coordorigin="8000,1379" coordsize="12,0" path="m8000,1379l8012,1379e" filled="false" stroked="true" strokeweight=".6pt" strokecolor="#000008">
                <v:path arrowok="t"/>
              </v:shape>
            </v:group>
            <v:group style="position:absolute;left:8020;top:1379;width:12;height:2" coordorigin="8020,1379" coordsize="12,2">
              <v:shape style="position:absolute;left:8020;top:1379;width:12;height:2" coordorigin="8020,1379" coordsize="12,0" path="m8020,1379l8032,1379e" filled="false" stroked="true" strokeweight=".6pt" strokecolor="#000008">
                <v:path arrowok="t"/>
              </v:shape>
            </v:group>
            <v:group style="position:absolute;left:8039;top:1379;width:12;height:2" coordorigin="8039,1379" coordsize="12,2">
              <v:shape style="position:absolute;left:8039;top:1379;width:12;height:2" coordorigin="8039,1379" coordsize="12,0" path="m8039,1379l8051,1379e" filled="false" stroked="true" strokeweight=".6pt" strokecolor="#000008">
                <v:path arrowok="t"/>
              </v:shape>
            </v:group>
            <v:group style="position:absolute;left:8058;top:1379;width:12;height:2" coordorigin="8058,1379" coordsize="12,2">
              <v:shape style="position:absolute;left:8058;top:1379;width:12;height:2" coordorigin="8058,1379" coordsize="12,0" path="m8058,1379l8070,1379e" filled="false" stroked="true" strokeweight=".6pt" strokecolor="#000008">
                <v:path arrowok="t"/>
              </v:shape>
            </v:group>
            <v:group style="position:absolute;left:8077;top:1379;width:12;height:2" coordorigin="8077,1379" coordsize="12,2">
              <v:shape style="position:absolute;left:8077;top:1379;width:12;height:2" coordorigin="8077,1379" coordsize="12,0" path="m8077,1379l8089,1379e" filled="false" stroked="true" strokeweight=".6pt" strokecolor="#000008">
                <v:path arrowok="t"/>
              </v:shape>
            </v:group>
            <v:group style="position:absolute;left:8096;top:1379;width:12;height:2" coordorigin="8096,1379" coordsize="12,2">
              <v:shape style="position:absolute;left:8096;top:1379;width:12;height:2" coordorigin="8096,1379" coordsize="12,0" path="m8096,1379l8108,1379e" filled="false" stroked="true" strokeweight=".6pt" strokecolor="#000008">
                <v:path arrowok="t"/>
              </v:shape>
            </v:group>
            <v:group style="position:absolute;left:8116;top:1379;width:12;height:2" coordorigin="8116,1379" coordsize="12,2">
              <v:shape style="position:absolute;left:8116;top:1379;width:12;height:2" coordorigin="8116,1379" coordsize="12,0" path="m8116,1379l8128,1379e" filled="false" stroked="true" strokeweight=".6pt" strokecolor="#000008">
                <v:path arrowok="t"/>
              </v:shape>
            </v:group>
            <v:group style="position:absolute;left:8135;top:1379;width:12;height:2" coordorigin="8135,1379" coordsize="12,2">
              <v:shape style="position:absolute;left:8135;top:1379;width:12;height:2" coordorigin="8135,1379" coordsize="12,0" path="m8135,1379l8147,1379e" filled="false" stroked="true" strokeweight=".6pt" strokecolor="#000008">
                <v:path arrowok="t"/>
              </v:shape>
            </v:group>
            <v:group style="position:absolute;left:8154;top:1379;width:12;height:2" coordorigin="8154,1379" coordsize="12,2">
              <v:shape style="position:absolute;left:8154;top:1379;width:12;height:2" coordorigin="8154,1379" coordsize="12,0" path="m8154,1379l8166,1379e" filled="false" stroked="true" strokeweight=".6pt" strokecolor="#000008">
                <v:path arrowok="t"/>
              </v:shape>
            </v:group>
            <v:group style="position:absolute;left:8173;top:1379;width:12;height:2" coordorigin="8173,1379" coordsize="12,2">
              <v:shape style="position:absolute;left:8173;top:1379;width:12;height:2" coordorigin="8173,1379" coordsize="12,0" path="m8173,1379l8185,1379e" filled="false" stroked="true" strokeweight=".6pt" strokecolor="#000008">
                <v:path arrowok="t"/>
              </v:shape>
            </v:group>
            <v:group style="position:absolute;left:8192;top:1379;width:12;height:2" coordorigin="8192,1379" coordsize="12,2">
              <v:shape style="position:absolute;left:8192;top:1379;width:12;height:2" coordorigin="8192,1379" coordsize="12,0" path="m8192,1379l8204,1379e" filled="false" stroked="true" strokeweight=".6pt" strokecolor="#000008">
                <v:path arrowok="t"/>
              </v:shape>
            </v:group>
            <v:group style="position:absolute;left:8212;top:1379;width:12;height:2" coordorigin="8212,1379" coordsize="12,2">
              <v:shape style="position:absolute;left:8212;top:1379;width:12;height:2" coordorigin="8212,1379" coordsize="12,0" path="m8212,1379l8224,1379e" filled="false" stroked="true" strokeweight=".6pt" strokecolor="#000008">
                <v:path arrowok="t"/>
              </v:shape>
            </v:group>
            <v:group style="position:absolute;left:8231;top:1379;width:12;height:2" coordorigin="8231,1379" coordsize="12,2">
              <v:shape style="position:absolute;left:8231;top:1379;width:12;height:2" coordorigin="8231,1379" coordsize="12,0" path="m8231,1379l8243,1379e" filled="false" stroked="true" strokeweight=".6pt" strokecolor="#000008">
                <v:path arrowok="t"/>
              </v:shape>
            </v:group>
            <v:group style="position:absolute;left:8250;top:1379;width:12;height:2" coordorigin="8250,1379" coordsize="12,2">
              <v:shape style="position:absolute;left:8250;top:1379;width:12;height:2" coordorigin="8250,1379" coordsize="12,0" path="m8250,1379l8262,1379e" filled="false" stroked="true" strokeweight=".6pt" strokecolor="#000008">
                <v:path arrowok="t"/>
              </v:shape>
            </v:group>
            <v:group style="position:absolute;left:8269;top:1379;width:12;height:2" coordorigin="8269,1379" coordsize="12,2">
              <v:shape style="position:absolute;left:8269;top:1379;width:12;height:2" coordorigin="8269,1379" coordsize="12,0" path="m8269,1379l8281,1379e" filled="false" stroked="true" strokeweight=".6pt" strokecolor="#000008">
                <v:path arrowok="t"/>
              </v:shape>
            </v:group>
            <v:group style="position:absolute;left:8288;top:1379;width:12;height:2" coordorigin="8288,1379" coordsize="12,2">
              <v:shape style="position:absolute;left:8288;top:1379;width:12;height:2" coordorigin="8288,1379" coordsize="12,0" path="m8288,1379l8300,1379e" filled="false" stroked="true" strokeweight=".6pt" strokecolor="#000008">
                <v:path arrowok="t"/>
              </v:shape>
            </v:group>
            <v:group style="position:absolute;left:8308;top:1379;width:12;height:2" coordorigin="8308,1379" coordsize="12,2">
              <v:shape style="position:absolute;left:8308;top:1379;width:12;height:2" coordorigin="8308,1379" coordsize="12,0" path="m8308,1379l8320,1379e" filled="false" stroked="true" strokeweight=".6pt" strokecolor="#000008">
                <v:path arrowok="t"/>
              </v:shape>
            </v:group>
            <v:group style="position:absolute;left:8327;top:1379;width:12;height:2" coordorigin="8327,1379" coordsize="12,2">
              <v:shape style="position:absolute;left:8327;top:1379;width:12;height:2" coordorigin="8327,1379" coordsize="12,0" path="m8327,1379l8339,1379e" filled="false" stroked="true" strokeweight=".6pt" strokecolor="#000008">
                <v:path arrowok="t"/>
              </v:shape>
            </v:group>
            <v:group style="position:absolute;left:8346;top:1379;width:12;height:2" coordorigin="8346,1379" coordsize="12,2">
              <v:shape style="position:absolute;left:8346;top:1379;width:12;height:2" coordorigin="8346,1379" coordsize="12,0" path="m8346,1379l8358,1379e" filled="false" stroked="true" strokeweight=".6pt" strokecolor="#000008">
                <v:path arrowok="t"/>
              </v:shape>
            </v:group>
            <v:group style="position:absolute;left:8365;top:1379;width:12;height:2" coordorigin="8365,1379" coordsize="12,2">
              <v:shape style="position:absolute;left:8365;top:1379;width:12;height:2" coordorigin="8365,1379" coordsize="12,0" path="m8365,1379l8377,1379e" filled="false" stroked="true" strokeweight=".6pt" strokecolor="#000008">
                <v:path arrowok="t"/>
              </v:shape>
            </v:group>
            <v:group style="position:absolute;left:8384;top:1379;width:12;height:2" coordorigin="8384,1379" coordsize="12,2">
              <v:shape style="position:absolute;left:8384;top:1379;width:12;height:2" coordorigin="8384,1379" coordsize="12,0" path="m8384,1379l8396,1379e" filled="false" stroked="true" strokeweight=".6pt" strokecolor="#000008">
                <v:path arrowok="t"/>
              </v:shape>
            </v:group>
            <v:group style="position:absolute;left:8404;top:1379;width:12;height:2" coordorigin="8404,1379" coordsize="12,2">
              <v:shape style="position:absolute;left:8404;top:1379;width:12;height:2" coordorigin="8404,1379" coordsize="12,0" path="m8404,1379l8416,1379e" filled="false" stroked="true" strokeweight=".6pt" strokecolor="#000008">
                <v:path arrowok="t"/>
              </v:shape>
            </v:group>
            <v:group style="position:absolute;left:8423;top:1379;width:12;height:2" coordorigin="8423,1379" coordsize="12,2">
              <v:shape style="position:absolute;left:8423;top:1379;width:12;height:2" coordorigin="8423,1379" coordsize="12,0" path="m8423,1379l8435,1379e" filled="false" stroked="true" strokeweight=".6pt" strokecolor="#000008">
                <v:path arrowok="t"/>
              </v:shape>
            </v:group>
            <v:group style="position:absolute;left:8442;top:1379;width:12;height:2" coordorigin="8442,1379" coordsize="12,2">
              <v:shape style="position:absolute;left:8442;top:1379;width:12;height:2" coordorigin="8442,1379" coordsize="12,0" path="m8442,1379l8454,1379e" filled="false" stroked="true" strokeweight=".6pt" strokecolor="#000008">
                <v:path arrowok="t"/>
              </v:shape>
            </v:group>
            <v:group style="position:absolute;left:8461;top:1379;width:12;height:2" coordorigin="8461,1379" coordsize="12,2">
              <v:shape style="position:absolute;left:8461;top:1379;width:12;height:2" coordorigin="8461,1379" coordsize="12,0" path="m8461,1379l8473,1379e" filled="false" stroked="true" strokeweight=".6pt" strokecolor="#000008">
                <v:path arrowok="t"/>
              </v:shape>
            </v:group>
            <v:group style="position:absolute;left:8480;top:1379;width:12;height:2" coordorigin="8480,1379" coordsize="12,2">
              <v:shape style="position:absolute;left:8480;top:1379;width:12;height:2" coordorigin="8480,1379" coordsize="12,0" path="m8480,1379l8492,1379e" filled="false" stroked="true" strokeweight=".6pt" strokecolor="#000008">
                <v:path arrowok="t"/>
              </v:shape>
            </v:group>
            <v:group style="position:absolute;left:8500;top:1379;width:12;height:2" coordorigin="8500,1379" coordsize="12,2">
              <v:shape style="position:absolute;left:8500;top:1379;width:12;height:2" coordorigin="8500,1379" coordsize="12,0" path="m8500,1379l8512,1379e" filled="false" stroked="true" strokeweight=".6pt" strokecolor="#000008">
                <v:path arrowok="t"/>
              </v:shape>
            </v:group>
            <v:group style="position:absolute;left:8519;top:1379;width:12;height:2" coordorigin="8519,1379" coordsize="12,2">
              <v:shape style="position:absolute;left:8519;top:1379;width:12;height:2" coordorigin="8519,1379" coordsize="12,0" path="m8519,1379l8531,1379e" filled="false" stroked="true" strokeweight=".6pt" strokecolor="#000008">
                <v:path arrowok="t"/>
              </v:shape>
            </v:group>
            <v:group style="position:absolute;left:8538;top:1379;width:12;height:2" coordorigin="8538,1379" coordsize="12,2">
              <v:shape style="position:absolute;left:8538;top:1379;width:12;height:2" coordorigin="8538,1379" coordsize="12,0" path="m8538,1379l8550,1379e" filled="false" stroked="true" strokeweight=".6pt" strokecolor="#000008">
                <v:path arrowok="t"/>
              </v:shape>
            </v:group>
            <v:group style="position:absolute;left:8557;top:1379;width:12;height:2" coordorigin="8557,1379" coordsize="12,2">
              <v:shape style="position:absolute;left:8557;top:1379;width:12;height:2" coordorigin="8557,1379" coordsize="12,0" path="m8557,1379l8569,1379e" filled="false" stroked="true" strokeweight=".6pt" strokecolor="#000008">
                <v:path arrowok="t"/>
              </v:shape>
            </v:group>
            <v:group style="position:absolute;left:8576;top:1379;width:12;height:2" coordorigin="8576,1379" coordsize="12,2">
              <v:shape style="position:absolute;left:8576;top:1379;width:12;height:2" coordorigin="8576,1379" coordsize="12,0" path="m8576,1379l8588,1379e" filled="false" stroked="true" strokeweight=".6pt" strokecolor="#000008">
                <v:path arrowok="t"/>
              </v:shape>
            </v:group>
            <v:group style="position:absolute;left:8596;top:1379;width:12;height:2" coordorigin="8596,1379" coordsize="12,2">
              <v:shape style="position:absolute;left:8596;top:1379;width:12;height:2" coordorigin="8596,1379" coordsize="12,0" path="m8596,1379l8608,1379e" filled="false" stroked="true" strokeweight=".6pt" strokecolor="#000008">
                <v:path arrowok="t"/>
              </v:shape>
            </v:group>
            <v:group style="position:absolute;left:8615;top:1379;width:12;height:2" coordorigin="8615,1379" coordsize="12,2">
              <v:shape style="position:absolute;left:8615;top:1379;width:12;height:2" coordorigin="8615,1379" coordsize="12,0" path="m8615,1379l8627,1379e" filled="false" stroked="true" strokeweight=".6pt" strokecolor="#000008">
                <v:path arrowok="t"/>
              </v:shape>
            </v:group>
            <w10:wrap type="none"/>
          </v:group>
        </w:pict>
      </w:r>
      <w:r>
        <w:rPr/>
        <w:pict>
          <v:group style="position:absolute;margin-left:449.399994pt;margin-top:68.649689pt;width:72.25pt;height:.6pt;mso-position-horizontal-relative:page;mso-position-vertical-relative:paragraph;z-index:3520" coordorigin="8988,1373" coordsize="1445,12">
            <v:group style="position:absolute;left:8994;top:1379;width:12;height:2" coordorigin="8994,1379" coordsize="12,2">
              <v:shape style="position:absolute;left:8994;top:1379;width:12;height:2" coordorigin="8994,1379" coordsize="12,0" path="m8994,1379l9006,1379e" filled="false" stroked="true" strokeweight=".6pt" strokecolor="#000008">
                <v:path arrowok="t"/>
              </v:shape>
            </v:group>
            <v:group style="position:absolute;left:9013;top:1379;width:12;height:2" coordorigin="9013,1379" coordsize="12,2">
              <v:shape style="position:absolute;left:9013;top:1379;width:12;height:2" coordorigin="9013,1379" coordsize="12,0" path="m9013,1379l9025,1379e" filled="false" stroked="true" strokeweight=".6pt" strokecolor="#000008">
                <v:path arrowok="t"/>
              </v:shape>
            </v:group>
            <v:group style="position:absolute;left:9032;top:1379;width:12;height:2" coordorigin="9032,1379" coordsize="12,2">
              <v:shape style="position:absolute;left:9032;top:1379;width:12;height:2" coordorigin="9032,1379" coordsize="12,0" path="m9032,1379l9044,1379e" filled="false" stroked="true" strokeweight=".6pt" strokecolor="#000008">
                <v:path arrowok="t"/>
              </v:shape>
            </v:group>
            <v:group style="position:absolute;left:9052;top:1379;width:12;height:2" coordorigin="9052,1379" coordsize="12,2">
              <v:shape style="position:absolute;left:9052;top:1379;width:12;height:2" coordorigin="9052,1379" coordsize="12,0" path="m9052,1379l9064,1379e" filled="false" stroked="true" strokeweight=".6pt" strokecolor="#000008">
                <v:path arrowok="t"/>
              </v:shape>
            </v:group>
            <v:group style="position:absolute;left:9071;top:1379;width:12;height:2" coordorigin="9071,1379" coordsize="12,2">
              <v:shape style="position:absolute;left:9071;top:1379;width:12;height:2" coordorigin="9071,1379" coordsize="12,0" path="m9071,1379l9083,1379e" filled="false" stroked="true" strokeweight=".6pt" strokecolor="#000008">
                <v:path arrowok="t"/>
              </v:shape>
            </v:group>
            <v:group style="position:absolute;left:9090;top:1379;width:12;height:2" coordorigin="9090,1379" coordsize="12,2">
              <v:shape style="position:absolute;left:9090;top:1379;width:12;height:2" coordorigin="9090,1379" coordsize="12,0" path="m9090,1379l9102,1379e" filled="false" stroked="true" strokeweight=".6pt" strokecolor="#000008">
                <v:path arrowok="t"/>
              </v:shape>
            </v:group>
            <v:group style="position:absolute;left:9109;top:1379;width:12;height:2" coordorigin="9109,1379" coordsize="12,2">
              <v:shape style="position:absolute;left:9109;top:1379;width:12;height:2" coordorigin="9109,1379" coordsize="12,0" path="m9109,1379l9121,1379e" filled="false" stroked="true" strokeweight=".6pt" strokecolor="#000008">
                <v:path arrowok="t"/>
              </v:shape>
            </v:group>
            <v:group style="position:absolute;left:9128;top:1379;width:12;height:2" coordorigin="9128,1379" coordsize="12,2">
              <v:shape style="position:absolute;left:9128;top:1379;width:12;height:2" coordorigin="9128,1379" coordsize="12,0" path="m9128,1379l9140,1379e" filled="false" stroked="true" strokeweight=".6pt" strokecolor="#000008">
                <v:path arrowok="t"/>
              </v:shape>
            </v:group>
            <v:group style="position:absolute;left:9148;top:1379;width:12;height:2" coordorigin="9148,1379" coordsize="12,2">
              <v:shape style="position:absolute;left:9148;top:1379;width:12;height:2" coordorigin="9148,1379" coordsize="12,0" path="m9148,1379l9160,1379e" filled="false" stroked="true" strokeweight=".6pt" strokecolor="#000008">
                <v:path arrowok="t"/>
              </v:shape>
            </v:group>
            <v:group style="position:absolute;left:9167;top:1379;width:12;height:2" coordorigin="9167,1379" coordsize="12,2">
              <v:shape style="position:absolute;left:9167;top:1379;width:12;height:2" coordorigin="9167,1379" coordsize="12,0" path="m9167,1379l9179,1379e" filled="false" stroked="true" strokeweight=".6pt" strokecolor="#000008">
                <v:path arrowok="t"/>
              </v:shape>
            </v:group>
            <v:group style="position:absolute;left:9186;top:1379;width:12;height:2" coordorigin="9186,1379" coordsize="12,2">
              <v:shape style="position:absolute;left:9186;top:1379;width:12;height:2" coordorigin="9186,1379" coordsize="12,0" path="m9186,1379l9198,1379e" filled="false" stroked="true" strokeweight=".6pt" strokecolor="#000008">
                <v:path arrowok="t"/>
              </v:shape>
            </v:group>
            <v:group style="position:absolute;left:9205;top:1379;width:12;height:2" coordorigin="9205,1379" coordsize="12,2">
              <v:shape style="position:absolute;left:9205;top:1379;width:12;height:2" coordorigin="9205,1379" coordsize="12,0" path="m9205,1379l9217,1379e" filled="false" stroked="true" strokeweight=".6pt" strokecolor="#000008">
                <v:path arrowok="t"/>
              </v:shape>
            </v:group>
            <v:group style="position:absolute;left:9224;top:1379;width:12;height:2" coordorigin="9224,1379" coordsize="12,2">
              <v:shape style="position:absolute;left:9224;top:1379;width:12;height:2" coordorigin="9224,1379" coordsize="12,0" path="m9224,1379l9236,1379e" filled="false" stroked="true" strokeweight=".6pt" strokecolor="#000008">
                <v:path arrowok="t"/>
              </v:shape>
            </v:group>
            <v:group style="position:absolute;left:9244;top:1379;width:12;height:2" coordorigin="9244,1379" coordsize="12,2">
              <v:shape style="position:absolute;left:9244;top:1379;width:12;height:2" coordorigin="9244,1379" coordsize="12,0" path="m9244,1379l9256,1379e" filled="false" stroked="true" strokeweight=".6pt" strokecolor="#000008">
                <v:path arrowok="t"/>
              </v:shape>
            </v:group>
            <v:group style="position:absolute;left:9263;top:1379;width:12;height:2" coordorigin="9263,1379" coordsize="12,2">
              <v:shape style="position:absolute;left:9263;top:1379;width:12;height:2" coordorigin="9263,1379" coordsize="12,0" path="m9263,1379l9275,1379e" filled="false" stroked="true" strokeweight=".6pt" strokecolor="#000008">
                <v:path arrowok="t"/>
              </v:shape>
            </v:group>
            <v:group style="position:absolute;left:9282;top:1379;width:12;height:2" coordorigin="9282,1379" coordsize="12,2">
              <v:shape style="position:absolute;left:9282;top:1379;width:12;height:2" coordorigin="9282,1379" coordsize="12,0" path="m9282,1379l9294,1379e" filled="false" stroked="true" strokeweight=".6pt" strokecolor="#000008">
                <v:path arrowok="t"/>
              </v:shape>
            </v:group>
            <v:group style="position:absolute;left:9301;top:1379;width:12;height:2" coordorigin="9301,1379" coordsize="12,2">
              <v:shape style="position:absolute;left:9301;top:1379;width:12;height:2" coordorigin="9301,1379" coordsize="12,0" path="m9301,1379l9313,1379e" filled="false" stroked="true" strokeweight=".6pt" strokecolor="#000008">
                <v:path arrowok="t"/>
              </v:shape>
            </v:group>
            <v:group style="position:absolute;left:9320;top:1379;width:12;height:2" coordorigin="9320,1379" coordsize="12,2">
              <v:shape style="position:absolute;left:9320;top:1379;width:12;height:2" coordorigin="9320,1379" coordsize="12,0" path="m9320,1379l9332,1379e" filled="false" stroked="true" strokeweight=".6pt" strokecolor="#000008">
                <v:path arrowok="t"/>
              </v:shape>
            </v:group>
            <v:group style="position:absolute;left:9340;top:1379;width:12;height:2" coordorigin="9340,1379" coordsize="12,2">
              <v:shape style="position:absolute;left:9340;top:1379;width:12;height:2" coordorigin="9340,1379" coordsize="12,0" path="m9340,1379l9352,1379e" filled="false" stroked="true" strokeweight=".6pt" strokecolor="#000008">
                <v:path arrowok="t"/>
              </v:shape>
            </v:group>
            <v:group style="position:absolute;left:9359;top:1379;width:12;height:2" coordorigin="9359,1379" coordsize="12,2">
              <v:shape style="position:absolute;left:9359;top:1379;width:12;height:2" coordorigin="9359,1379" coordsize="12,0" path="m9359,1379l9371,1379e" filled="false" stroked="true" strokeweight=".6pt" strokecolor="#000008">
                <v:path arrowok="t"/>
              </v:shape>
            </v:group>
            <v:group style="position:absolute;left:9378;top:1379;width:12;height:2" coordorigin="9378,1379" coordsize="12,2">
              <v:shape style="position:absolute;left:9378;top:1379;width:12;height:2" coordorigin="9378,1379" coordsize="12,0" path="m9378,1379l9390,1379e" filled="false" stroked="true" strokeweight=".6pt" strokecolor="#000008">
                <v:path arrowok="t"/>
              </v:shape>
            </v:group>
            <v:group style="position:absolute;left:9397;top:1379;width:12;height:2" coordorigin="9397,1379" coordsize="12,2">
              <v:shape style="position:absolute;left:9397;top:1379;width:12;height:2" coordorigin="9397,1379" coordsize="12,0" path="m9397,1379l9409,1379e" filled="false" stroked="true" strokeweight=".6pt" strokecolor="#000008">
                <v:path arrowok="t"/>
              </v:shape>
            </v:group>
            <v:group style="position:absolute;left:9416;top:1379;width:12;height:2" coordorigin="9416,1379" coordsize="12,2">
              <v:shape style="position:absolute;left:9416;top:1379;width:12;height:2" coordorigin="9416,1379" coordsize="12,0" path="m9416,1379l9428,1379e" filled="false" stroked="true" strokeweight=".6pt" strokecolor="#000008">
                <v:path arrowok="t"/>
              </v:shape>
            </v:group>
            <v:group style="position:absolute;left:9436;top:1379;width:12;height:2" coordorigin="9436,1379" coordsize="12,2">
              <v:shape style="position:absolute;left:9436;top:1379;width:12;height:2" coordorigin="9436,1379" coordsize="12,0" path="m9436,1379l9448,1379e" filled="false" stroked="true" strokeweight=".6pt" strokecolor="#000008">
                <v:path arrowok="t"/>
              </v:shape>
            </v:group>
            <v:group style="position:absolute;left:9455;top:1379;width:12;height:2" coordorigin="9455,1379" coordsize="12,2">
              <v:shape style="position:absolute;left:9455;top:1379;width:12;height:2" coordorigin="9455,1379" coordsize="12,0" path="m9455,1379l9467,1379e" filled="false" stroked="true" strokeweight=".6pt" strokecolor="#000008">
                <v:path arrowok="t"/>
              </v:shape>
            </v:group>
            <v:group style="position:absolute;left:9474;top:1379;width:12;height:2" coordorigin="9474,1379" coordsize="12,2">
              <v:shape style="position:absolute;left:9474;top:1379;width:12;height:2" coordorigin="9474,1379" coordsize="12,0" path="m9474,1379l9486,1379e" filled="false" stroked="true" strokeweight=".6pt" strokecolor="#000008">
                <v:path arrowok="t"/>
              </v:shape>
            </v:group>
            <v:group style="position:absolute;left:9493;top:1379;width:12;height:2" coordorigin="9493,1379" coordsize="12,2">
              <v:shape style="position:absolute;left:9493;top:1379;width:12;height:2" coordorigin="9493,1379" coordsize="12,0" path="m9493,1379l9505,1379e" filled="false" stroked="true" strokeweight=".6pt" strokecolor="#000008">
                <v:path arrowok="t"/>
              </v:shape>
            </v:group>
            <v:group style="position:absolute;left:9512;top:1379;width:12;height:2" coordorigin="9512,1379" coordsize="12,2">
              <v:shape style="position:absolute;left:9512;top:1379;width:12;height:2" coordorigin="9512,1379" coordsize="12,0" path="m9512,1379l9524,1379e" filled="false" stroked="true" strokeweight=".6pt" strokecolor="#000008">
                <v:path arrowok="t"/>
              </v:shape>
            </v:group>
            <v:group style="position:absolute;left:9532;top:1379;width:12;height:2" coordorigin="9532,1379" coordsize="12,2">
              <v:shape style="position:absolute;left:9532;top:1379;width:12;height:2" coordorigin="9532,1379" coordsize="12,0" path="m9532,1379l9544,1379e" filled="false" stroked="true" strokeweight=".6pt" strokecolor="#000008">
                <v:path arrowok="t"/>
              </v:shape>
            </v:group>
            <v:group style="position:absolute;left:9551;top:1379;width:12;height:2" coordorigin="9551,1379" coordsize="12,2">
              <v:shape style="position:absolute;left:9551;top:1379;width:12;height:2" coordorigin="9551,1379" coordsize="12,0" path="m9551,1379l9563,1379e" filled="false" stroked="true" strokeweight=".6pt" strokecolor="#000008">
                <v:path arrowok="t"/>
              </v:shape>
            </v:group>
            <v:group style="position:absolute;left:9570;top:1379;width:12;height:2" coordorigin="9570,1379" coordsize="12,2">
              <v:shape style="position:absolute;left:9570;top:1379;width:12;height:2" coordorigin="9570,1379" coordsize="12,0" path="m9570,1379l9582,1379e" filled="false" stroked="true" strokeweight=".6pt" strokecolor="#000008">
                <v:path arrowok="t"/>
              </v:shape>
            </v:group>
            <v:group style="position:absolute;left:9589;top:1379;width:12;height:2" coordorigin="9589,1379" coordsize="12,2">
              <v:shape style="position:absolute;left:9589;top:1379;width:12;height:2" coordorigin="9589,1379" coordsize="12,0" path="m9589,1379l9601,1379e" filled="false" stroked="true" strokeweight=".6pt" strokecolor="#000008">
                <v:path arrowok="t"/>
              </v:shape>
            </v:group>
            <v:group style="position:absolute;left:9608;top:1379;width:12;height:2" coordorigin="9608,1379" coordsize="12,2">
              <v:shape style="position:absolute;left:9608;top:1379;width:12;height:2" coordorigin="9608,1379" coordsize="12,0" path="m9608,1379l9620,1379e" filled="false" stroked="true" strokeweight=".6pt" strokecolor="#000008">
                <v:path arrowok="t"/>
              </v:shape>
            </v:group>
            <v:group style="position:absolute;left:9628;top:1379;width:12;height:2" coordorigin="9628,1379" coordsize="12,2">
              <v:shape style="position:absolute;left:9628;top:1379;width:12;height:2" coordorigin="9628,1379" coordsize="12,0" path="m9628,1379l9640,1379e" filled="false" stroked="true" strokeweight=".6pt" strokecolor="#000008">
                <v:path arrowok="t"/>
              </v:shape>
            </v:group>
            <v:group style="position:absolute;left:9647;top:1379;width:12;height:2" coordorigin="9647,1379" coordsize="12,2">
              <v:shape style="position:absolute;left:9647;top:1379;width:12;height:2" coordorigin="9647,1379" coordsize="12,0" path="m9647,1379l9659,1379e" filled="false" stroked="true" strokeweight=".6pt" strokecolor="#000008">
                <v:path arrowok="t"/>
              </v:shape>
            </v:group>
            <v:group style="position:absolute;left:9666;top:1379;width:12;height:2" coordorigin="9666,1379" coordsize="12,2">
              <v:shape style="position:absolute;left:9666;top:1379;width:12;height:2" coordorigin="9666,1379" coordsize="12,0" path="m9666,1379l9678,1379e" filled="false" stroked="true" strokeweight=".6pt" strokecolor="#000008">
                <v:path arrowok="t"/>
              </v:shape>
            </v:group>
            <v:group style="position:absolute;left:9685;top:1379;width:12;height:2" coordorigin="9685,1379" coordsize="12,2">
              <v:shape style="position:absolute;left:9685;top:1379;width:12;height:2" coordorigin="9685,1379" coordsize="12,0" path="m9685,1379l9697,1379e" filled="false" stroked="true" strokeweight=".6pt" strokecolor="#000008">
                <v:path arrowok="t"/>
              </v:shape>
            </v:group>
            <v:group style="position:absolute;left:9704;top:1379;width:12;height:2" coordorigin="9704,1379" coordsize="12,2">
              <v:shape style="position:absolute;left:9704;top:1379;width:12;height:2" coordorigin="9704,1379" coordsize="12,0" path="m9704,1379l9716,1379e" filled="false" stroked="true" strokeweight=".6pt" strokecolor="#000008">
                <v:path arrowok="t"/>
              </v:shape>
            </v:group>
            <v:group style="position:absolute;left:9724;top:1379;width:12;height:2" coordorigin="9724,1379" coordsize="12,2">
              <v:shape style="position:absolute;left:9724;top:1379;width:12;height:2" coordorigin="9724,1379" coordsize="12,0" path="m9724,1379l9736,1379e" filled="false" stroked="true" strokeweight=".6pt" strokecolor="#000008">
                <v:path arrowok="t"/>
              </v:shape>
            </v:group>
            <v:group style="position:absolute;left:9743;top:1379;width:12;height:2" coordorigin="9743,1379" coordsize="12,2">
              <v:shape style="position:absolute;left:9743;top:1379;width:12;height:2" coordorigin="9743,1379" coordsize="12,0" path="m9743,1379l9755,1379e" filled="false" stroked="true" strokeweight=".6pt" strokecolor="#000008">
                <v:path arrowok="t"/>
              </v:shape>
            </v:group>
            <v:group style="position:absolute;left:9762;top:1379;width:12;height:2" coordorigin="9762,1379" coordsize="12,2">
              <v:shape style="position:absolute;left:9762;top:1379;width:12;height:2" coordorigin="9762,1379" coordsize="12,0" path="m9762,1379l9774,1379e" filled="false" stroked="true" strokeweight=".6pt" strokecolor="#000008">
                <v:path arrowok="t"/>
              </v:shape>
            </v:group>
            <v:group style="position:absolute;left:9781;top:1379;width:12;height:2" coordorigin="9781,1379" coordsize="12,2">
              <v:shape style="position:absolute;left:9781;top:1379;width:12;height:2" coordorigin="9781,1379" coordsize="12,0" path="m9781,1379l9793,1379e" filled="false" stroked="true" strokeweight=".6pt" strokecolor="#000008">
                <v:path arrowok="t"/>
              </v:shape>
            </v:group>
            <v:group style="position:absolute;left:9800;top:1379;width:12;height:2" coordorigin="9800,1379" coordsize="12,2">
              <v:shape style="position:absolute;left:9800;top:1379;width:12;height:2" coordorigin="9800,1379" coordsize="12,0" path="m9800,1379l9812,1379e" filled="false" stroked="true" strokeweight=".6pt" strokecolor="#000008">
                <v:path arrowok="t"/>
              </v:shape>
            </v:group>
            <v:group style="position:absolute;left:9820;top:1379;width:12;height:2" coordorigin="9820,1379" coordsize="12,2">
              <v:shape style="position:absolute;left:9820;top:1379;width:12;height:2" coordorigin="9820,1379" coordsize="12,0" path="m9820,1379l9832,1379e" filled="false" stroked="true" strokeweight=".6pt" strokecolor="#000008">
                <v:path arrowok="t"/>
              </v:shape>
            </v:group>
            <v:group style="position:absolute;left:9839;top:1379;width:12;height:2" coordorigin="9839,1379" coordsize="12,2">
              <v:shape style="position:absolute;left:9839;top:1379;width:12;height:2" coordorigin="9839,1379" coordsize="12,0" path="m9839,1379l9851,1379e" filled="false" stroked="true" strokeweight=".6pt" strokecolor="#000008">
                <v:path arrowok="t"/>
              </v:shape>
            </v:group>
            <v:group style="position:absolute;left:9858;top:1379;width:12;height:2" coordorigin="9858,1379" coordsize="12,2">
              <v:shape style="position:absolute;left:9858;top:1379;width:12;height:2" coordorigin="9858,1379" coordsize="12,0" path="m9858,1379l9870,1379e" filled="false" stroked="true" strokeweight=".6pt" strokecolor="#000008">
                <v:path arrowok="t"/>
              </v:shape>
            </v:group>
            <v:group style="position:absolute;left:9877;top:1379;width:12;height:2" coordorigin="9877,1379" coordsize="12,2">
              <v:shape style="position:absolute;left:9877;top:1379;width:12;height:2" coordorigin="9877,1379" coordsize="12,0" path="m9877,1379l9889,1379e" filled="false" stroked="true" strokeweight=".6pt" strokecolor="#000008">
                <v:path arrowok="t"/>
              </v:shape>
            </v:group>
            <v:group style="position:absolute;left:9896;top:1379;width:12;height:2" coordorigin="9896,1379" coordsize="12,2">
              <v:shape style="position:absolute;left:9896;top:1379;width:12;height:2" coordorigin="9896,1379" coordsize="12,0" path="m9896,1379l9908,1379e" filled="false" stroked="true" strokeweight=".6pt" strokecolor="#000008">
                <v:path arrowok="t"/>
              </v:shape>
            </v:group>
            <v:group style="position:absolute;left:9916;top:1379;width:12;height:2" coordorigin="9916,1379" coordsize="12,2">
              <v:shape style="position:absolute;left:9916;top:1379;width:12;height:2" coordorigin="9916,1379" coordsize="12,0" path="m9916,1379l9928,1379e" filled="false" stroked="true" strokeweight=".6pt" strokecolor="#000008">
                <v:path arrowok="t"/>
              </v:shape>
            </v:group>
            <v:group style="position:absolute;left:9935;top:1379;width:12;height:2" coordorigin="9935,1379" coordsize="12,2">
              <v:shape style="position:absolute;left:9935;top:1379;width:12;height:2" coordorigin="9935,1379" coordsize="12,0" path="m9935,1379l9947,1379e" filled="false" stroked="true" strokeweight=".6pt" strokecolor="#000008">
                <v:path arrowok="t"/>
              </v:shape>
            </v:group>
            <v:group style="position:absolute;left:9954;top:1379;width:12;height:2" coordorigin="9954,1379" coordsize="12,2">
              <v:shape style="position:absolute;left:9954;top:1379;width:12;height:2" coordorigin="9954,1379" coordsize="12,0" path="m9954,1379l9966,1379e" filled="false" stroked="true" strokeweight=".6pt" strokecolor="#000008">
                <v:path arrowok="t"/>
              </v:shape>
            </v:group>
            <v:group style="position:absolute;left:9973;top:1379;width:12;height:2" coordorigin="9973,1379" coordsize="12,2">
              <v:shape style="position:absolute;left:9973;top:1379;width:12;height:2" coordorigin="9973,1379" coordsize="12,0" path="m9973,1379l9985,1379e" filled="false" stroked="true" strokeweight=".6pt" strokecolor="#000008">
                <v:path arrowok="t"/>
              </v:shape>
            </v:group>
            <v:group style="position:absolute;left:9992;top:1379;width:12;height:2" coordorigin="9992,1379" coordsize="12,2">
              <v:shape style="position:absolute;left:9992;top:1379;width:12;height:2" coordorigin="9992,1379" coordsize="12,0" path="m9992,1379l10004,1379e" filled="false" stroked="true" strokeweight=".6pt" strokecolor="#000008">
                <v:path arrowok="t"/>
              </v:shape>
            </v:group>
            <v:group style="position:absolute;left:10012;top:1379;width:12;height:2" coordorigin="10012,1379" coordsize="12,2">
              <v:shape style="position:absolute;left:10012;top:1379;width:12;height:2" coordorigin="10012,1379" coordsize="12,0" path="m10012,1379l10024,1379e" filled="false" stroked="true" strokeweight=".6pt" strokecolor="#000008">
                <v:path arrowok="t"/>
              </v:shape>
            </v:group>
            <v:group style="position:absolute;left:10031;top:1379;width:12;height:2" coordorigin="10031,1379" coordsize="12,2">
              <v:shape style="position:absolute;left:10031;top:1379;width:12;height:2" coordorigin="10031,1379" coordsize="12,0" path="m10031,1379l10043,1379e" filled="false" stroked="true" strokeweight=".6pt" strokecolor="#000008">
                <v:path arrowok="t"/>
              </v:shape>
            </v:group>
            <v:group style="position:absolute;left:10050;top:1379;width:12;height:2" coordorigin="10050,1379" coordsize="12,2">
              <v:shape style="position:absolute;left:10050;top:1379;width:12;height:2" coordorigin="10050,1379" coordsize="12,0" path="m10050,1379l10062,1379e" filled="false" stroked="true" strokeweight=".6pt" strokecolor="#000008">
                <v:path arrowok="t"/>
              </v:shape>
            </v:group>
            <v:group style="position:absolute;left:10069;top:1379;width:12;height:2" coordorigin="10069,1379" coordsize="12,2">
              <v:shape style="position:absolute;left:10069;top:1379;width:12;height:2" coordorigin="10069,1379" coordsize="12,0" path="m10069,1379l10081,1379e" filled="false" stroked="true" strokeweight=".6pt" strokecolor="#000008">
                <v:path arrowok="t"/>
              </v:shape>
            </v:group>
            <v:group style="position:absolute;left:10088;top:1379;width:12;height:2" coordorigin="10088,1379" coordsize="12,2">
              <v:shape style="position:absolute;left:10088;top:1379;width:12;height:2" coordorigin="10088,1379" coordsize="12,0" path="m10088,1379l10100,1379e" filled="false" stroked="true" strokeweight=".6pt" strokecolor="#000008">
                <v:path arrowok="t"/>
              </v:shape>
            </v:group>
            <v:group style="position:absolute;left:10108;top:1379;width:12;height:2" coordorigin="10108,1379" coordsize="12,2">
              <v:shape style="position:absolute;left:10108;top:1379;width:12;height:2" coordorigin="10108,1379" coordsize="12,0" path="m10108,1379l10120,1379e" filled="false" stroked="true" strokeweight=".6pt" strokecolor="#000008">
                <v:path arrowok="t"/>
              </v:shape>
            </v:group>
            <v:group style="position:absolute;left:10127;top:1379;width:12;height:2" coordorigin="10127,1379" coordsize="12,2">
              <v:shape style="position:absolute;left:10127;top:1379;width:12;height:2" coordorigin="10127,1379" coordsize="12,0" path="m10127,1379l10139,1379e" filled="false" stroked="true" strokeweight=".6pt" strokecolor="#000008">
                <v:path arrowok="t"/>
              </v:shape>
            </v:group>
            <v:group style="position:absolute;left:10146;top:1379;width:12;height:2" coordorigin="10146,1379" coordsize="12,2">
              <v:shape style="position:absolute;left:10146;top:1379;width:12;height:2" coordorigin="10146,1379" coordsize="12,0" path="m10146,1379l10158,1379e" filled="false" stroked="true" strokeweight=".6pt" strokecolor="#000008">
                <v:path arrowok="t"/>
              </v:shape>
            </v:group>
            <v:group style="position:absolute;left:10165;top:1379;width:12;height:2" coordorigin="10165,1379" coordsize="12,2">
              <v:shape style="position:absolute;left:10165;top:1379;width:12;height:2" coordorigin="10165,1379" coordsize="12,0" path="m10165,1379l10177,1379e" filled="false" stroked="true" strokeweight=".6pt" strokecolor="#000008">
                <v:path arrowok="t"/>
              </v:shape>
            </v:group>
            <v:group style="position:absolute;left:10184;top:1379;width:12;height:2" coordorigin="10184,1379" coordsize="12,2">
              <v:shape style="position:absolute;left:10184;top:1379;width:12;height:2" coordorigin="10184,1379" coordsize="12,0" path="m10184,1379l10196,1379e" filled="false" stroked="true" strokeweight=".6pt" strokecolor="#000008">
                <v:path arrowok="t"/>
              </v:shape>
            </v:group>
            <v:group style="position:absolute;left:10204;top:1379;width:12;height:2" coordorigin="10204,1379" coordsize="12,2">
              <v:shape style="position:absolute;left:10204;top:1379;width:12;height:2" coordorigin="10204,1379" coordsize="12,0" path="m10204,1379l10216,1379e" filled="false" stroked="true" strokeweight=".6pt" strokecolor="#000008">
                <v:path arrowok="t"/>
              </v:shape>
            </v:group>
            <v:group style="position:absolute;left:10223;top:1379;width:12;height:2" coordorigin="10223,1379" coordsize="12,2">
              <v:shape style="position:absolute;left:10223;top:1379;width:12;height:2" coordorigin="10223,1379" coordsize="12,0" path="m10223,1379l10235,1379e" filled="false" stroked="true" strokeweight=".6pt" strokecolor="#000008">
                <v:path arrowok="t"/>
              </v:shape>
            </v:group>
            <v:group style="position:absolute;left:10242;top:1379;width:12;height:2" coordorigin="10242,1379" coordsize="12,2">
              <v:shape style="position:absolute;left:10242;top:1379;width:12;height:2" coordorigin="10242,1379" coordsize="12,0" path="m10242,1379l10254,1379e" filled="false" stroked="true" strokeweight=".6pt" strokecolor="#000008">
                <v:path arrowok="t"/>
              </v:shape>
            </v:group>
            <v:group style="position:absolute;left:10261;top:1379;width:12;height:2" coordorigin="10261,1379" coordsize="12,2">
              <v:shape style="position:absolute;left:10261;top:1379;width:12;height:2" coordorigin="10261,1379" coordsize="12,0" path="m10261,1379l10273,1379e" filled="false" stroked="true" strokeweight=".6pt" strokecolor="#000008">
                <v:path arrowok="t"/>
              </v:shape>
            </v:group>
            <v:group style="position:absolute;left:10280;top:1379;width:12;height:2" coordorigin="10280,1379" coordsize="12,2">
              <v:shape style="position:absolute;left:10280;top:1379;width:12;height:2" coordorigin="10280,1379" coordsize="12,0" path="m10280,1379l10292,1379e" filled="false" stroked="true" strokeweight=".6pt" strokecolor="#000008">
                <v:path arrowok="t"/>
              </v:shape>
            </v:group>
            <v:group style="position:absolute;left:10300;top:1379;width:12;height:2" coordorigin="10300,1379" coordsize="12,2">
              <v:shape style="position:absolute;left:10300;top:1379;width:12;height:2" coordorigin="10300,1379" coordsize="12,0" path="m10300,1379l10312,1379e" filled="false" stroked="true" strokeweight=".6pt" strokecolor="#000008">
                <v:path arrowok="t"/>
              </v:shape>
            </v:group>
            <v:group style="position:absolute;left:10319;top:1379;width:12;height:2" coordorigin="10319,1379" coordsize="12,2">
              <v:shape style="position:absolute;left:10319;top:1379;width:12;height:2" coordorigin="10319,1379" coordsize="12,0" path="m10319,1379l10331,1379e" filled="false" stroked="true" strokeweight=".6pt" strokecolor="#000008">
                <v:path arrowok="t"/>
              </v:shape>
            </v:group>
            <v:group style="position:absolute;left:10338;top:1379;width:12;height:2" coordorigin="10338,1379" coordsize="12,2">
              <v:shape style="position:absolute;left:10338;top:1379;width:12;height:2" coordorigin="10338,1379" coordsize="12,0" path="m10338,1379l10350,1379e" filled="false" stroked="true" strokeweight=".6pt" strokecolor="#000008">
                <v:path arrowok="t"/>
              </v:shape>
            </v:group>
            <v:group style="position:absolute;left:10357;top:1379;width:12;height:2" coordorigin="10357,1379" coordsize="12,2">
              <v:shape style="position:absolute;left:10357;top:1379;width:12;height:2" coordorigin="10357,1379" coordsize="12,0" path="m10357,1379l10369,1379e" filled="false" stroked="true" strokeweight=".6pt" strokecolor="#000008">
                <v:path arrowok="t"/>
              </v:shape>
            </v:group>
            <v:group style="position:absolute;left:10376;top:1379;width:12;height:2" coordorigin="10376,1379" coordsize="12,2">
              <v:shape style="position:absolute;left:10376;top:1379;width:12;height:2" coordorigin="10376,1379" coordsize="12,0" path="m10376,1379l10388,1379e" filled="false" stroked="true" strokeweight=".6pt" strokecolor="#000008">
                <v:path arrowok="t"/>
              </v:shape>
            </v:group>
            <v:group style="position:absolute;left:10396;top:1379;width:12;height:2" coordorigin="10396,1379" coordsize="12,2">
              <v:shape style="position:absolute;left:10396;top:1379;width:12;height:2" coordorigin="10396,1379" coordsize="12,0" path="m10396,1379l10408,1379e" filled="false" stroked="true" strokeweight=".6pt" strokecolor="#000008">
                <v:path arrowok="t"/>
              </v:shape>
            </v:group>
            <v:group style="position:absolute;left:10415;top:1379;width:12;height:2" coordorigin="10415,1379" coordsize="12,2">
              <v:shape style="position:absolute;left:10415;top:1379;width:12;height:2" coordorigin="10415,1379" coordsize="12,0" path="m10415,1379l10427,1379e" filled="false" stroked="true" strokeweight=".6pt" strokecolor="#000008">
                <v:path arrowok="t"/>
              </v:shape>
            </v:group>
            <w10:wrap type="none"/>
          </v:group>
        </w:pict>
      </w:r>
      <w:r>
        <w:rPr/>
        <w:pict>
          <v:shape style="position:absolute;margin-left:358.009979pt;margin-top:12.695145pt;width:167.9pt;height:298.4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9"/>
                    <w:gridCol w:w="1679"/>
                  </w:tblGrid>
                  <w:tr>
                    <w:trPr>
                      <w:trHeight w:val="329"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04" w:lineRule="exact"/>
                          <w:ind w:right="2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04" w:lineRule="exact"/>
                          <w:ind w:left="196" w:right="0"/>
                          <w:jc w:val="left"/>
                          <w:rPr>
                            <w:rFonts w:ascii="Times New Roman" w:hAnsi="Times New Roman" w:cs="Times New Roman" w:eastAsia="Times New Roman" w:hint="default"/>
                            <w:sz w:val="20"/>
                            <w:szCs w:val="20"/>
                          </w:rPr>
                        </w:pPr>
                        <w:r>
                          <w:rPr>
                            <w:rFonts w:ascii="Times New Roman"/>
                            <w:sz w:val="20"/>
                          </w:rPr>
                          <w:t>1,084,753,400.00</w:t>
                        </w:r>
                      </w:p>
                    </w:tc>
                  </w:tr>
                  <w:tr>
                    <w:trPr>
                      <w:trHeight w:val="458"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0"/>
                          <w:jc w:val="right"/>
                          <w:rPr>
                            <w:rFonts w:ascii="Times New Roman" w:hAnsi="Times New Roman" w:cs="Times New Roman" w:eastAsia="Times New Roman" w:hint="default"/>
                            <w:sz w:val="20"/>
                            <w:szCs w:val="20"/>
                          </w:rPr>
                        </w:pPr>
                        <w:r>
                          <w:rPr>
                            <w:rFonts w:ascii="Times New Roman"/>
                            <w:w w:val="95"/>
                            <w:sz w:val="20"/>
                          </w:rPr>
                          <w:t>2,760,000,000.00</w:t>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6" w:right="0"/>
                          <w:jc w:val="left"/>
                          <w:rPr>
                            <w:rFonts w:ascii="Times New Roman" w:hAnsi="Times New Roman" w:cs="Times New Roman" w:eastAsia="Times New Roman" w:hint="default"/>
                            <w:sz w:val="20"/>
                            <w:szCs w:val="20"/>
                          </w:rPr>
                        </w:pPr>
                        <w:r>
                          <w:rPr>
                            <w:rFonts w:ascii="Times New Roman"/>
                            <w:sz w:val="20"/>
                          </w:rPr>
                          <w:t>1,660,000,000.00</w:t>
                        </w:r>
                      </w:p>
                    </w:tc>
                  </w:tr>
                  <w:tr>
                    <w:trPr>
                      <w:trHeight w:val="466" w:hRule="exact"/>
                    </w:trPr>
                    <w:tc>
                      <w:tcPr>
                        <w:tcW w:w="1679"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03"/>
                          <w:ind w:right="20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w:t>
                        </w:r>
                        <w:r>
                          <w:rPr>
                            <w:rFonts w:ascii="Times New Roman"/>
                            <w:w w:val="95"/>
                            <w:sz w:val="20"/>
                          </w:rPr>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tabs>
                            <w:tab w:pos="547" w:val="left" w:leader="none"/>
                          </w:tabs>
                          <w:spacing w:line="240" w:lineRule="auto" w:before="103"/>
                          <w:ind w:left="156"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sz w:val="20"/>
                            <w:u w:val="single" w:color="000008"/>
                          </w:rPr>
                          <w:t>7,630,000.00</w:t>
                        </w:r>
                        <w:r>
                          <w:rPr>
                            <w:rFonts w:ascii="Times New Roman"/>
                            <w:sz w:val="20"/>
                          </w:rPr>
                        </w:r>
                      </w:p>
                    </w:tc>
                  </w:tr>
                  <w:tr>
                    <w:trPr>
                      <w:trHeight w:val="472"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4"/>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5"/>
                            <w:sz w:val="20"/>
                            <w:u w:val="single" w:color="000008"/>
                          </w:rPr>
                          <w:t>2,760,000,000.00</w:t>
                        </w:r>
                        <w:r>
                          <w:rPr>
                            <w:rFonts w:ascii="Times New Roman"/>
                            <w:b/>
                            <w:w w:val="95"/>
                            <w:sz w:val="20"/>
                          </w:rPr>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2"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sz w:val="20"/>
                            <w:u w:val="single" w:color="000008"/>
                          </w:rPr>
                          <w:t>2,752,383,400.00</w:t>
                        </w:r>
                        <w:r>
                          <w:rPr>
                            <w:rFonts w:ascii="Times New Roman"/>
                            <w:b/>
                            <w:sz w:val="20"/>
                          </w:rPr>
                        </w:r>
                        <w:r>
                          <w:rPr>
                            <w:rFonts w:ascii="Times New Roman"/>
                            <w:sz w:val="20"/>
                          </w:rPr>
                        </w:r>
                      </w:p>
                    </w:tc>
                  </w:tr>
                  <w:tr>
                    <w:trPr>
                      <w:trHeight w:val="464"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0"/>
                          <w:jc w:val="right"/>
                          <w:rPr>
                            <w:rFonts w:ascii="Times New Roman" w:hAnsi="Times New Roman" w:cs="Times New Roman" w:eastAsia="Times New Roman" w:hint="default"/>
                            <w:sz w:val="20"/>
                            <w:szCs w:val="20"/>
                          </w:rPr>
                        </w:pPr>
                        <w:r>
                          <w:rPr>
                            <w:rFonts w:ascii="Times New Roman"/>
                            <w:w w:val="95"/>
                            <w:sz w:val="20"/>
                          </w:rPr>
                          <w:t>2,280,000,000.00</w:t>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96" w:right="0"/>
                          <w:jc w:val="left"/>
                          <w:rPr>
                            <w:rFonts w:ascii="Times New Roman" w:hAnsi="Times New Roman" w:cs="Times New Roman" w:eastAsia="Times New Roman" w:hint="default"/>
                            <w:sz w:val="20"/>
                            <w:szCs w:val="20"/>
                          </w:rPr>
                        </w:pPr>
                        <w:r>
                          <w:rPr>
                            <w:rFonts w:ascii="Times New Roman"/>
                            <w:sz w:val="20"/>
                          </w:rPr>
                          <w:t>1,830,000,000.00</w:t>
                        </w:r>
                      </w:p>
                    </w:tc>
                  </w:tr>
                  <w:tr>
                    <w:trPr>
                      <w:trHeight w:val="458"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7"/>
                          <w:jc w:val="right"/>
                          <w:rPr>
                            <w:rFonts w:ascii="Times New Roman" w:hAnsi="Times New Roman" w:cs="Times New Roman" w:eastAsia="Times New Roman" w:hint="default"/>
                            <w:sz w:val="20"/>
                            <w:szCs w:val="20"/>
                          </w:rPr>
                        </w:pPr>
                        <w:r>
                          <w:rPr>
                            <w:rFonts w:ascii="Times New Roman"/>
                            <w:spacing w:val="-1"/>
                            <w:sz w:val="20"/>
                          </w:rPr>
                          <w:t>91,118,655.96</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7"/>
                          <w:jc w:val="right"/>
                          <w:rPr>
                            <w:rFonts w:ascii="Times New Roman" w:hAnsi="Times New Roman" w:cs="Times New Roman" w:eastAsia="Times New Roman" w:hint="default"/>
                            <w:sz w:val="20"/>
                            <w:szCs w:val="20"/>
                          </w:rPr>
                        </w:pPr>
                        <w:r>
                          <w:rPr>
                            <w:rFonts w:ascii="Times New Roman"/>
                            <w:w w:val="95"/>
                            <w:sz w:val="20"/>
                          </w:rPr>
                          <w:t>99,192,982.39</w:t>
                        </w:r>
                        <w:r>
                          <w:rPr>
                            <w:rFonts w:ascii="Times New Roman"/>
                            <w:sz w:val="20"/>
                          </w:rPr>
                        </w:r>
                      </w:p>
                    </w:tc>
                  </w:tr>
                  <w:tr>
                    <w:trPr>
                      <w:trHeight w:val="466" w:hRule="exact"/>
                    </w:trPr>
                    <w:tc>
                      <w:tcPr>
                        <w:tcW w:w="1679"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03"/>
                          <w:ind w:right="20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w w:val="95"/>
                            <w:sz w:val="20"/>
                            <w:u w:val="single" w:color="000008"/>
                          </w:rPr>
                          <w:t>-</w:t>
                        </w:r>
                        <w:r>
                          <w:rPr>
                            <w:rFonts w:ascii="Times New Roman"/>
                            <w:w w:val="95"/>
                            <w:sz w:val="20"/>
                          </w:rPr>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103"/>
                          <w:ind w:left="156"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sz w:val="20"/>
                            <w:u w:val="single" w:color="000008"/>
                          </w:rPr>
                          <w:t>58,874,397.40</w:t>
                        </w:r>
                        <w:r>
                          <w:rPr>
                            <w:rFonts w:ascii="Times New Roman"/>
                            <w:sz w:val="20"/>
                          </w:rPr>
                        </w:r>
                      </w:p>
                    </w:tc>
                  </w:tr>
                  <w:tr>
                    <w:trPr>
                      <w:trHeight w:val="472"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2"/>
                          <w:jc w:val="right"/>
                          <w:rPr>
                            <w:rFonts w:ascii="Times New Roman" w:hAnsi="Times New Roman" w:cs="Times New Roman" w:eastAsia="Times New Roman" w:hint="default"/>
                            <w:sz w:val="20"/>
                            <w:szCs w:val="20"/>
                          </w:rPr>
                        </w:pPr>
                        <w:r>
                          <w:rPr>
                            <w:rFonts w:ascii="Times New Roman"/>
                            <w:w w:val="99"/>
                            <w:sz w:val="20"/>
                          </w:rPr>
                        </w:r>
                        <w:r>
                          <w:rPr>
                            <w:rFonts w:ascii="Times New Roman"/>
                            <w:spacing w:val="8"/>
                            <w:w w:val="99"/>
                            <w:sz w:val="20"/>
                            <w:u w:val="single" w:color="000008"/>
                          </w:rPr>
                          <w:t> </w:t>
                        </w:r>
                        <w:r>
                          <w:rPr>
                            <w:rFonts w:ascii="Times New Roman"/>
                            <w:b/>
                            <w:spacing w:val="-1"/>
                            <w:sz w:val="20"/>
                            <w:u w:val="single" w:color="000008"/>
                          </w:rPr>
                          <w:t>2,371,118,655.96</w:t>
                        </w:r>
                        <w:r>
                          <w:rPr>
                            <w:rFonts w:ascii="Times New Roman"/>
                            <w:b/>
                            <w:spacing w:val="-1"/>
                            <w:sz w:val="20"/>
                          </w:rPr>
                        </w:r>
                        <w:r>
                          <w:rPr>
                            <w:rFonts w:ascii="Times New Roman"/>
                            <w:spacing w:val="-1"/>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2"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sz w:val="20"/>
                            <w:u w:val="single" w:color="000008"/>
                          </w:rPr>
                          <w:t>1,988,067,379.79</w:t>
                        </w:r>
                        <w:r>
                          <w:rPr>
                            <w:rFonts w:ascii="Times New Roman"/>
                            <w:b/>
                            <w:sz w:val="20"/>
                          </w:rPr>
                        </w:r>
                        <w:r>
                          <w:rPr>
                            <w:rFonts w:ascii="Times New Roman"/>
                            <w:sz w:val="20"/>
                          </w:rPr>
                        </w:r>
                      </w:p>
                    </w:tc>
                  </w:tr>
                  <w:tr>
                    <w:trPr>
                      <w:trHeight w:val="487"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z w:val="20"/>
                            <w:u w:val="thick" w:color="000008"/>
                          </w:rPr>
                          <w:t>  </w:t>
                        </w:r>
                        <w:r>
                          <w:rPr>
                            <w:rFonts w:ascii="Times New Roman"/>
                            <w:spacing w:val="-5"/>
                            <w:sz w:val="20"/>
                            <w:u w:val="thick" w:color="000008"/>
                          </w:rPr>
                          <w:t> </w:t>
                        </w:r>
                        <w:r>
                          <w:rPr>
                            <w:rFonts w:ascii="Times New Roman"/>
                            <w:b/>
                            <w:w w:val="95"/>
                            <w:sz w:val="20"/>
                            <w:u w:val="thick" w:color="000008"/>
                          </w:rPr>
                          <w:t>388,881,344.04</w:t>
                        </w:r>
                        <w:r>
                          <w:rPr>
                            <w:rFonts w:ascii="Times New Roman"/>
                            <w:b/>
                            <w:w w:val="95"/>
                            <w:sz w:val="20"/>
                          </w:rPr>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z w:val="20"/>
                            <w:u w:val="thick" w:color="000008"/>
                          </w:rPr>
                          <w:t>  </w:t>
                        </w:r>
                        <w:r>
                          <w:rPr>
                            <w:rFonts w:ascii="Times New Roman"/>
                            <w:spacing w:val="-5"/>
                            <w:sz w:val="20"/>
                            <w:u w:val="thick" w:color="000008"/>
                          </w:rPr>
                          <w:t> </w:t>
                        </w:r>
                        <w:r>
                          <w:rPr>
                            <w:rFonts w:ascii="Times New Roman"/>
                            <w:b/>
                            <w:w w:val="95"/>
                            <w:sz w:val="20"/>
                            <w:u w:val="thick" w:color="000008"/>
                          </w:rPr>
                          <w:t>764,316,020.21</w:t>
                        </w:r>
                        <w:r>
                          <w:rPr>
                            <w:rFonts w:ascii="Times New Roman"/>
                            <w:b/>
                            <w:w w:val="95"/>
                            <w:sz w:val="20"/>
                          </w:rPr>
                        </w:r>
                        <w:r>
                          <w:rPr>
                            <w:rFonts w:ascii="Times New Roman"/>
                            <w:sz w:val="20"/>
                          </w:rPr>
                        </w:r>
                      </w:p>
                    </w:tc>
                  </w:tr>
                  <w:tr>
                    <w:trPr>
                      <w:trHeight w:val="487" w:hRule="exact"/>
                    </w:trPr>
                    <w:tc>
                      <w:tcPr>
                        <w:tcW w:w="1679" w:type="dxa"/>
                        <w:tcBorders>
                          <w:top w:val="nil" w:sz="6" w:space="0" w:color="auto"/>
                          <w:left w:val="nil" w:sz="6" w:space="0" w:color="auto"/>
                          <w:bottom w:val="nil" w:sz="6" w:space="0" w:color="auto"/>
                          <w:right w:val="nil" w:sz="6" w:space="0" w:color="auto"/>
                        </w:tcBorders>
                      </w:tcPr>
                      <w:p>
                        <w:pPr>
                          <w:pStyle w:val="TableParagraph"/>
                          <w:tabs>
                            <w:tab w:pos="680" w:val="left" w:leader="none"/>
                          </w:tabs>
                          <w:spacing w:line="240" w:lineRule="auto" w:before="126"/>
                          <w:ind w:right="19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b/>
                            <w:w w:val="95"/>
                            <w:sz w:val="20"/>
                            <w:u w:val="single" w:color="000008"/>
                          </w:rPr>
                          <w:t>-3,497.93</w:t>
                        </w:r>
                        <w:r>
                          <w:rPr>
                            <w:rFonts w:ascii="Times New Roman"/>
                            <w:b/>
                            <w:w w:val="95"/>
                            <w:sz w:val="20"/>
                          </w:rPr>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tabs>
                            <w:tab w:pos="637" w:val="left" w:leader="none"/>
                          </w:tabs>
                          <w:spacing w:line="240" w:lineRule="auto" w:before="126"/>
                          <w:ind w:left="156"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ab/>
                        </w:r>
                        <w:r>
                          <w:rPr>
                            <w:rFonts w:ascii="Times New Roman"/>
                            <w:b/>
                            <w:sz w:val="20"/>
                            <w:u w:val="single" w:color="000008"/>
                          </w:rPr>
                          <w:t>-209,486.04</w:t>
                        </w:r>
                        <w:r>
                          <w:rPr>
                            <w:rFonts w:ascii="Times New Roman"/>
                            <w:b/>
                            <w:sz w:val="20"/>
                          </w:rPr>
                        </w:r>
                        <w:r>
                          <w:rPr>
                            <w:rFonts w:ascii="Times New Roman"/>
                            <w:sz w:val="20"/>
                          </w:rPr>
                        </w:r>
                      </w:p>
                    </w:tc>
                  </w:tr>
                  <w:tr>
                    <w:trPr>
                      <w:trHeight w:val="487"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z w:val="20"/>
                            <w:u w:val="thick" w:color="000008"/>
                          </w:rPr>
                          <w:t>  </w:t>
                        </w:r>
                        <w:r>
                          <w:rPr>
                            <w:rFonts w:ascii="Times New Roman"/>
                            <w:spacing w:val="-2"/>
                            <w:sz w:val="20"/>
                            <w:u w:val="thick" w:color="000008"/>
                          </w:rPr>
                          <w:t> </w:t>
                        </w:r>
                        <w:r>
                          <w:rPr>
                            <w:rFonts w:ascii="Times New Roman"/>
                            <w:b/>
                            <w:w w:val="95"/>
                            <w:sz w:val="20"/>
                            <w:u w:val="thick" w:color="000008"/>
                          </w:rPr>
                          <w:t>356,001,944.39</w:t>
                        </w:r>
                        <w:r>
                          <w:rPr>
                            <w:rFonts w:ascii="Times New Roman"/>
                            <w:b/>
                            <w:w w:val="95"/>
                            <w:sz w:val="20"/>
                          </w:rPr>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6"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8"/>
                          </w:rPr>
                          <w:t> </w:t>
                        </w:r>
                        <w:r>
                          <w:rPr>
                            <w:rFonts w:ascii="Times New Roman"/>
                            <w:sz w:val="20"/>
                            <w:u w:val="thick" w:color="000008"/>
                          </w:rPr>
                          <w:t>  </w:t>
                        </w:r>
                        <w:r>
                          <w:rPr>
                            <w:rFonts w:ascii="Times New Roman"/>
                            <w:spacing w:val="-2"/>
                            <w:sz w:val="20"/>
                            <w:u w:val="thick" w:color="000008"/>
                          </w:rPr>
                          <w:t> </w:t>
                        </w:r>
                        <w:r>
                          <w:rPr>
                            <w:rFonts w:ascii="Times New Roman"/>
                            <w:b/>
                            <w:sz w:val="20"/>
                            <w:u w:val="thick" w:color="000008"/>
                          </w:rPr>
                          <w:t>522,089,621.59</w:t>
                        </w:r>
                        <w:r>
                          <w:rPr>
                            <w:rFonts w:ascii="Times New Roman"/>
                            <w:b/>
                            <w:sz w:val="20"/>
                          </w:rPr>
                        </w:r>
                        <w:r>
                          <w:rPr>
                            <w:rFonts w:ascii="Times New Roman"/>
                            <w:sz w:val="20"/>
                          </w:rPr>
                        </w:r>
                      </w:p>
                    </w:tc>
                  </w:tr>
                  <w:tr>
                    <w:trPr>
                      <w:trHeight w:val="487"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9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w w:val="95"/>
                            <w:sz w:val="20"/>
                            <w:u w:val="single" w:color="000008"/>
                          </w:rPr>
                          <w:t>809,694,782.75</w:t>
                        </w:r>
                        <w:r>
                          <w:rPr>
                            <w:rFonts w:ascii="Times New Roman"/>
                            <w:b/>
                            <w:w w:val="95"/>
                            <w:sz w:val="20"/>
                          </w:rPr>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96"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7"/>
                            <w:sz w:val="20"/>
                            <w:u w:val="single" w:color="000008"/>
                          </w:rPr>
                          <w:t> </w:t>
                        </w:r>
                        <w:r>
                          <w:rPr>
                            <w:rFonts w:ascii="Times New Roman"/>
                            <w:b/>
                            <w:sz w:val="20"/>
                            <w:u w:val="single" w:color="000008"/>
                          </w:rPr>
                          <w:t>287,605,161.16</w:t>
                        </w:r>
                        <w:r>
                          <w:rPr>
                            <w:rFonts w:ascii="Times New Roman"/>
                            <w:b/>
                            <w:sz w:val="20"/>
                          </w:rPr>
                        </w:r>
                        <w:r>
                          <w:rPr>
                            <w:rFonts w:ascii="Times New Roman"/>
                            <w:sz w:val="20"/>
                          </w:rPr>
                        </w:r>
                      </w:p>
                    </w:tc>
                  </w:tr>
                  <w:tr>
                    <w:trPr>
                      <w:trHeight w:val="435"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4"/>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5"/>
                            <w:sz w:val="20"/>
                            <w:u w:val="single" w:color="000008"/>
                          </w:rPr>
                          <w:t>1,165,696,727.14</w:t>
                        </w:r>
                        <w:r>
                          <w:rPr>
                            <w:rFonts w:ascii="Times New Roman"/>
                            <w:b/>
                            <w:w w:val="95"/>
                            <w:sz w:val="20"/>
                          </w:rPr>
                        </w:r>
                        <w:r>
                          <w:rPr>
                            <w:rFonts w:ascii="Times New Roman"/>
                            <w:sz w:val="20"/>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6"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8"/>
                          </w:rPr>
                          <w:t> </w:t>
                        </w:r>
                        <w:r>
                          <w:rPr>
                            <w:rFonts w:ascii="Times New Roman"/>
                            <w:sz w:val="20"/>
                            <w:u w:val="single" w:color="000008"/>
                          </w:rPr>
                          <w:t>  </w:t>
                        </w:r>
                        <w:r>
                          <w:rPr>
                            <w:rFonts w:ascii="Times New Roman"/>
                            <w:spacing w:val="-2"/>
                            <w:sz w:val="20"/>
                            <w:u w:val="single" w:color="000008"/>
                          </w:rPr>
                          <w:t> </w:t>
                        </w:r>
                        <w:r>
                          <w:rPr>
                            <w:rFonts w:ascii="Times New Roman"/>
                            <w:b/>
                            <w:sz w:val="20"/>
                            <w:u w:val="single" w:color="000008"/>
                          </w:rPr>
                          <w:t>809,694,782.75</w:t>
                        </w:r>
                        <w:r>
                          <w:rPr>
                            <w:rFonts w:ascii="Times New Roman"/>
                            <w:b/>
                            <w:sz w:val="20"/>
                          </w:rPr>
                        </w:r>
                        <w:r>
                          <w:rPr>
                            <w:rFonts w:ascii="Times New Roman"/>
                            <w:sz w:val="20"/>
                          </w:rPr>
                        </w:r>
                      </w:p>
                    </w:tc>
                  </w:tr>
                </w:tbl>
                <w:p>
                  <w:pPr/>
                </w:p>
              </w:txbxContent>
            </v:textbox>
            <w10:wrap type="none"/>
          </v:shape>
        </w:pict>
      </w:r>
      <w:r>
        <w:rPr>
          <w:rFonts w:ascii="宋体" w:hAnsi="宋体" w:cs="宋体" w:eastAsia="宋体" w:hint="default"/>
          <w:sz w:val="20"/>
          <w:szCs w:val="20"/>
        </w:rPr>
        <w:t>吸收投资收到的现金</w:t>
      </w:r>
      <w:r>
        <w:rPr>
          <w:rFonts w:ascii="宋体" w:hAnsi="宋体" w:cs="宋体" w:eastAsia="宋体" w:hint="default"/>
          <w:w w:val="99"/>
          <w:sz w:val="20"/>
          <w:szCs w:val="20"/>
        </w:rPr>
        <w:t> </w:t>
      </w:r>
      <w:r>
        <w:rPr>
          <w:rFonts w:ascii="宋体" w:hAnsi="宋体" w:cs="宋体" w:eastAsia="宋体" w:hint="default"/>
          <w:sz w:val="20"/>
          <w:szCs w:val="20"/>
        </w:rPr>
        <w:t>取得借款收到的现金</w:t>
      </w:r>
      <w:r>
        <w:rPr>
          <w:rFonts w:ascii="宋体" w:hAnsi="宋体" w:cs="宋体" w:eastAsia="宋体" w:hint="default"/>
          <w:w w:val="99"/>
          <w:sz w:val="20"/>
          <w:szCs w:val="20"/>
        </w:rPr>
        <w:t> </w:t>
      </w:r>
      <w:r>
        <w:rPr>
          <w:rFonts w:ascii="宋体" w:hAnsi="宋体" w:cs="宋体" w:eastAsia="宋体" w:hint="default"/>
          <w:w w:val="95"/>
          <w:sz w:val="20"/>
          <w:szCs w:val="20"/>
        </w:rPr>
        <w:t>收到其他与筹资活动有关的现金</w:t>
      </w:r>
      <w:r>
        <w:rPr>
          <w:rFonts w:ascii="宋体" w:hAnsi="宋体" w:cs="宋体" w:eastAsia="宋体" w:hint="default"/>
          <w:sz w:val="20"/>
          <w:szCs w:val="20"/>
        </w:rPr>
      </w:r>
    </w:p>
    <w:p>
      <w:pPr>
        <w:spacing w:line="341" w:lineRule="exact" w:before="0"/>
        <w:ind w:left="1292" w:right="4871"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p>
      <w:pPr>
        <w:spacing w:line="240" w:lineRule="auto" w:before="9"/>
        <w:rPr>
          <w:rFonts w:ascii="Microsoft JhengHei" w:hAnsi="Microsoft JhengHei" w:cs="Microsoft JhengHei" w:eastAsia="Microsoft JhengHei" w:hint="default"/>
          <w:b/>
          <w:bCs/>
          <w:sz w:val="10"/>
          <w:szCs w:val="10"/>
        </w:rPr>
      </w:pPr>
    </w:p>
    <w:p>
      <w:pPr>
        <w:spacing w:line="422" w:lineRule="auto" w:before="0"/>
        <w:ind w:left="516" w:right="4871" w:firstLine="0"/>
        <w:jc w:val="left"/>
        <w:rPr>
          <w:rFonts w:ascii="宋体" w:hAnsi="宋体" w:cs="宋体" w:eastAsia="宋体" w:hint="default"/>
          <w:sz w:val="20"/>
          <w:szCs w:val="20"/>
        </w:rPr>
      </w:pPr>
      <w:r>
        <w:rPr/>
        <w:pict>
          <v:group style="position:absolute;margin-left:359.399994pt;margin-top:65.499687pt;width:72.25pt;height:.6pt;mso-position-horizontal-relative:page;mso-position-vertical-relative:paragraph;z-index:3544" coordorigin="7188,1310" coordsize="1445,12">
            <v:group style="position:absolute;left:7194;top:1316;width:12;height:2" coordorigin="7194,1316" coordsize="12,2">
              <v:shape style="position:absolute;left:7194;top:1316;width:12;height:2" coordorigin="7194,1316" coordsize="12,0" path="m7194,1316l7206,1316e" filled="false" stroked="true" strokeweight=".6pt" strokecolor="#000008">
                <v:path arrowok="t"/>
              </v:shape>
            </v:group>
            <v:group style="position:absolute;left:7213;top:1316;width:12;height:2" coordorigin="7213,1316" coordsize="12,2">
              <v:shape style="position:absolute;left:7213;top:1316;width:12;height:2" coordorigin="7213,1316" coordsize="12,0" path="m7213,1316l7225,1316e" filled="false" stroked="true" strokeweight=".6pt" strokecolor="#000008">
                <v:path arrowok="t"/>
              </v:shape>
            </v:group>
            <v:group style="position:absolute;left:7232;top:1316;width:12;height:2" coordorigin="7232,1316" coordsize="12,2">
              <v:shape style="position:absolute;left:7232;top:1316;width:12;height:2" coordorigin="7232,1316" coordsize="12,0" path="m7232,1316l7244,1316e" filled="false" stroked="true" strokeweight=".6pt" strokecolor="#000008">
                <v:path arrowok="t"/>
              </v:shape>
            </v:group>
            <v:group style="position:absolute;left:7252;top:1316;width:12;height:2" coordorigin="7252,1316" coordsize="12,2">
              <v:shape style="position:absolute;left:7252;top:1316;width:12;height:2" coordorigin="7252,1316" coordsize="12,0" path="m7252,1316l7264,1316e" filled="false" stroked="true" strokeweight=".6pt" strokecolor="#000008">
                <v:path arrowok="t"/>
              </v:shape>
            </v:group>
            <v:group style="position:absolute;left:7271;top:1316;width:12;height:2" coordorigin="7271,1316" coordsize="12,2">
              <v:shape style="position:absolute;left:7271;top:1316;width:12;height:2" coordorigin="7271,1316" coordsize="12,0" path="m7271,1316l7283,1316e" filled="false" stroked="true" strokeweight=".6pt" strokecolor="#000008">
                <v:path arrowok="t"/>
              </v:shape>
            </v:group>
            <v:group style="position:absolute;left:7290;top:1316;width:12;height:2" coordorigin="7290,1316" coordsize="12,2">
              <v:shape style="position:absolute;left:7290;top:1316;width:12;height:2" coordorigin="7290,1316" coordsize="12,0" path="m7290,1316l7302,1316e" filled="false" stroked="true" strokeweight=".6pt" strokecolor="#000008">
                <v:path arrowok="t"/>
              </v:shape>
            </v:group>
            <v:group style="position:absolute;left:7309;top:1316;width:12;height:2" coordorigin="7309,1316" coordsize="12,2">
              <v:shape style="position:absolute;left:7309;top:1316;width:12;height:2" coordorigin="7309,1316" coordsize="12,0" path="m7309,1316l7321,1316e" filled="false" stroked="true" strokeweight=".6pt" strokecolor="#000008">
                <v:path arrowok="t"/>
              </v:shape>
            </v:group>
            <v:group style="position:absolute;left:7328;top:1316;width:12;height:2" coordorigin="7328,1316" coordsize="12,2">
              <v:shape style="position:absolute;left:7328;top:1316;width:12;height:2" coordorigin="7328,1316" coordsize="12,0" path="m7328,1316l7340,1316e" filled="false" stroked="true" strokeweight=".6pt" strokecolor="#000008">
                <v:path arrowok="t"/>
              </v:shape>
            </v:group>
            <v:group style="position:absolute;left:7348;top:1316;width:12;height:2" coordorigin="7348,1316" coordsize="12,2">
              <v:shape style="position:absolute;left:7348;top:1316;width:12;height:2" coordorigin="7348,1316" coordsize="12,0" path="m7348,1316l7360,1316e" filled="false" stroked="true" strokeweight=".6pt" strokecolor="#000008">
                <v:path arrowok="t"/>
              </v:shape>
            </v:group>
            <v:group style="position:absolute;left:7367;top:1316;width:12;height:2" coordorigin="7367,1316" coordsize="12,2">
              <v:shape style="position:absolute;left:7367;top:1316;width:12;height:2" coordorigin="7367,1316" coordsize="12,0" path="m7367,1316l7379,1316e" filled="false" stroked="true" strokeweight=".6pt" strokecolor="#000008">
                <v:path arrowok="t"/>
              </v:shape>
            </v:group>
            <v:group style="position:absolute;left:7386;top:1316;width:12;height:2" coordorigin="7386,1316" coordsize="12,2">
              <v:shape style="position:absolute;left:7386;top:1316;width:12;height:2" coordorigin="7386,1316" coordsize="12,0" path="m7386,1316l7398,1316e" filled="false" stroked="true" strokeweight=".6pt" strokecolor="#000008">
                <v:path arrowok="t"/>
              </v:shape>
            </v:group>
            <v:group style="position:absolute;left:7405;top:1316;width:12;height:2" coordorigin="7405,1316" coordsize="12,2">
              <v:shape style="position:absolute;left:7405;top:1316;width:12;height:2" coordorigin="7405,1316" coordsize="12,0" path="m7405,1316l7417,1316e" filled="false" stroked="true" strokeweight=".6pt" strokecolor="#000008">
                <v:path arrowok="t"/>
              </v:shape>
            </v:group>
            <v:group style="position:absolute;left:7424;top:1316;width:12;height:2" coordorigin="7424,1316" coordsize="12,2">
              <v:shape style="position:absolute;left:7424;top:1316;width:12;height:2" coordorigin="7424,1316" coordsize="12,0" path="m7424,1316l7436,1316e" filled="false" stroked="true" strokeweight=".6pt" strokecolor="#000008">
                <v:path arrowok="t"/>
              </v:shape>
            </v:group>
            <v:group style="position:absolute;left:7444;top:1316;width:12;height:2" coordorigin="7444,1316" coordsize="12,2">
              <v:shape style="position:absolute;left:7444;top:1316;width:12;height:2" coordorigin="7444,1316" coordsize="12,0" path="m7444,1316l7456,1316e" filled="false" stroked="true" strokeweight=".6pt" strokecolor="#000008">
                <v:path arrowok="t"/>
              </v:shape>
            </v:group>
            <v:group style="position:absolute;left:7463;top:1316;width:12;height:2" coordorigin="7463,1316" coordsize="12,2">
              <v:shape style="position:absolute;left:7463;top:1316;width:12;height:2" coordorigin="7463,1316" coordsize="12,0" path="m7463,1316l7475,1316e" filled="false" stroked="true" strokeweight=".6pt" strokecolor="#000008">
                <v:path arrowok="t"/>
              </v:shape>
            </v:group>
            <v:group style="position:absolute;left:7482;top:1316;width:12;height:2" coordorigin="7482,1316" coordsize="12,2">
              <v:shape style="position:absolute;left:7482;top:1316;width:12;height:2" coordorigin="7482,1316" coordsize="12,0" path="m7482,1316l7494,1316e" filled="false" stroked="true" strokeweight=".6pt" strokecolor="#000008">
                <v:path arrowok="t"/>
              </v:shape>
            </v:group>
            <v:group style="position:absolute;left:7501;top:1316;width:12;height:2" coordorigin="7501,1316" coordsize="12,2">
              <v:shape style="position:absolute;left:7501;top:1316;width:12;height:2" coordorigin="7501,1316" coordsize="12,0" path="m7501,1316l7513,1316e" filled="false" stroked="true" strokeweight=".6pt" strokecolor="#000008">
                <v:path arrowok="t"/>
              </v:shape>
            </v:group>
            <v:group style="position:absolute;left:7520;top:1316;width:12;height:2" coordorigin="7520,1316" coordsize="12,2">
              <v:shape style="position:absolute;left:7520;top:1316;width:12;height:2" coordorigin="7520,1316" coordsize="12,0" path="m7520,1316l7532,1316e" filled="false" stroked="true" strokeweight=".6pt" strokecolor="#000008">
                <v:path arrowok="t"/>
              </v:shape>
            </v:group>
            <v:group style="position:absolute;left:7540;top:1316;width:12;height:2" coordorigin="7540,1316" coordsize="12,2">
              <v:shape style="position:absolute;left:7540;top:1316;width:12;height:2" coordorigin="7540,1316" coordsize="12,0" path="m7540,1316l7552,1316e" filled="false" stroked="true" strokeweight=".6pt" strokecolor="#000008">
                <v:path arrowok="t"/>
              </v:shape>
            </v:group>
            <v:group style="position:absolute;left:7559;top:1316;width:12;height:2" coordorigin="7559,1316" coordsize="12,2">
              <v:shape style="position:absolute;left:7559;top:1316;width:12;height:2" coordorigin="7559,1316" coordsize="12,0" path="m7559,1316l7571,1316e" filled="false" stroked="true" strokeweight=".6pt" strokecolor="#000008">
                <v:path arrowok="t"/>
              </v:shape>
            </v:group>
            <v:group style="position:absolute;left:7578;top:1316;width:12;height:2" coordorigin="7578,1316" coordsize="12,2">
              <v:shape style="position:absolute;left:7578;top:1316;width:12;height:2" coordorigin="7578,1316" coordsize="12,0" path="m7578,1316l7590,1316e" filled="false" stroked="true" strokeweight=".6pt" strokecolor="#000008">
                <v:path arrowok="t"/>
              </v:shape>
            </v:group>
            <v:group style="position:absolute;left:7597;top:1316;width:12;height:2" coordorigin="7597,1316" coordsize="12,2">
              <v:shape style="position:absolute;left:7597;top:1316;width:12;height:2" coordorigin="7597,1316" coordsize="12,0" path="m7597,1316l7609,1316e" filled="false" stroked="true" strokeweight=".6pt" strokecolor="#000008">
                <v:path arrowok="t"/>
              </v:shape>
            </v:group>
            <v:group style="position:absolute;left:7616;top:1316;width:12;height:2" coordorigin="7616,1316" coordsize="12,2">
              <v:shape style="position:absolute;left:7616;top:1316;width:12;height:2" coordorigin="7616,1316" coordsize="12,0" path="m7616,1316l7628,1316e" filled="false" stroked="true" strokeweight=".6pt" strokecolor="#000008">
                <v:path arrowok="t"/>
              </v:shape>
            </v:group>
            <v:group style="position:absolute;left:7636;top:1316;width:12;height:2" coordorigin="7636,1316" coordsize="12,2">
              <v:shape style="position:absolute;left:7636;top:1316;width:12;height:2" coordorigin="7636,1316" coordsize="12,0" path="m7636,1316l7648,1316e" filled="false" stroked="true" strokeweight=".6pt" strokecolor="#000008">
                <v:path arrowok="t"/>
              </v:shape>
            </v:group>
            <v:group style="position:absolute;left:7655;top:1316;width:12;height:2" coordorigin="7655,1316" coordsize="12,2">
              <v:shape style="position:absolute;left:7655;top:1316;width:12;height:2" coordorigin="7655,1316" coordsize="12,0" path="m7655,1316l7667,1316e" filled="false" stroked="true" strokeweight=".6pt" strokecolor="#000008">
                <v:path arrowok="t"/>
              </v:shape>
            </v:group>
            <v:group style="position:absolute;left:7674;top:1316;width:12;height:2" coordorigin="7674,1316" coordsize="12,2">
              <v:shape style="position:absolute;left:7674;top:1316;width:12;height:2" coordorigin="7674,1316" coordsize="12,0" path="m7674,1316l7686,1316e" filled="false" stroked="true" strokeweight=".6pt" strokecolor="#000008">
                <v:path arrowok="t"/>
              </v:shape>
            </v:group>
            <v:group style="position:absolute;left:7693;top:1316;width:12;height:2" coordorigin="7693,1316" coordsize="12,2">
              <v:shape style="position:absolute;left:7693;top:1316;width:12;height:2" coordorigin="7693,1316" coordsize="12,0" path="m7693,1316l7705,1316e" filled="false" stroked="true" strokeweight=".6pt" strokecolor="#000008">
                <v:path arrowok="t"/>
              </v:shape>
            </v:group>
            <v:group style="position:absolute;left:7712;top:1316;width:12;height:2" coordorigin="7712,1316" coordsize="12,2">
              <v:shape style="position:absolute;left:7712;top:1316;width:12;height:2" coordorigin="7712,1316" coordsize="12,0" path="m7712,1316l7724,1316e" filled="false" stroked="true" strokeweight=".6pt" strokecolor="#000008">
                <v:path arrowok="t"/>
              </v:shape>
            </v:group>
            <v:group style="position:absolute;left:7732;top:1316;width:12;height:2" coordorigin="7732,1316" coordsize="12,2">
              <v:shape style="position:absolute;left:7732;top:1316;width:12;height:2" coordorigin="7732,1316" coordsize="12,0" path="m7732,1316l7744,1316e" filled="false" stroked="true" strokeweight=".6pt" strokecolor="#000008">
                <v:path arrowok="t"/>
              </v:shape>
            </v:group>
            <v:group style="position:absolute;left:7751;top:1316;width:12;height:2" coordorigin="7751,1316" coordsize="12,2">
              <v:shape style="position:absolute;left:7751;top:1316;width:12;height:2" coordorigin="7751,1316" coordsize="12,0" path="m7751,1316l7763,1316e" filled="false" stroked="true" strokeweight=".6pt" strokecolor="#000008">
                <v:path arrowok="t"/>
              </v:shape>
            </v:group>
            <v:group style="position:absolute;left:7770;top:1316;width:12;height:2" coordorigin="7770,1316" coordsize="12,2">
              <v:shape style="position:absolute;left:7770;top:1316;width:12;height:2" coordorigin="7770,1316" coordsize="12,0" path="m7770,1316l7782,1316e" filled="false" stroked="true" strokeweight=".6pt" strokecolor="#000008">
                <v:path arrowok="t"/>
              </v:shape>
            </v:group>
            <v:group style="position:absolute;left:7789;top:1316;width:12;height:2" coordorigin="7789,1316" coordsize="12,2">
              <v:shape style="position:absolute;left:7789;top:1316;width:12;height:2" coordorigin="7789,1316" coordsize="12,0" path="m7789,1316l7801,1316e" filled="false" stroked="true" strokeweight=".6pt" strokecolor="#000008">
                <v:path arrowok="t"/>
              </v:shape>
            </v:group>
            <v:group style="position:absolute;left:7808;top:1316;width:12;height:2" coordorigin="7808,1316" coordsize="12,2">
              <v:shape style="position:absolute;left:7808;top:1316;width:12;height:2" coordorigin="7808,1316" coordsize="12,0" path="m7808,1316l7820,1316e" filled="false" stroked="true" strokeweight=".6pt" strokecolor="#000008">
                <v:path arrowok="t"/>
              </v:shape>
            </v:group>
            <v:group style="position:absolute;left:7828;top:1316;width:12;height:2" coordorigin="7828,1316" coordsize="12,2">
              <v:shape style="position:absolute;left:7828;top:1316;width:12;height:2" coordorigin="7828,1316" coordsize="12,0" path="m7828,1316l7840,1316e" filled="false" stroked="true" strokeweight=".6pt" strokecolor="#000008">
                <v:path arrowok="t"/>
              </v:shape>
            </v:group>
            <v:group style="position:absolute;left:7847;top:1316;width:12;height:2" coordorigin="7847,1316" coordsize="12,2">
              <v:shape style="position:absolute;left:7847;top:1316;width:12;height:2" coordorigin="7847,1316" coordsize="12,0" path="m7847,1316l7859,1316e" filled="false" stroked="true" strokeweight=".6pt" strokecolor="#000008">
                <v:path arrowok="t"/>
              </v:shape>
            </v:group>
            <v:group style="position:absolute;left:7866;top:1316;width:12;height:2" coordorigin="7866,1316" coordsize="12,2">
              <v:shape style="position:absolute;left:7866;top:1316;width:12;height:2" coordorigin="7866,1316" coordsize="12,0" path="m7866,1316l7878,1316e" filled="false" stroked="true" strokeweight=".6pt" strokecolor="#000008">
                <v:path arrowok="t"/>
              </v:shape>
            </v:group>
            <v:group style="position:absolute;left:7885;top:1316;width:12;height:2" coordorigin="7885,1316" coordsize="12,2">
              <v:shape style="position:absolute;left:7885;top:1316;width:12;height:2" coordorigin="7885,1316" coordsize="12,0" path="m7885,1316l7897,1316e" filled="false" stroked="true" strokeweight=".6pt" strokecolor="#000008">
                <v:path arrowok="t"/>
              </v:shape>
            </v:group>
            <v:group style="position:absolute;left:7904;top:1316;width:12;height:2" coordorigin="7904,1316" coordsize="12,2">
              <v:shape style="position:absolute;left:7904;top:1316;width:12;height:2" coordorigin="7904,1316" coordsize="12,0" path="m7904,1316l7916,1316e" filled="false" stroked="true" strokeweight=".6pt" strokecolor="#000008">
                <v:path arrowok="t"/>
              </v:shape>
            </v:group>
            <v:group style="position:absolute;left:7924;top:1316;width:12;height:2" coordorigin="7924,1316" coordsize="12,2">
              <v:shape style="position:absolute;left:7924;top:1316;width:12;height:2" coordorigin="7924,1316" coordsize="12,0" path="m7924,1316l7936,1316e" filled="false" stroked="true" strokeweight=".6pt" strokecolor="#000008">
                <v:path arrowok="t"/>
              </v:shape>
            </v:group>
            <v:group style="position:absolute;left:7943;top:1316;width:12;height:2" coordorigin="7943,1316" coordsize="12,2">
              <v:shape style="position:absolute;left:7943;top:1316;width:12;height:2" coordorigin="7943,1316" coordsize="12,0" path="m7943,1316l7955,1316e" filled="false" stroked="true" strokeweight=".6pt" strokecolor="#000008">
                <v:path arrowok="t"/>
              </v:shape>
            </v:group>
            <v:group style="position:absolute;left:7962;top:1316;width:12;height:2" coordorigin="7962,1316" coordsize="12,2">
              <v:shape style="position:absolute;left:7962;top:1316;width:12;height:2" coordorigin="7962,1316" coordsize="12,0" path="m7962,1316l7974,1316e" filled="false" stroked="true" strokeweight=".6pt" strokecolor="#000008">
                <v:path arrowok="t"/>
              </v:shape>
            </v:group>
            <v:group style="position:absolute;left:7981;top:1316;width:12;height:2" coordorigin="7981,1316" coordsize="12,2">
              <v:shape style="position:absolute;left:7981;top:1316;width:12;height:2" coordorigin="7981,1316" coordsize="12,0" path="m7981,1316l7993,1316e" filled="false" stroked="true" strokeweight=".6pt" strokecolor="#000008">
                <v:path arrowok="t"/>
              </v:shape>
            </v:group>
            <v:group style="position:absolute;left:8000;top:1316;width:12;height:2" coordorigin="8000,1316" coordsize="12,2">
              <v:shape style="position:absolute;left:8000;top:1316;width:12;height:2" coordorigin="8000,1316" coordsize="12,0" path="m8000,1316l8012,1316e" filled="false" stroked="true" strokeweight=".6pt" strokecolor="#000008">
                <v:path arrowok="t"/>
              </v:shape>
            </v:group>
            <v:group style="position:absolute;left:8020;top:1316;width:12;height:2" coordorigin="8020,1316" coordsize="12,2">
              <v:shape style="position:absolute;left:8020;top:1316;width:12;height:2" coordorigin="8020,1316" coordsize="12,0" path="m8020,1316l8032,1316e" filled="false" stroked="true" strokeweight=".6pt" strokecolor="#000008">
                <v:path arrowok="t"/>
              </v:shape>
            </v:group>
            <v:group style="position:absolute;left:8039;top:1316;width:12;height:2" coordorigin="8039,1316" coordsize="12,2">
              <v:shape style="position:absolute;left:8039;top:1316;width:12;height:2" coordorigin="8039,1316" coordsize="12,0" path="m8039,1316l8051,1316e" filled="false" stroked="true" strokeweight=".6pt" strokecolor="#000008">
                <v:path arrowok="t"/>
              </v:shape>
            </v:group>
            <v:group style="position:absolute;left:8058;top:1316;width:12;height:2" coordorigin="8058,1316" coordsize="12,2">
              <v:shape style="position:absolute;left:8058;top:1316;width:12;height:2" coordorigin="8058,1316" coordsize="12,0" path="m8058,1316l8070,1316e" filled="false" stroked="true" strokeweight=".6pt" strokecolor="#000008">
                <v:path arrowok="t"/>
              </v:shape>
            </v:group>
            <v:group style="position:absolute;left:8077;top:1316;width:12;height:2" coordorigin="8077,1316" coordsize="12,2">
              <v:shape style="position:absolute;left:8077;top:1316;width:12;height:2" coordorigin="8077,1316" coordsize="12,0" path="m8077,1316l8089,1316e" filled="false" stroked="true" strokeweight=".6pt" strokecolor="#000008">
                <v:path arrowok="t"/>
              </v:shape>
            </v:group>
            <v:group style="position:absolute;left:8096;top:1316;width:12;height:2" coordorigin="8096,1316" coordsize="12,2">
              <v:shape style="position:absolute;left:8096;top:1316;width:12;height:2" coordorigin="8096,1316" coordsize="12,0" path="m8096,1316l8108,1316e" filled="false" stroked="true" strokeweight=".6pt" strokecolor="#000008">
                <v:path arrowok="t"/>
              </v:shape>
            </v:group>
            <v:group style="position:absolute;left:8116;top:1316;width:12;height:2" coordorigin="8116,1316" coordsize="12,2">
              <v:shape style="position:absolute;left:8116;top:1316;width:12;height:2" coordorigin="8116,1316" coordsize="12,0" path="m8116,1316l8128,1316e" filled="false" stroked="true" strokeweight=".6pt" strokecolor="#000008">
                <v:path arrowok="t"/>
              </v:shape>
            </v:group>
            <v:group style="position:absolute;left:8135;top:1316;width:12;height:2" coordorigin="8135,1316" coordsize="12,2">
              <v:shape style="position:absolute;left:8135;top:1316;width:12;height:2" coordorigin="8135,1316" coordsize="12,0" path="m8135,1316l8147,1316e" filled="false" stroked="true" strokeweight=".6pt" strokecolor="#000008">
                <v:path arrowok="t"/>
              </v:shape>
            </v:group>
            <v:group style="position:absolute;left:8154;top:1316;width:12;height:2" coordorigin="8154,1316" coordsize="12,2">
              <v:shape style="position:absolute;left:8154;top:1316;width:12;height:2" coordorigin="8154,1316" coordsize="12,0" path="m8154,1316l8166,1316e" filled="false" stroked="true" strokeweight=".6pt" strokecolor="#000008">
                <v:path arrowok="t"/>
              </v:shape>
            </v:group>
            <v:group style="position:absolute;left:8173;top:1316;width:12;height:2" coordorigin="8173,1316" coordsize="12,2">
              <v:shape style="position:absolute;left:8173;top:1316;width:12;height:2" coordorigin="8173,1316" coordsize="12,0" path="m8173,1316l8185,1316e" filled="false" stroked="true" strokeweight=".6pt" strokecolor="#000008">
                <v:path arrowok="t"/>
              </v:shape>
            </v:group>
            <v:group style="position:absolute;left:8192;top:1316;width:12;height:2" coordorigin="8192,1316" coordsize="12,2">
              <v:shape style="position:absolute;left:8192;top:1316;width:12;height:2" coordorigin="8192,1316" coordsize="12,0" path="m8192,1316l8204,1316e" filled="false" stroked="true" strokeweight=".6pt" strokecolor="#000008">
                <v:path arrowok="t"/>
              </v:shape>
            </v:group>
            <v:group style="position:absolute;left:8212;top:1316;width:12;height:2" coordorigin="8212,1316" coordsize="12,2">
              <v:shape style="position:absolute;left:8212;top:1316;width:12;height:2" coordorigin="8212,1316" coordsize="12,0" path="m8212,1316l8224,1316e" filled="false" stroked="true" strokeweight=".6pt" strokecolor="#000008">
                <v:path arrowok="t"/>
              </v:shape>
            </v:group>
            <v:group style="position:absolute;left:8231;top:1316;width:12;height:2" coordorigin="8231,1316" coordsize="12,2">
              <v:shape style="position:absolute;left:8231;top:1316;width:12;height:2" coordorigin="8231,1316" coordsize="12,0" path="m8231,1316l8243,1316e" filled="false" stroked="true" strokeweight=".6pt" strokecolor="#000008">
                <v:path arrowok="t"/>
              </v:shape>
            </v:group>
            <v:group style="position:absolute;left:8250;top:1316;width:12;height:2" coordorigin="8250,1316" coordsize="12,2">
              <v:shape style="position:absolute;left:8250;top:1316;width:12;height:2" coordorigin="8250,1316" coordsize="12,0" path="m8250,1316l8262,1316e" filled="false" stroked="true" strokeweight=".6pt" strokecolor="#000008">
                <v:path arrowok="t"/>
              </v:shape>
            </v:group>
            <v:group style="position:absolute;left:8269;top:1316;width:12;height:2" coordorigin="8269,1316" coordsize="12,2">
              <v:shape style="position:absolute;left:8269;top:1316;width:12;height:2" coordorigin="8269,1316" coordsize="12,0" path="m8269,1316l8281,1316e" filled="false" stroked="true" strokeweight=".6pt" strokecolor="#000008">
                <v:path arrowok="t"/>
              </v:shape>
            </v:group>
            <v:group style="position:absolute;left:8288;top:1316;width:12;height:2" coordorigin="8288,1316" coordsize="12,2">
              <v:shape style="position:absolute;left:8288;top:1316;width:12;height:2" coordorigin="8288,1316" coordsize="12,0" path="m8288,1316l8300,1316e" filled="false" stroked="true" strokeweight=".6pt" strokecolor="#000008">
                <v:path arrowok="t"/>
              </v:shape>
            </v:group>
            <v:group style="position:absolute;left:8308;top:1316;width:12;height:2" coordorigin="8308,1316" coordsize="12,2">
              <v:shape style="position:absolute;left:8308;top:1316;width:12;height:2" coordorigin="8308,1316" coordsize="12,0" path="m8308,1316l8320,1316e" filled="false" stroked="true" strokeweight=".6pt" strokecolor="#000008">
                <v:path arrowok="t"/>
              </v:shape>
            </v:group>
            <v:group style="position:absolute;left:8327;top:1316;width:12;height:2" coordorigin="8327,1316" coordsize="12,2">
              <v:shape style="position:absolute;left:8327;top:1316;width:12;height:2" coordorigin="8327,1316" coordsize="12,0" path="m8327,1316l8339,1316e" filled="false" stroked="true" strokeweight=".6pt" strokecolor="#000008">
                <v:path arrowok="t"/>
              </v:shape>
            </v:group>
            <v:group style="position:absolute;left:8346;top:1316;width:12;height:2" coordorigin="8346,1316" coordsize="12,2">
              <v:shape style="position:absolute;left:8346;top:1316;width:12;height:2" coordorigin="8346,1316" coordsize="12,0" path="m8346,1316l8358,1316e" filled="false" stroked="true" strokeweight=".6pt" strokecolor="#000008">
                <v:path arrowok="t"/>
              </v:shape>
            </v:group>
            <v:group style="position:absolute;left:8365;top:1316;width:12;height:2" coordorigin="8365,1316" coordsize="12,2">
              <v:shape style="position:absolute;left:8365;top:1316;width:12;height:2" coordorigin="8365,1316" coordsize="12,0" path="m8365,1316l8377,1316e" filled="false" stroked="true" strokeweight=".6pt" strokecolor="#000008">
                <v:path arrowok="t"/>
              </v:shape>
            </v:group>
            <v:group style="position:absolute;left:8384;top:1316;width:12;height:2" coordorigin="8384,1316" coordsize="12,2">
              <v:shape style="position:absolute;left:8384;top:1316;width:12;height:2" coordorigin="8384,1316" coordsize="12,0" path="m8384,1316l8396,1316e" filled="false" stroked="true" strokeweight=".6pt" strokecolor="#000008">
                <v:path arrowok="t"/>
              </v:shape>
            </v:group>
            <v:group style="position:absolute;left:8404;top:1316;width:12;height:2" coordorigin="8404,1316" coordsize="12,2">
              <v:shape style="position:absolute;left:8404;top:1316;width:12;height:2" coordorigin="8404,1316" coordsize="12,0" path="m8404,1316l8416,1316e" filled="false" stroked="true" strokeweight=".6pt" strokecolor="#000008">
                <v:path arrowok="t"/>
              </v:shape>
            </v:group>
            <v:group style="position:absolute;left:8423;top:1316;width:12;height:2" coordorigin="8423,1316" coordsize="12,2">
              <v:shape style="position:absolute;left:8423;top:1316;width:12;height:2" coordorigin="8423,1316" coordsize="12,0" path="m8423,1316l8435,1316e" filled="false" stroked="true" strokeweight=".6pt" strokecolor="#000008">
                <v:path arrowok="t"/>
              </v:shape>
            </v:group>
            <v:group style="position:absolute;left:8442;top:1316;width:12;height:2" coordorigin="8442,1316" coordsize="12,2">
              <v:shape style="position:absolute;left:8442;top:1316;width:12;height:2" coordorigin="8442,1316" coordsize="12,0" path="m8442,1316l8454,1316e" filled="false" stroked="true" strokeweight=".6pt" strokecolor="#000008">
                <v:path arrowok="t"/>
              </v:shape>
            </v:group>
            <v:group style="position:absolute;left:8461;top:1316;width:12;height:2" coordorigin="8461,1316" coordsize="12,2">
              <v:shape style="position:absolute;left:8461;top:1316;width:12;height:2" coordorigin="8461,1316" coordsize="12,0" path="m8461,1316l8473,1316e" filled="false" stroked="true" strokeweight=".6pt" strokecolor="#000008">
                <v:path arrowok="t"/>
              </v:shape>
            </v:group>
            <v:group style="position:absolute;left:8480;top:1316;width:12;height:2" coordorigin="8480,1316" coordsize="12,2">
              <v:shape style="position:absolute;left:8480;top:1316;width:12;height:2" coordorigin="8480,1316" coordsize="12,0" path="m8480,1316l8492,1316e" filled="false" stroked="true" strokeweight=".6pt" strokecolor="#000008">
                <v:path arrowok="t"/>
              </v:shape>
            </v:group>
            <v:group style="position:absolute;left:8500;top:1316;width:12;height:2" coordorigin="8500,1316" coordsize="12,2">
              <v:shape style="position:absolute;left:8500;top:1316;width:12;height:2" coordorigin="8500,1316" coordsize="12,0" path="m8500,1316l8512,1316e" filled="false" stroked="true" strokeweight=".6pt" strokecolor="#000008">
                <v:path arrowok="t"/>
              </v:shape>
            </v:group>
            <v:group style="position:absolute;left:8519;top:1316;width:12;height:2" coordorigin="8519,1316" coordsize="12,2">
              <v:shape style="position:absolute;left:8519;top:1316;width:12;height:2" coordorigin="8519,1316" coordsize="12,0" path="m8519,1316l8531,1316e" filled="false" stroked="true" strokeweight=".6pt" strokecolor="#000008">
                <v:path arrowok="t"/>
              </v:shape>
            </v:group>
            <v:group style="position:absolute;left:8538;top:1316;width:12;height:2" coordorigin="8538,1316" coordsize="12,2">
              <v:shape style="position:absolute;left:8538;top:1316;width:12;height:2" coordorigin="8538,1316" coordsize="12,0" path="m8538,1316l8550,1316e" filled="false" stroked="true" strokeweight=".6pt" strokecolor="#000008">
                <v:path arrowok="t"/>
              </v:shape>
            </v:group>
            <v:group style="position:absolute;left:8557;top:1316;width:12;height:2" coordorigin="8557,1316" coordsize="12,2">
              <v:shape style="position:absolute;left:8557;top:1316;width:12;height:2" coordorigin="8557,1316" coordsize="12,0" path="m8557,1316l8569,1316e" filled="false" stroked="true" strokeweight=".6pt" strokecolor="#000008">
                <v:path arrowok="t"/>
              </v:shape>
            </v:group>
            <v:group style="position:absolute;left:8576;top:1316;width:12;height:2" coordorigin="8576,1316" coordsize="12,2">
              <v:shape style="position:absolute;left:8576;top:1316;width:12;height:2" coordorigin="8576,1316" coordsize="12,0" path="m8576,1316l8588,1316e" filled="false" stroked="true" strokeweight=".6pt" strokecolor="#000008">
                <v:path arrowok="t"/>
              </v:shape>
            </v:group>
            <v:group style="position:absolute;left:8596;top:1316;width:12;height:2" coordorigin="8596,1316" coordsize="12,2">
              <v:shape style="position:absolute;left:8596;top:1316;width:12;height:2" coordorigin="8596,1316" coordsize="12,0" path="m8596,1316l8608,1316e" filled="false" stroked="true" strokeweight=".6pt" strokecolor="#000008">
                <v:path arrowok="t"/>
              </v:shape>
            </v:group>
            <v:group style="position:absolute;left:8615;top:1316;width:12;height:2" coordorigin="8615,1316" coordsize="12,2">
              <v:shape style="position:absolute;left:8615;top:1316;width:12;height:2" coordorigin="8615,1316" coordsize="12,0" path="m8615,1316l8627,1316e" filled="false" stroked="true" strokeweight=".6pt" strokecolor="#000008">
                <v:path arrowok="t"/>
              </v:shape>
            </v:group>
            <w10:wrap type="none"/>
          </v:group>
        </w:pict>
      </w:r>
      <w:r>
        <w:rPr/>
        <w:pict>
          <v:group style="position:absolute;margin-left:449.399994pt;margin-top:65.499687pt;width:72.25pt;height:.6pt;mso-position-horizontal-relative:page;mso-position-vertical-relative:paragraph;z-index:3568" coordorigin="8988,1310" coordsize="1445,12">
            <v:group style="position:absolute;left:8994;top:1316;width:12;height:2" coordorigin="8994,1316" coordsize="12,2">
              <v:shape style="position:absolute;left:8994;top:1316;width:12;height:2" coordorigin="8994,1316" coordsize="12,0" path="m8994,1316l9006,1316e" filled="false" stroked="true" strokeweight=".6pt" strokecolor="#000008">
                <v:path arrowok="t"/>
              </v:shape>
            </v:group>
            <v:group style="position:absolute;left:9013;top:1316;width:12;height:2" coordorigin="9013,1316" coordsize="12,2">
              <v:shape style="position:absolute;left:9013;top:1316;width:12;height:2" coordorigin="9013,1316" coordsize="12,0" path="m9013,1316l9025,1316e" filled="false" stroked="true" strokeweight=".6pt" strokecolor="#000008">
                <v:path arrowok="t"/>
              </v:shape>
            </v:group>
            <v:group style="position:absolute;left:9032;top:1316;width:12;height:2" coordorigin="9032,1316" coordsize="12,2">
              <v:shape style="position:absolute;left:9032;top:1316;width:12;height:2" coordorigin="9032,1316" coordsize="12,0" path="m9032,1316l9044,1316e" filled="false" stroked="true" strokeweight=".6pt" strokecolor="#000008">
                <v:path arrowok="t"/>
              </v:shape>
            </v:group>
            <v:group style="position:absolute;left:9052;top:1316;width:12;height:2" coordorigin="9052,1316" coordsize="12,2">
              <v:shape style="position:absolute;left:9052;top:1316;width:12;height:2" coordorigin="9052,1316" coordsize="12,0" path="m9052,1316l9064,1316e" filled="false" stroked="true" strokeweight=".6pt" strokecolor="#000008">
                <v:path arrowok="t"/>
              </v:shape>
            </v:group>
            <v:group style="position:absolute;left:9071;top:1316;width:12;height:2" coordorigin="9071,1316" coordsize="12,2">
              <v:shape style="position:absolute;left:9071;top:1316;width:12;height:2" coordorigin="9071,1316" coordsize="12,0" path="m9071,1316l9083,1316e" filled="false" stroked="true" strokeweight=".6pt" strokecolor="#000008">
                <v:path arrowok="t"/>
              </v:shape>
            </v:group>
            <v:group style="position:absolute;left:9090;top:1316;width:12;height:2" coordorigin="9090,1316" coordsize="12,2">
              <v:shape style="position:absolute;left:9090;top:1316;width:12;height:2" coordorigin="9090,1316" coordsize="12,0" path="m9090,1316l9102,1316e" filled="false" stroked="true" strokeweight=".6pt" strokecolor="#000008">
                <v:path arrowok="t"/>
              </v:shape>
            </v:group>
            <v:group style="position:absolute;left:9109;top:1316;width:12;height:2" coordorigin="9109,1316" coordsize="12,2">
              <v:shape style="position:absolute;left:9109;top:1316;width:12;height:2" coordorigin="9109,1316" coordsize="12,0" path="m9109,1316l9121,1316e" filled="false" stroked="true" strokeweight=".6pt" strokecolor="#000008">
                <v:path arrowok="t"/>
              </v:shape>
            </v:group>
            <v:group style="position:absolute;left:9128;top:1316;width:12;height:2" coordorigin="9128,1316" coordsize="12,2">
              <v:shape style="position:absolute;left:9128;top:1316;width:12;height:2" coordorigin="9128,1316" coordsize="12,0" path="m9128,1316l9140,1316e" filled="false" stroked="true" strokeweight=".6pt" strokecolor="#000008">
                <v:path arrowok="t"/>
              </v:shape>
            </v:group>
            <v:group style="position:absolute;left:9148;top:1316;width:12;height:2" coordorigin="9148,1316" coordsize="12,2">
              <v:shape style="position:absolute;left:9148;top:1316;width:12;height:2" coordorigin="9148,1316" coordsize="12,0" path="m9148,1316l9160,1316e" filled="false" stroked="true" strokeweight=".6pt" strokecolor="#000008">
                <v:path arrowok="t"/>
              </v:shape>
            </v:group>
            <v:group style="position:absolute;left:9167;top:1316;width:12;height:2" coordorigin="9167,1316" coordsize="12,2">
              <v:shape style="position:absolute;left:9167;top:1316;width:12;height:2" coordorigin="9167,1316" coordsize="12,0" path="m9167,1316l9179,1316e" filled="false" stroked="true" strokeweight=".6pt" strokecolor="#000008">
                <v:path arrowok="t"/>
              </v:shape>
            </v:group>
            <v:group style="position:absolute;left:9186;top:1316;width:12;height:2" coordorigin="9186,1316" coordsize="12,2">
              <v:shape style="position:absolute;left:9186;top:1316;width:12;height:2" coordorigin="9186,1316" coordsize="12,0" path="m9186,1316l9198,1316e" filled="false" stroked="true" strokeweight=".6pt" strokecolor="#000008">
                <v:path arrowok="t"/>
              </v:shape>
            </v:group>
            <v:group style="position:absolute;left:9205;top:1316;width:12;height:2" coordorigin="9205,1316" coordsize="12,2">
              <v:shape style="position:absolute;left:9205;top:1316;width:12;height:2" coordorigin="9205,1316" coordsize="12,0" path="m9205,1316l9217,1316e" filled="false" stroked="true" strokeweight=".6pt" strokecolor="#000008">
                <v:path arrowok="t"/>
              </v:shape>
            </v:group>
            <v:group style="position:absolute;left:9224;top:1316;width:12;height:2" coordorigin="9224,1316" coordsize="12,2">
              <v:shape style="position:absolute;left:9224;top:1316;width:12;height:2" coordorigin="9224,1316" coordsize="12,0" path="m9224,1316l9236,1316e" filled="false" stroked="true" strokeweight=".6pt" strokecolor="#000008">
                <v:path arrowok="t"/>
              </v:shape>
            </v:group>
            <v:group style="position:absolute;left:9244;top:1316;width:12;height:2" coordorigin="9244,1316" coordsize="12,2">
              <v:shape style="position:absolute;left:9244;top:1316;width:12;height:2" coordorigin="9244,1316" coordsize="12,0" path="m9244,1316l9256,1316e" filled="false" stroked="true" strokeweight=".6pt" strokecolor="#000008">
                <v:path arrowok="t"/>
              </v:shape>
            </v:group>
            <v:group style="position:absolute;left:9263;top:1316;width:12;height:2" coordorigin="9263,1316" coordsize="12,2">
              <v:shape style="position:absolute;left:9263;top:1316;width:12;height:2" coordorigin="9263,1316" coordsize="12,0" path="m9263,1316l9275,1316e" filled="false" stroked="true" strokeweight=".6pt" strokecolor="#000008">
                <v:path arrowok="t"/>
              </v:shape>
            </v:group>
            <v:group style="position:absolute;left:9282;top:1316;width:12;height:2" coordorigin="9282,1316" coordsize="12,2">
              <v:shape style="position:absolute;left:9282;top:1316;width:12;height:2" coordorigin="9282,1316" coordsize="12,0" path="m9282,1316l9294,1316e" filled="false" stroked="true" strokeweight=".6pt" strokecolor="#000008">
                <v:path arrowok="t"/>
              </v:shape>
            </v:group>
            <v:group style="position:absolute;left:9301;top:1316;width:12;height:2" coordorigin="9301,1316" coordsize="12,2">
              <v:shape style="position:absolute;left:9301;top:1316;width:12;height:2" coordorigin="9301,1316" coordsize="12,0" path="m9301,1316l9313,1316e" filled="false" stroked="true" strokeweight=".6pt" strokecolor="#000008">
                <v:path arrowok="t"/>
              </v:shape>
            </v:group>
            <v:group style="position:absolute;left:9320;top:1316;width:12;height:2" coordorigin="9320,1316" coordsize="12,2">
              <v:shape style="position:absolute;left:9320;top:1316;width:12;height:2" coordorigin="9320,1316" coordsize="12,0" path="m9320,1316l9332,1316e" filled="false" stroked="true" strokeweight=".6pt" strokecolor="#000008">
                <v:path arrowok="t"/>
              </v:shape>
            </v:group>
            <v:group style="position:absolute;left:9340;top:1316;width:12;height:2" coordorigin="9340,1316" coordsize="12,2">
              <v:shape style="position:absolute;left:9340;top:1316;width:12;height:2" coordorigin="9340,1316" coordsize="12,0" path="m9340,1316l9352,1316e" filled="false" stroked="true" strokeweight=".6pt" strokecolor="#000008">
                <v:path arrowok="t"/>
              </v:shape>
            </v:group>
            <v:group style="position:absolute;left:9359;top:1316;width:12;height:2" coordorigin="9359,1316" coordsize="12,2">
              <v:shape style="position:absolute;left:9359;top:1316;width:12;height:2" coordorigin="9359,1316" coordsize="12,0" path="m9359,1316l9371,1316e" filled="false" stroked="true" strokeweight=".6pt" strokecolor="#000008">
                <v:path arrowok="t"/>
              </v:shape>
            </v:group>
            <v:group style="position:absolute;left:9378;top:1316;width:12;height:2" coordorigin="9378,1316" coordsize="12,2">
              <v:shape style="position:absolute;left:9378;top:1316;width:12;height:2" coordorigin="9378,1316" coordsize="12,0" path="m9378,1316l9390,1316e" filled="false" stroked="true" strokeweight=".6pt" strokecolor="#000008">
                <v:path arrowok="t"/>
              </v:shape>
            </v:group>
            <v:group style="position:absolute;left:9397;top:1316;width:12;height:2" coordorigin="9397,1316" coordsize="12,2">
              <v:shape style="position:absolute;left:9397;top:1316;width:12;height:2" coordorigin="9397,1316" coordsize="12,0" path="m9397,1316l9409,1316e" filled="false" stroked="true" strokeweight=".6pt" strokecolor="#000008">
                <v:path arrowok="t"/>
              </v:shape>
            </v:group>
            <v:group style="position:absolute;left:9416;top:1316;width:12;height:2" coordorigin="9416,1316" coordsize="12,2">
              <v:shape style="position:absolute;left:9416;top:1316;width:12;height:2" coordorigin="9416,1316" coordsize="12,0" path="m9416,1316l9428,1316e" filled="false" stroked="true" strokeweight=".6pt" strokecolor="#000008">
                <v:path arrowok="t"/>
              </v:shape>
            </v:group>
            <v:group style="position:absolute;left:9436;top:1316;width:12;height:2" coordorigin="9436,1316" coordsize="12,2">
              <v:shape style="position:absolute;left:9436;top:1316;width:12;height:2" coordorigin="9436,1316" coordsize="12,0" path="m9436,1316l9448,1316e" filled="false" stroked="true" strokeweight=".6pt" strokecolor="#000008">
                <v:path arrowok="t"/>
              </v:shape>
            </v:group>
            <v:group style="position:absolute;left:9455;top:1316;width:12;height:2" coordorigin="9455,1316" coordsize="12,2">
              <v:shape style="position:absolute;left:9455;top:1316;width:12;height:2" coordorigin="9455,1316" coordsize="12,0" path="m9455,1316l9467,1316e" filled="false" stroked="true" strokeweight=".6pt" strokecolor="#000008">
                <v:path arrowok="t"/>
              </v:shape>
            </v:group>
            <v:group style="position:absolute;left:9474;top:1316;width:12;height:2" coordorigin="9474,1316" coordsize="12,2">
              <v:shape style="position:absolute;left:9474;top:1316;width:12;height:2" coordorigin="9474,1316" coordsize="12,0" path="m9474,1316l9486,1316e" filled="false" stroked="true" strokeweight=".6pt" strokecolor="#000008">
                <v:path arrowok="t"/>
              </v:shape>
            </v:group>
            <v:group style="position:absolute;left:9493;top:1316;width:12;height:2" coordorigin="9493,1316" coordsize="12,2">
              <v:shape style="position:absolute;left:9493;top:1316;width:12;height:2" coordorigin="9493,1316" coordsize="12,0" path="m9493,1316l9505,1316e" filled="false" stroked="true" strokeweight=".6pt" strokecolor="#000008">
                <v:path arrowok="t"/>
              </v:shape>
            </v:group>
            <v:group style="position:absolute;left:9512;top:1316;width:12;height:2" coordorigin="9512,1316" coordsize="12,2">
              <v:shape style="position:absolute;left:9512;top:1316;width:12;height:2" coordorigin="9512,1316" coordsize="12,0" path="m9512,1316l9524,1316e" filled="false" stroked="true" strokeweight=".6pt" strokecolor="#000008">
                <v:path arrowok="t"/>
              </v:shape>
            </v:group>
            <v:group style="position:absolute;left:9532;top:1316;width:12;height:2" coordorigin="9532,1316" coordsize="12,2">
              <v:shape style="position:absolute;left:9532;top:1316;width:12;height:2" coordorigin="9532,1316" coordsize="12,0" path="m9532,1316l9544,1316e" filled="false" stroked="true" strokeweight=".6pt" strokecolor="#000008">
                <v:path arrowok="t"/>
              </v:shape>
            </v:group>
            <v:group style="position:absolute;left:9551;top:1316;width:12;height:2" coordorigin="9551,1316" coordsize="12,2">
              <v:shape style="position:absolute;left:9551;top:1316;width:12;height:2" coordorigin="9551,1316" coordsize="12,0" path="m9551,1316l9563,1316e" filled="false" stroked="true" strokeweight=".6pt" strokecolor="#000008">
                <v:path arrowok="t"/>
              </v:shape>
            </v:group>
            <v:group style="position:absolute;left:9570;top:1316;width:12;height:2" coordorigin="9570,1316" coordsize="12,2">
              <v:shape style="position:absolute;left:9570;top:1316;width:12;height:2" coordorigin="9570,1316" coordsize="12,0" path="m9570,1316l9582,1316e" filled="false" stroked="true" strokeweight=".6pt" strokecolor="#000008">
                <v:path arrowok="t"/>
              </v:shape>
            </v:group>
            <v:group style="position:absolute;left:9589;top:1316;width:12;height:2" coordorigin="9589,1316" coordsize="12,2">
              <v:shape style="position:absolute;left:9589;top:1316;width:12;height:2" coordorigin="9589,1316" coordsize="12,0" path="m9589,1316l9601,1316e" filled="false" stroked="true" strokeweight=".6pt" strokecolor="#000008">
                <v:path arrowok="t"/>
              </v:shape>
            </v:group>
            <v:group style="position:absolute;left:9608;top:1316;width:12;height:2" coordorigin="9608,1316" coordsize="12,2">
              <v:shape style="position:absolute;left:9608;top:1316;width:12;height:2" coordorigin="9608,1316" coordsize="12,0" path="m9608,1316l9620,1316e" filled="false" stroked="true" strokeweight=".6pt" strokecolor="#000008">
                <v:path arrowok="t"/>
              </v:shape>
            </v:group>
            <v:group style="position:absolute;left:9628;top:1316;width:12;height:2" coordorigin="9628,1316" coordsize="12,2">
              <v:shape style="position:absolute;left:9628;top:1316;width:12;height:2" coordorigin="9628,1316" coordsize="12,0" path="m9628,1316l9640,1316e" filled="false" stroked="true" strokeweight=".6pt" strokecolor="#000008">
                <v:path arrowok="t"/>
              </v:shape>
            </v:group>
            <v:group style="position:absolute;left:9647;top:1316;width:12;height:2" coordorigin="9647,1316" coordsize="12,2">
              <v:shape style="position:absolute;left:9647;top:1316;width:12;height:2" coordorigin="9647,1316" coordsize="12,0" path="m9647,1316l9659,1316e" filled="false" stroked="true" strokeweight=".6pt" strokecolor="#000008">
                <v:path arrowok="t"/>
              </v:shape>
            </v:group>
            <v:group style="position:absolute;left:9666;top:1316;width:12;height:2" coordorigin="9666,1316" coordsize="12,2">
              <v:shape style="position:absolute;left:9666;top:1316;width:12;height:2" coordorigin="9666,1316" coordsize="12,0" path="m9666,1316l9678,1316e" filled="false" stroked="true" strokeweight=".6pt" strokecolor="#000008">
                <v:path arrowok="t"/>
              </v:shape>
            </v:group>
            <v:group style="position:absolute;left:9685;top:1316;width:12;height:2" coordorigin="9685,1316" coordsize="12,2">
              <v:shape style="position:absolute;left:9685;top:1316;width:12;height:2" coordorigin="9685,1316" coordsize="12,0" path="m9685,1316l9697,1316e" filled="false" stroked="true" strokeweight=".6pt" strokecolor="#000008">
                <v:path arrowok="t"/>
              </v:shape>
            </v:group>
            <v:group style="position:absolute;left:9704;top:1316;width:12;height:2" coordorigin="9704,1316" coordsize="12,2">
              <v:shape style="position:absolute;left:9704;top:1316;width:12;height:2" coordorigin="9704,1316" coordsize="12,0" path="m9704,1316l9716,1316e" filled="false" stroked="true" strokeweight=".6pt" strokecolor="#000008">
                <v:path arrowok="t"/>
              </v:shape>
            </v:group>
            <v:group style="position:absolute;left:9724;top:1316;width:12;height:2" coordorigin="9724,1316" coordsize="12,2">
              <v:shape style="position:absolute;left:9724;top:1316;width:12;height:2" coordorigin="9724,1316" coordsize="12,0" path="m9724,1316l9736,1316e" filled="false" stroked="true" strokeweight=".6pt" strokecolor="#000008">
                <v:path arrowok="t"/>
              </v:shape>
            </v:group>
            <v:group style="position:absolute;left:9743;top:1316;width:12;height:2" coordorigin="9743,1316" coordsize="12,2">
              <v:shape style="position:absolute;left:9743;top:1316;width:12;height:2" coordorigin="9743,1316" coordsize="12,0" path="m9743,1316l9755,1316e" filled="false" stroked="true" strokeweight=".6pt" strokecolor="#000008">
                <v:path arrowok="t"/>
              </v:shape>
            </v:group>
            <v:group style="position:absolute;left:9762;top:1316;width:12;height:2" coordorigin="9762,1316" coordsize="12,2">
              <v:shape style="position:absolute;left:9762;top:1316;width:12;height:2" coordorigin="9762,1316" coordsize="12,0" path="m9762,1316l9774,1316e" filled="false" stroked="true" strokeweight=".6pt" strokecolor="#000008">
                <v:path arrowok="t"/>
              </v:shape>
            </v:group>
            <v:group style="position:absolute;left:9781;top:1316;width:12;height:2" coordorigin="9781,1316" coordsize="12,2">
              <v:shape style="position:absolute;left:9781;top:1316;width:12;height:2" coordorigin="9781,1316" coordsize="12,0" path="m9781,1316l9793,1316e" filled="false" stroked="true" strokeweight=".6pt" strokecolor="#000008">
                <v:path arrowok="t"/>
              </v:shape>
            </v:group>
            <v:group style="position:absolute;left:9800;top:1316;width:12;height:2" coordorigin="9800,1316" coordsize="12,2">
              <v:shape style="position:absolute;left:9800;top:1316;width:12;height:2" coordorigin="9800,1316" coordsize="12,0" path="m9800,1316l9812,1316e" filled="false" stroked="true" strokeweight=".6pt" strokecolor="#000008">
                <v:path arrowok="t"/>
              </v:shape>
            </v:group>
            <v:group style="position:absolute;left:9820;top:1316;width:12;height:2" coordorigin="9820,1316" coordsize="12,2">
              <v:shape style="position:absolute;left:9820;top:1316;width:12;height:2" coordorigin="9820,1316" coordsize="12,0" path="m9820,1316l9832,1316e" filled="false" stroked="true" strokeweight=".6pt" strokecolor="#000008">
                <v:path arrowok="t"/>
              </v:shape>
            </v:group>
            <v:group style="position:absolute;left:9839;top:1316;width:12;height:2" coordorigin="9839,1316" coordsize="12,2">
              <v:shape style="position:absolute;left:9839;top:1316;width:12;height:2" coordorigin="9839,1316" coordsize="12,0" path="m9839,1316l9851,1316e" filled="false" stroked="true" strokeweight=".6pt" strokecolor="#000008">
                <v:path arrowok="t"/>
              </v:shape>
            </v:group>
            <v:group style="position:absolute;left:9858;top:1316;width:12;height:2" coordorigin="9858,1316" coordsize="12,2">
              <v:shape style="position:absolute;left:9858;top:1316;width:12;height:2" coordorigin="9858,1316" coordsize="12,0" path="m9858,1316l9870,1316e" filled="false" stroked="true" strokeweight=".6pt" strokecolor="#000008">
                <v:path arrowok="t"/>
              </v:shape>
            </v:group>
            <v:group style="position:absolute;left:9877;top:1316;width:12;height:2" coordorigin="9877,1316" coordsize="12,2">
              <v:shape style="position:absolute;left:9877;top:1316;width:12;height:2" coordorigin="9877,1316" coordsize="12,0" path="m9877,1316l9889,1316e" filled="false" stroked="true" strokeweight=".6pt" strokecolor="#000008">
                <v:path arrowok="t"/>
              </v:shape>
            </v:group>
            <v:group style="position:absolute;left:9896;top:1316;width:12;height:2" coordorigin="9896,1316" coordsize="12,2">
              <v:shape style="position:absolute;left:9896;top:1316;width:12;height:2" coordorigin="9896,1316" coordsize="12,0" path="m9896,1316l9908,1316e" filled="false" stroked="true" strokeweight=".6pt" strokecolor="#000008">
                <v:path arrowok="t"/>
              </v:shape>
            </v:group>
            <v:group style="position:absolute;left:9916;top:1316;width:12;height:2" coordorigin="9916,1316" coordsize="12,2">
              <v:shape style="position:absolute;left:9916;top:1316;width:12;height:2" coordorigin="9916,1316" coordsize="12,0" path="m9916,1316l9928,1316e" filled="false" stroked="true" strokeweight=".6pt" strokecolor="#000008">
                <v:path arrowok="t"/>
              </v:shape>
            </v:group>
            <v:group style="position:absolute;left:9935;top:1316;width:12;height:2" coordorigin="9935,1316" coordsize="12,2">
              <v:shape style="position:absolute;left:9935;top:1316;width:12;height:2" coordorigin="9935,1316" coordsize="12,0" path="m9935,1316l9947,1316e" filled="false" stroked="true" strokeweight=".6pt" strokecolor="#000008">
                <v:path arrowok="t"/>
              </v:shape>
            </v:group>
            <v:group style="position:absolute;left:9954;top:1316;width:12;height:2" coordorigin="9954,1316" coordsize="12,2">
              <v:shape style="position:absolute;left:9954;top:1316;width:12;height:2" coordorigin="9954,1316" coordsize="12,0" path="m9954,1316l9966,1316e" filled="false" stroked="true" strokeweight=".6pt" strokecolor="#000008">
                <v:path arrowok="t"/>
              </v:shape>
            </v:group>
            <v:group style="position:absolute;left:9973;top:1316;width:12;height:2" coordorigin="9973,1316" coordsize="12,2">
              <v:shape style="position:absolute;left:9973;top:1316;width:12;height:2" coordorigin="9973,1316" coordsize="12,0" path="m9973,1316l9985,1316e" filled="false" stroked="true" strokeweight=".6pt" strokecolor="#000008">
                <v:path arrowok="t"/>
              </v:shape>
            </v:group>
            <v:group style="position:absolute;left:9992;top:1316;width:12;height:2" coordorigin="9992,1316" coordsize="12,2">
              <v:shape style="position:absolute;left:9992;top:1316;width:12;height:2" coordorigin="9992,1316" coordsize="12,0" path="m9992,1316l10004,1316e" filled="false" stroked="true" strokeweight=".6pt" strokecolor="#000008">
                <v:path arrowok="t"/>
              </v:shape>
            </v:group>
            <v:group style="position:absolute;left:10012;top:1316;width:12;height:2" coordorigin="10012,1316" coordsize="12,2">
              <v:shape style="position:absolute;left:10012;top:1316;width:12;height:2" coordorigin="10012,1316" coordsize="12,0" path="m10012,1316l10024,1316e" filled="false" stroked="true" strokeweight=".6pt" strokecolor="#000008">
                <v:path arrowok="t"/>
              </v:shape>
            </v:group>
            <v:group style="position:absolute;left:10031;top:1316;width:12;height:2" coordorigin="10031,1316" coordsize="12,2">
              <v:shape style="position:absolute;left:10031;top:1316;width:12;height:2" coordorigin="10031,1316" coordsize="12,0" path="m10031,1316l10043,1316e" filled="false" stroked="true" strokeweight=".6pt" strokecolor="#000008">
                <v:path arrowok="t"/>
              </v:shape>
            </v:group>
            <v:group style="position:absolute;left:10050;top:1316;width:12;height:2" coordorigin="10050,1316" coordsize="12,2">
              <v:shape style="position:absolute;left:10050;top:1316;width:12;height:2" coordorigin="10050,1316" coordsize="12,0" path="m10050,1316l10062,1316e" filled="false" stroked="true" strokeweight=".6pt" strokecolor="#000008">
                <v:path arrowok="t"/>
              </v:shape>
            </v:group>
            <v:group style="position:absolute;left:10069;top:1316;width:12;height:2" coordorigin="10069,1316" coordsize="12,2">
              <v:shape style="position:absolute;left:10069;top:1316;width:12;height:2" coordorigin="10069,1316" coordsize="12,0" path="m10069,1316l10081,1316e" filled="false" stroked="true" strokeweight=".6pt" strokecolor="#000008">
                <v:path arrowok="t"/>
              </v:shape>
            </v:group>
            <v:group style="position:absolute;left:10088;top:1316;width:12;height:2" coordorigin="10088,1316" coordsize="12,2">
              <v:shape style="position:absolute;left:10088;top:1316;width:12;height:2" coordorigin="10088,1316" coordsize="12,0" path="m10088,1316l10100,1316e" filled="false" stroked="true" strokeweight=".6pt" strokecolor="#000008">
                <v:path arrowok="t"/>
              </v:shape>
            </v:group>
            <v:group style="position:absolute;left:10108;top:1316;width:12;height:2" coordorigin="10108,1316" coordsize="12,2">
              <v:shape style="position:absolute;left:10108;top:1316;width:12;height:2" coordorigin="10108,1316" coordsize="12,0" path="m10108,1316l10120,1316e" filled="false" stroked="true" strokeweight=".6pt" strokecolor="#000008">
                <v:path arrowok="t"/>
              </v:shape>
            </v:group>
            <v:group style="position:absolute;left:10127;top:1316;width:12;height:2" coordorigin="10127,1316" coordsize="12,2">
              <v:shape style="position:absolute;left:10127;top:1316;width:12;height:2" coordorigin="10127,1316" coordsize="12,0" path="m10127,1316l10139,1316e" filled="false" stroked="true" strokeweight=".6pt" strokecolor="#000008">
                <v:path arrowok="t"/>
              </v:shape>
            </v:group>
            <v:group style="position:absolute;left:10146;top:1316;width:12;height:2" coordorigin="10146,1316" coordsize="12,2">
              <v:shape style="position:absolute;left:10146;top:1316;width:12;height:2" coordorigin="10146,1316" coordsize="12,0" path="m10146,1316l10158,1316e" filled="false" stroked="true" strokeweight=".6pt" strokecolor="#000008">
                <v:path arrowok="t"/>
              </v:shape>
            </v:group>
            <v:group style="position:absolute;left:10165;top:1316;width:12;height:2" coordorigin="10165,1316" coordsize="12,2">
              <v:shape style="position:absolute;left:10165;top:1316;width:12;height:2" coordorigin="10165,1316" coordsize="12,0" path="m10165,1316l10177,1316e" filled="false" stroked="true" strokeweight=".6pt" strokecolor="#000008">
                <v:path arrowok="t"/>
              </v:shape>
            </v:group>
            <v:group style="position:absolute;left:10184;top:1316;width:12;height:2" coordorigin="10184,1316" coordsize="12,2">
              <v:shape style="position:absolute;left:10184;top:1316;width:12;height:2" coordorigin="10184,1316" coordsize="12,0" path="m10184,1316l10196,1316e" filled="false" stroked="true" strokeweight=".6pt" strokecolor="#000008">
                <v:path arrowok="t"/>
              </v:shape>
            </v:group>
            <v:group style="position:absolute;left:10204;top:1316;width:12;height:2" coordorigin="10204,1316" coordsize="12,2">
              <v:shape style="position:absolute;left:10204;top:1316;width:12;height:2" coordorigin="10204,1316" coordsize="12,0" path="m10204,1316l10216,1316e" filled="false" stroked="true" strokeweight=".6pt" strokecolor="#000008">
                <v:path arrowok="t"/>
              </v:shape>
            </v:group>
            <v:group style="position:absolute;left:10223;top:1316;width:12;height:2" coordorigin="10223,1316" coordsize="12,2">
              <v:shape style="position:absolute;left:10223;top:1316;width:12;height:2" coordorigin="10223,1316" coordsize="12,0" path="m10223,1316l10235,1316e" filled="false" stroked="true" strokeweight=".6pt" strokecolor="#000008">
                <v:path arrowok="t"/>
              </v:shape>
            </v:group>
            <v:group style="position:absolute;left:10242;top:1316;width:12;height:2" coordorigin="10242,1316" coordsize="12,2">
              <v:shape style="position:absolute;left:10242;top:1316;width:12;height:2" coordorigin="10242,1316" coordsize="12,0" path="m10242,1316l10254,1316e" filled="false" stroked="true" strokeweight=".6pt" strokecolor="#000008">
                <v:path arrowok="t"/>
              </v:shape>
            </v:group>
            <v:group style="position:absolute;left:10261;top:1316;width:12;height:2" coordorigin="10261,1316" coordsize="12,2">
              <v:shape style="position:absolute;left:10261;top:1316;width:12;height:2" coordorigin="10261,1316" coordsize="12,0" path="m10261,1316l10273,1316e" filled="false" stroked="true" strokeweight=".6pt" strokecolor="#000008">
                <v:path arrowok="t"/>
              </v:shape>
            </v:group>
            <v:group style="position:absolute;left:10280;top:1316;width:12;height:2" coordorigin="10280,1316" coordsize="12,2">
              <v:shape style="position:absolute;left:10280;top:1316;width:12;height:2" coordorigin="10280,1316" coordsize="12,0" path="m10280,1316l10292,1316e" filled="false" stroked="true" strokeweight=".6pt" strokecolor="#000008">
                <v:path arrowok="t"/>
              </v:shape>
            </v:group>
            <v:group style="position:absolute;left:10300;top:1316;width:12;height:2" coordorigin="10300,1316" coordsize="12,2">
              <v:shape style="position:absolute;left:10300;top:1316;width:12;height:2" coordorigin="10300,1316" coordsize="12,0" path="m10300,1316l10312,1316e" filled="false" stroked="true" strokeweight=".6pt" strokecolor="#000008">
                <v:path arrowok="t"/>
              </v:shape>
            </v:group>
            <v:group style="position:absolute;left:10319;top:1316;width:12;height:2" coordorigin="10319,1316" coordsize="12,2">
              <v:shape style="position:absolute;left:10319;top:1316;width:12;height:2" coordorigin="10319,1316" coordsize="12,0" path="m10319,1316l10331,1316e" filled="false" stroked="true" strokeweight=".6pt" strokecolor="#000008">
                <v:path arrowok="t"/>
              </v:shape>
            </v:group>
            <v:group style="position:absolute;left:10338;top:1316;width:12;height:2" coordorigin="10338,1316" coordsize="12,2">
              <v:shape style="position:absolute;left:10338;top:1316;width:12;height:2" coordorigin="10338,1316" coordsize="12,0" path="m10338,1316l10350,1316e" filled="false" stroked="true" strokeweight=".6pt" strokecolor="#000008">
                <v:path arrowok="t"/>
              </v:shape>
            </v:group>
            <v:group style="position:absolute;left:10357;top:1316;width:12;height:2" coordorigin="10357,1316" coordsize="12,2">
              <v:shape style="position:absolute;left:10357;top:1316;width:12;height:2" coordorigin="10357,1316" coordsize="12,0" path="m10357,1316l10369,1316e" filled="false" stroked="true" strokeweight=".6pt" strokecolor="#000008">
                <v:path arrowok="t"/>
              </v:shape>
            </v:group>
            <v:group style="position:absolute;left:10376;top:1316;width:12;height:2" coordorigin="10376,1316" coordsize="12,2">
              <v:shape style="position:absolute;left:10376;top:1316;width:12;height:2" coordorigin="10376,1316" coordsize="12,0" path="m10376,1316l10388,1316e" filled="false" stroked="true" strokeweight=".6pt" strokecolor="#000008">
                <v:path arrowok="t"/>
              </v:shape>
            </v:group>
            <v:group style="position:absolute;left:10396;top:1316;width:12;height:2" coordorigin="10396,1316" coordsize="12,2">
              <v:shape style="position:absolute;left:10396;top:1316;width:12;height:2" coordorigin="10396,1316" coordsize="12,0" path="m10396,1316l10408,1316e" filled="false" stroked="true" strokeweight=".6pt" strokecolor="#000008">
                <v:path arrowok="t"/>
              </v:shape>
            </v:group>
            <v:group style="position:absolute;left:10415;top:1316;width:12;height:2" coordorigin="10415,1316" coordsize="12,2">
              <v:shape style="position:absolute;left:10415;top:1316;width:12;height:2" coordorigin="10415,1316" coordsize="12,0" path="m10415,1316l10427,1316e" filled="false" stroked="true" strokeweight=".6pt" strokecolor="#000008">
                <v:path arrowok="t"/>
              </v:shape>
            </v:group>
            <w10:wrap type="none"/>
          </v:group>
        </w:pict>
      </w:r>
      <w:r>
        <w:rPr>
          <w:rFonts w:ascii="宋体" w:hAnsi="宋体" w:cs="宋体" w:eastAsia="宋体" w:hint="default"/>
          <w:sz w:val="20"/>
          <w:szCs w:val="20"/>
        </w:rPr>
        <w:t>偿还债务支付的现金</w:t>
      </w:r>
      <w:r>
        <w:rPr>
          <w:rFonts w:ascii="宋体" w:hAnsi="宋体" w:cs="宋体" w:eastAsia="宋体" w:hint="default"/>
          <w:w w:val="99"/>
          <w:sz w:val="20"/>
          <w:szCs w:val="20"/>
        </w:rPr>
        <w:t> </w:t>
      </w:r>
      <w:r>
        <w:rPr>
          <w:rFonts w:ascii="宋体" w:hAnsi="宋体" w:cs="宋体" w:eastAsia="宋体" w:hint="default"/>
          <w:w w:val="95"/>
          <w:sz w:val="20"/>
          <w:szCs w:val="20"/>
        </w:rPr>
        <w:t>分配股利、利润或偿付利息支付的现金</w:t>
      </w:r>
      <w:r>
        <w:rPr>
          <w:rFonts w:ascii="宋体" w:hAnsi="宋体" w:cs="宋体" w:eastAsia="宋体" w:hint="default"/>
          <w:spacing w:val="61"/>
          <w:w w:val="95"/>
          <w:sz w:val="20"/>
          <w:szCs w:val="20"/>
        </w:rPr>
        <w:t> </w:t>
      </w:r>
      <w:r>
        <w:rPr>
          <w:rFonts w:ascii="宋体" w:hAnsi="宋体" w:cs="宋体" w:eastAsia="宋体" w:hint="default"/>
          <w:sz w:val="20"/>
          <w:szCs w:val="20"/>
        </w:rPr>
        <w:t>支付其他与筹资活动有关的现金</w:t>
      </w:r>
    </w:p>
    <w:p>
      <w:pPr>
        <w:spacing w:line="321" w:lineRule="auto" w:before="0"/>
        <w:ind w:left="991" w:right="4871" w:firstLine="3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p>
      <w:pPr>
        <w:spacing w:line="324" w:lineRule="auto" w:before="68"/>
        <w:ind w:left="137" w:right="4871" w:firstLine="0"/>
        <w:jc w:val="left"/>
        <w:rPr>
          <w:rFonts w:ascii="Microsoft JhengHei" w:hAnsi="Microsoft JhengHei" w:cs="Microsoft JhengHei" w:eastAsia="Microsoft JhengHei" w:hint="default"/>
          <w:sz w:val="20"/>
          <w:szCs w:val="20"/>
        </w:rPr>
      </w:pPr>
      <w:r>
        <w:rPr/>
        <w:pict>
          <v:group style="position:absolute;margin-left:359.399994pt;margin-top:26.001368pt;width:72.25pt;height:.6pt;mso-position-horizontal-relative:page;mso-position-vertical-relative:paragraph;z-index:3592" coordorigin="7188,520" coordsize="1445,12">
            <v:group style="position:absolute;left:7194;top:526;width:12;height:2" coordorigin="7194,526" coordsize="12,2">
              <v:shape style="position:absolute;left:7194;top:526;width:12;height:2" coordorigin="7194,526" coordsize="12,0" path="m7194,526l7206,526e" filled="false" stroked="true" strokeweight=".6pt" strokecolor="#000008">
                <v:path arrowok="t"/>
              </v:shape>
            </v:group>
            <v:group style="position:absolute;left:7213;top:526;width:12;height:2" coordorigin="7213,526" coordsize="12,2">
              <v:shape style="position:absolute;left:7213;top:526;width:12;height:2" coordorigin="7213,526" coordsize="12,0" path="m7213,526l7225,526e" filled="false" stroked="true" strokeweight=".6pt" strokecolor="#000008">
                <v:path arrowok="t"/>
              </v:shape>
            </v:group>
            <v:group style="position:absolute;left:7232;top:526;width:12;height:2" coordorigin="7232,526" coordsize="12,2">
              <v:shape style="position:absolute;left:7232;top:526;width:12;height:2" coordorigin="7232,526" coordsize="12,0" path="m7232,526l7244,526e" filled="false" stroked="true" strokeweight=".6pt" strokecolor="#000008">
                <v:path arrowok="t"/>
              </v:shape>
            </v:group>
            <v:group style="position:absolute;left:7252;top:526;width:12;height:2" coordorigin="7252,526" coordsize="12,2">
              <v:shape style="position:absolute;left:7252;top:526;width:12;height:2" coordorigin="7252,526" coordsize="12,0" path="m7252,526l7264,526e" filled="false" stroked="true" strokeweight=".6pt" strokecolor="#000008">
                <v:path arrowok="t"/>
              </v:shape>
            </v:group>
            <v:group style="position:absolute;left:7271;top:526;width:12;height:2" coordorigin="7271,526" coordsize="12,2">
              <v:shape style="position:absolute;left:7271;top:526;width:12;height:2" coordorigin="7271,526" coordsize="12,0" path="m7271,526l7283,526e" filled="false" stroked="true" strokeweight=".6pt" strokecolor="#000008">
                <v:path arrowok="t"/>
              </v:shape>
            </v:group>
            <v:group style="position:absolute;left:7290;top:526;width:12;height:2" coordorigin="7290,526" coordsize="12,2">
              <v:shape style="position:absolute;left:7290;top:526;width:12;height:2" coordorigin="7290,526" coordsize="12,0" path="m7290,526l7302,526e" filled="false" stroked="true" strokeweight=".6pt" strokecolor="#000008">
                <v:path arrowok="t"/>
              </v:shape>
            </v:group>
            <v:group style="position:absolute;left:7309;top:526;width:12;height:2" coordorigin="7309,526" coordsize="12,2">
              <v:shape style="position:absolute;left:7309;top:526;width:12;height:2" coordorigin="7309,526" coordsize="12,0" path="m7309,526l7321,526e" filled="false" stroked="true" strokeweight=".6pt" strokecolor="#000008">
                <v:path arrowok="t"/>
              </v:shape>
            </v:group>
            <v:group style="position:absolute;left:7328;top:526;width:12;height:2" coordorigin="7328,526" coordsize="12,2">
              <v:shape style="position:absolute;left:7328;top:526;width:12;height:2" coordorigin="7328,526" coordsize="12,0" path="m7328,526l7340,526e" filled="false" stroked="true" strokeweight=".6pt" strokecolor="#000008">
                <v:path arrowok="t"/>
              </v:shape>
            </v:group>
            <v:group style="position:absolute;left:7348;top:526;width:12;height:2" coordorigin="7348,526" coordsize="12,2">
              <v:shape style="position:absolute;left:7348;top:526;width:12;height:2" coordorigin="7348,526" coordsize="12,0" path="m7348,526l7360,526e" filled="false" stroked="true" strokeweight=".6pt" strokecolor="#000008">
                <v:path arrowok="t"/>
              </v:shape>
            </v:group>
            <v:group style="position:absolute;left:7367;top:526;width:12;height:2" coordorigin="7367,526" coordsize="12,2">
              <v:shape style="position:absolute;left:7367;top:526;width:12;height:2" coordorigin="7367,526" coordsize="12,0" path="m7367,526l7379,526e" filled="false" stroked="true" strokeweight=".6pt" strokecolor="#000008">
                <v:path arrowok="t"/>
              </v:shape>
            </v:group>
            <v:group style="position:absolute;left:7386;top:526;width:12;height:2" coordorigin="7386,526" coordsize="12,2">
              <v:shape style="position:absolute;left:7386;top:526;width:12;height:2" coordorigin="7386,526" coordsize="12,0" path="m7386,526l7398,526e" filled="false" stroked="true" strokeweight=".6pt" strokecolor="#000008">
                <v:path arrowok="t"/>
              </v:shape>
            </v:group>
            <v:group style="position:absolute;left:7405;top:526;width:12;height:2" coordorigin="7405,526" coordsize="12,2">
              <v:shape style="position:absolute;left:7405;top:526;width:12;height:2" coordorigin="7405,526" coordsize="12,0" path="m7405,526l7417,526e" filled="false" stroked="true" strokeweight=".6pt" strokecolor="#000008">
                <v:path arrowok="t"/>
              </v:shape>
            </v:group>
            <v:group style="position:absolute;left:7424;top:526;width:12;height:2" coordorigin="7424,526" coordsize="12,2">
              <v:shape style="position:absolute;left:7424;top:526;width:12;height:2" coordorigin="7424,526" coordsize="12,0" path="m7424,526l7436,526e" filled="false" stroked="true" strokeweight=".6pt" strokecolor="#000008">
                <v:path arrowok="t"/>
              </v:shape>
            </v:group>
            <v:group style="position:absolute;left:7444;top:526;width:12;height:2" coordorigin="7444,526" coordsize="12,2">
              <v:shape style="position:absolute;left:7444;top:526;width:12;height:2" coordorigin="7444,526" coordsize="12,0" path="m7444,526l7456,526e" filled="false" stroked="true" strokeweight=".6pt" strokecolor="#000008">
                <v:path arrowok="t"/>
              </v:shape>
            </v:group>
            <v:group style="position:absolute;left:7463;top:526;width:12;height:2" coordorigin="7463,526" coordsize="12,2">
              <v:shape style="position:absolute;left:7463;top:526;width:12;height:2" coordorigin="7463,526" coordsize="12,0" path="m7463,526l7475,526e" filled="false" stroked="true" strokeweight=".6pt" strokecolor="#000008">
                <v:path arrowok="t"/>
              </v:shape>
            </v:group>
            <v:group style="position:absolute;left:7482;top:526;width:12;height:2" coordorigin="7482,526" coordsize="12,2">
              <v:shape style="position:absolute;left:7482;top:526;width:12;height:2" coordorigin="7482,526" coordsize="12,0" path="m7482,526l7494,526e" filled="false" stroked="true" strokeweight=".6pt" strokecolor="#000008">
                <v:path arrowok="t"/>
              </v:shape>
            </v:group>
            <v:group style="position:absolute;left:7501;top:526;width:12;height:2" coordorigin="7501,526" coordsize="12,2">
              <v:shape style="position:absolute;left:7501;top:526;width:12;height:2" coordorigin="7501,526" coordsize="12,0" path="m7501,526l7513,526e" filled="false" stroked="true" strokeweight=".6pt" strokecolor="#000008">
                <v:path arrowok="t"/>
              </v:shape>
            </v:group>
            <v:group style="position:absolute;left:7520;top:526;width:12;height:2" coordorigin="7520,526" coordsize="12,2">
              <v:shape style="position:absolute;left:7520;top:526;width:12;height:2" coordorigin="7520,526" coordsize="12,0" path="m7520,526l7532,526e" filled="false" stroked="true" strokeweight=".6pt" strokecolor="#000008">
                <v:path arrowok="t"/>
              </v:shape>
            </v:group>
            <v:group style="position:absolute;left:7540;top:526;width:12;height:2" coordorigin="7540,526" coordsize="12,2">
              <v:shape style="position:absolute;left:7540;top:526;width:12;height:2" coordorigin="7540,526" coordsize="12,0" path="m7540,526l7552,526e" filled="false" stroked="true" strokeweight=".6pt" strokecolor="#000008">
                <v:path arrowok="t"/>
              </v:shape>
            </v:group>
            <v:group style="position:absolute;left:7559;top:526;width:12;height:2" coordorigin="7559,526" coordsize="12,2">
              <v:shape style="position:absolute;left:7559;top:526;width:12;height:2" coordorigin="7559,526" coordsize="12,0" path="m7559,526l7571,526e" filled="false" stroked="true" strokeweight=".6pt" strokecolor="#000008">
                <v:path arrowok="t"/>
              </v:shape>
            </v:group>
            <v:group style="position:absolute;left:7578;top:526;width:12;height:2" coordorigin="7578,526" coordsize="12,2">
              <v:shape style="position:absolute;left:7578;top:526;width:12;height:2" coordorigin="7578,526" coordsize="12,0" path="m7578,526l7590,526e" filled="false" stroked="true" strokeweight=".6pt" strokecolor="#000008">
                <v:path arrowok="t"/>
              </v:shape>
            </v:group>
            <v:group style="position:absolute;left:7597;top:526;width:12;height:2" coordorigin="7597,526" coordsize="12,2">
              <v:shape style="position:absolute;left:7597;top:526;width:12;height:2" coordorigin="7597,526" coordsize="12,0" path="m7597,526l7609,526e" filled="false" stroked="true" strokeweight=".6pt" strokecolor="#000008">
                <v:path arrowok="t"/>
              </v:shape>
            </v:group>
            <v:group style="position:absolute;left:7616;top:526;width:12;height:2" coordorigin="7616,526" coordsize="12,2">
              <v:shape style="position:absolute;left:7616;top:526;width:12;height:2" coordorigin="7616,526" coordsize="12,0" path="m7616,526l7628,526e" filled="false" stroked="true" strokeweight=".6pt" strokecolor="#000008">
                <v:path arrowok="t"/>
              </v:shape>
            </v:group>
            <v:group style="position:absolute;left:7636;top:526;width:12;height:2" coordorigin="7636,526" coordsize="12,2">
              <v:shape style="position:absolute;left:7636;top:526;width:12;height:2" coordorigin="7636,526" coordsize="12,0" path="m7636,526l7648,526e" filled="false" stroked="true" strokeweight=".6pt" strokecolor="#000008">
                <v:path arrowok="t"/>
              </v:shape>
            </v:group>
            <v:group style="position:absolute;left:7655;top:526;width:12;height:2" coordorigin="7655,526" coordsize="12,2">
              <v:shape style="position:absolute;left:7655;top:526;width:12;height:2" coordorigin="7655,526" coordsize="12,0" path="m7655,526l7667,526e" filled="false" stroked="true" strokeweight=".6pt" strokecolor="#000008">
                <v:path arrowok="t"/>
              </v:shape>
            </v:group>
            <v:group style="position:absolute;left:7674;top:526;width:12;height:2" coordorigin="7674,526" coordsize="12,2">
              <v:shape style="position:absolute;left:7674;top:526;width:12;height:2" coordorigin="7674,526" coordsize="12,0" path="m7674,526l7686,526e" filled="false" stroked="true" strokeweight=".6pt" strokecolor="#000008">
                <v:path arrowok="t"/>
              </v:shape>
            </v:group>
            <v:group style="position:absolute;left:7693;top:526;width:12;height:2" coordorigin="7693,526" coordsize="12,2">
              <v:shape style="position:absolute;left:7693;top:526;width:12;height:2" coordorigin="7693,526" coordsize="12,0" path="m7693,526l7705,526e" filled="false" stroked="true" strokeweight=".6pt" strokecolor="#000008">
                <v:path arrowok="t"/>
              </v:shape>
            </v:group>
            <v:group style="position:absolute;left:7712;top:526;width:12;height:2" coordorigin="7712,526" coordsize="12,2">
              <v:shape style="position:absolute;left:7712;top:526;width:12;height:2" coordorigin="7712,526" coordsize="12,0" path="m7712,526l7724,526e" filled="false" stroked="true" strokeweight=".6pt" strokecolor="#000008">
                <v:path arrowok="t"/>
              </v:shape>
            </v:group>
            <v:group style="position:absolute;left:7732;top:526;width:12;height:2" coordorigin="7732,526" coordsize="12,2">
              <v:shape style="position:absolute;left:7732;top:526;width:12;height:2" coordorigin="7732,526" coordsize="12,0" path="m7732,526l7744,526e" filled="false" stroked="true" strokeweight=".6pt" strokecolor="#000008">
                <v:path arrowok="t"/>
              </v:shape>
            </v:group>
            <v:group style="position:absolute;left:7751;top:526;width:12;height:2" coordorigin="7751,526" coordsize="12,2">
              <v:shape style="position:absolute;left:7751;top:526;width:12;height:2" coordorigin="7751,526" coordsize="12,0" path="m7751,526l7763,526e" filled="false" stroked="true" strokeweight=".6pt" strokecolor="#000008">
                <v:path arrowok="t"/>
              </v:shape>
            </v:group>
            <v:group style="position:absolute;left:7770;top:526;width:12;height:2" coordorigin="7770,526" coordsize="12,2">
              <v:shape style="position:absolute;left:7770;top:526;width:12;height:2" coordorigin="7770,526" coordsize="12,0" path="m7770,526l7782,526e" filled="false" stroked="true" strokeweight=".6pt" strokecolor="#000008">
                <v:path arrowok="t"/>
              </v:shape>
            </v:group>
            <v:group style="position:absolute;left:7789;top:526;width:12;height:2" coordorigin="7789,526" coordsize="12,2">
              <v:shape style="position:absolute;left:7789;top:526;width:12;height:2" coordorigin="7789,526" coordsize="12,0" path="m7789,526l7801,526e" filled="false" stroked="true" strokeweight=".6pt" strokecolor="#000008">
                <v:path arrowok="t"/>
              </v:shape>
            </v:group>
            <v:group style="position:absolute;left:7808;top:526;width:12;height:2" coordorigin="7808,526" coordsize="12,2">
              <v:shape style="position:absolute;left:7808;top:526;width:12;height:2" coordorigin="7808,526" coordsize="12,0" path="m7808,526l7820,526e" filled="false" stroked="true" strokeweight=".6pt" strokecolor="#000008">
                <v:path arrowok="t"/>
              </v:shape>
            </v:group>
            <v:group style="position:absolute;left:7828;top:526;width:12;height:2" coordorigin="7828,526" coordsize="12,2">
              <v:shape style="position:absolute;left:7828;top:526;width:12;height:2" coordorigin="7828,526" coordsize="12,0" path="m7828,526l7840,526e" filled="false" stroked="true" strokeweight=".6pt" strokecolor="#000008">
                <v:path arrowok="t"/>
              </v:shape>
            </v:group>
            <v:group style="position:absolute;left:7847;top:526;width:12;height:2" coordorigin="7847,526" coordsize="12,2">
              <v:shape style="position:absolute;left:7847;top:526;width:12;height:2" coordorigin="7847,526" coordsize="12,0" path="m7847,526l7859,526e" filled="false" stroked="true" strokeweight=".6pt" strokecolor="#000008">
                <v:path arrowok="t"/>
              </v:shape>
            </v:group>
            <v:group style="position:absolute;left:7866;top:526;width:12;height:2" coordorigin="7866,526" coordsize="12,2">
              <v:shape style="position:absolute;left:7866;top:526;width:12;height:2" coordorigin="7866,526" coordsize="12,0" path="m7866,526l7878,526e" filled="false" stroked="true" strokeweight=".6pt" strokecolor="#000008">
                <v:path arrowok="t"/>
              </v:shape>
            </v:group>
            <v:group style="position:absolute;left:7885;top:526;width:12;height:2" coordorigin="7885,526" coordsize="12,2">
              <v:shape style="position:absolute;left:7885;top:526;width:12;height:2" coordorigin="7885,526" coordsize="12,0" path="m7885,526l7897,526e" filled="false" stroked="true" strokeweight=".6pt" strokecolor="#000008">
                <v:path arrowok="t"/>
              </v:shape>
            </v:group>
            <v:group style="position:absolute;left:7904;top:526;width:12;height:2" coordorigin="7904,526" coordsize="12,2">
              <v:shape style="position:absolute;left:7904;top:526;width:12;height:2" coordorigin="7904,526" coordsize="12,0" path="m7904,526l7916,526e" filled="false" stroked="true" strokeweight=".6pt" strokecolor="#000008">
                <v:path arrowok="t"/>
              </v:shape>
            </v:group>
            <v:group style="position:absolute;left:7924;top:526;width:12;height:2" coordorigin="7924,526" coordsize="12,2">
              <v:shape style="position:absolute;left:7924;top:526;width:12;height:2" coordorigin="7924,526" coordsize="12,0" path="m7924,526l7936,526e" filled="false" stroked="true" strokeweight=".6pt" strokecolor="#000008">
                <v:path arrowok="t"/>
              </v:shape>
            </v:group>
            <v:group style="position:absolute;left:7943;top:526;width:12;height:2" coordorigin="7943,526" coordsize="12,2">
              <v:shape style="position:absolute;left:7943;top:526;width:12;height:2" coordorigin="7943,526" coordsize="12,0" path="m7943,526l7955,526e" filled="false" stroked="true" strokeweight=".6pt" strokecolor="#000008">
                <v:path arrowok="t"/>
              </v:shape>
            </v:group>
            <v:group style="position:absolute;left:7962;top:526;width:12;height:2" coordorigin="7962,526" coordsize="12,2">
              <v:shape style="position:absolute;left:7962;top:526;width:12;height:2" coordorigin="7962,526" coordsize="12,0" path="m7962,526l7974,526e" filled="false" stroked="true" strokeweight=".6pt" strokecolor="#000008">
                <v:path arrowok="t"/>
              </v:shape>
            </v:group>
            <v:group style="position:absolute;left:7981;top:526;width:12;height:2" coordorigin="7981,526" coordsize="12,2">
              <v:shape style="position:absolute;left:7981;top:526;width:12;height:2" coordorigin="7981,526" coordsize="12,0" path="m7981,526l7993,526e" filled="false" stroked="true" strokeweight=".6pt" strokecolor="#000008">
                <v:path arrowok="t"/>
              </v:shape>
            </v:group>
            <v:group style="position:absolute;left:8000;top:526;width:12;height:2" coordorigin="8000,526" coordsize="12,2">
              <v:shape style="position:absolute;left:8000;top:526;width:12;height:2" coordorigin="8000,526" coordsize="12,0" path="m8000,526l8012,526e" filled="false" stroked="true" strokeweight=".6pt" strokecolor="#000008">
                <v:path arrowok="t"/>
              </v:shape>
            </v:group>
            <v:group style="position:absolute;left:8020;top:526;width:12;height:2" coordorigin="8020,526" coordsize="12,2">
              <v:shape style="position:absolute;left:8020;top:526;width:12;height:2" coordorigin="8020,526" coordsize="12,0" path="m8020,526l8032,526e" filled="false" stroked="true" strokeweight=".6pt" strokecolor="#000008">
                <v:path arrowok="t"/>
              </v:shape>
            </v:group>
            <v:group style="position:absolute;left:8039;top:526;width:12;height:2" coordorigin="8039,526" coordsize="12,2">
              <v:shape style="position:absolute;left:8039;top:526;width:12;height:2" coordorigin="8039,526" coordsize="12,0" path="m8039,526l8051,526e" filled="false" stroked="true" strokeweight=".6pt" strokecolor="#000008">
                <v:path arrowok="t"/>
              </v:shape>
            </v:group>
            <v:group style="position:absolute;left:8058;top:526;width:12;height:2" coordorigin="8058,526" coordsize="12,2">
              <v:shape style="position:absolute;left:8058;top:526;width:12;height:2" coordorigin="8058,526" coordsize="12,0" path="m8058,526l8070,526e" filled="false" stroked="true" strokeweight=".6pt" strokecolor="#000008">
                <v:path arrowok="t"/>
              </v:shape>
            </v:group>
            <v:group style="position:absolute;left:8077;top:526;width:12;height:2" coordorigin="8077,526" coordsize="12,2">
              <v:shape style="position:absolute;left:8077;top:526;width:12;height:2" coordorigin="8077,526" coordsize="12,0" path="m8077,526l8089,526e" filled="false" stroked="true" strokeweight=".6pt" strokecolor="#000008">
                <v:path arrowok="t"/>
              </v:shape>
            </v:group>
            <v:group style="position:absolute;left:8096;top:526;width:12;height:2" coordorigin="8096,526" coordsize="12,2">
              <v:shape style="position:absolute;left:8096;top:526;width:12;height:2" coordorigin="8096,526" coordsize="12,0" path="m8096,526l8108,526e" filled="false" stroked="true" strokeweight=".6pt" strokecolor="#000008">
                <v:path arrowok="t"/>
              </v:shape>
            </v:group>
            <v:group style="position:absolute;left:8116;top:526;width:12;height:2" coordorigin="8116,526" coordsize="12,2">
              <v:shape style="position:absolute;left:8116;top:526;width:12;height:2" coordorigin="8116,526" coordsize="12,0" path="m8116,526l8128,526e" filled="false" stroked="true" strokeweight=".6pt" strokecolor="#000008">
                <v:path arrowok="t"/>
              </v:shape>
            </v:group>
            <v:group style="position:absolute;left:8135;top:526;width:12;height:2" coordorigin="8135,526" coordsize="12,2">
              <v:shape style="position:absolute;left:8135;top:526;width:12;height:2" coordorigin="8135,526" coordsize="12,0" path="m8135,526l8147,526e" filled="false" stroked="true" strokeweight=".6pt" strokecolor="#000008">
                <v:path arrowok="t"/>
              </v:shape>
            </v:group>
            <v:group style="position:absolute;left:8154;top:526;width:12;height:2" coordorigin="8154,526" coordsize="12,2">
              <v:shape style="position:absolute;left:8154;top:526;width:12;height:2" coordorigin="8154,526" coordsize="12,0" path="m8154,526l8166,526e" filled="false" stroked="true" strokeweight=".6pt" strokecolor="#000008">
                <v:path arrowok="t"/>
              </v:shape>
            </v:group>
            <v:group style="position:absolute;left:8173;top:526;width:12;height:2" coordorigin="8173,526" coordsize="12,2">
              <v:shape style="position:absolute;left:8173;top:526;width:12;height:2" coordorigin="8173,526" coordsize="12,0" path="m8173,526l8185,526e" filled="false" stroked="true" strokeweight=".6pt" strokecolor="#000008">
                <v:path arrowok="t"/>
              </v:shape>
            </v:group>
            <v:group style="position:absolute;left:8192;top:526;width:12;height:2" coordorigin="8192,526" coordsize="12,2">
              <v:shape style="position:absolute;left:8192;top:526;width:12;height:2" coordorigin="8192,526" coordsize="12,0" path="m8192,526l8204,526e" filled="false" stroked="true" strokeweight=".6pt" strokecolor="#000008">
                <v:path arrowok="t"/>
              </v:shape>
            </v:group>
            <v:group style="position:absolute;left:8212;top:526;width:12;height:2" coordorigin="8212,526" coordsize="12,2">
              <v:shape style="position:absolute;left:8212;top:526;width:12;height:2" coordorigin="8212,526" coordsize="12,0" path="m8212,526l8224,526e" filled="false" stroked="true" strokeweight=".6pt" strokecolor="#000008">
                <v:path arrowok="t"/>
              </v:shape>
            </v:group>
            <v:group style="position:absolute;left:8231;top:526;width:12;height:2" coordorigin="8231,526" coordsize="12,2">
              <v:shape style="position:absolute;left:8231;top:526;width:12;height:2" coordorigin="8231,526" coordsize="12,0" path="m8231,526l8243,526e" filled="false" stroked="true" strokeweight=".6pt" strokecolor="#000008">
                <v:path arrowok="t"/>
              </v:shape>
            </v:group>
            <v:group style="position:absolute;left:8250;top:526;width:12;height:2" coordorigin="8250,526" coordsize="12,2">
              <v:shape style="position:absolute;left:8250;top:526;width:12;height:2" coordorigin="8250,526" coordsize="12,0" path="m8250,526l8262,526e" filled="false" stroked="true" strokeweight=".6pt" strokecolor="#000008">
                <v:path arrowok="t"/>
              </v:shape>
            </v:group>
            <v:group style="position:absolute;left:8269;top:526;width:12;height:2" coordorigin="8269,526" coordsize="12,2">
              <v:shape style="position:absolute;left:8269;top:526;width:12;height:2" coordorigin="8269,526" coordsize="12,0" path="m8269,526l8281,526e" filled="false" stroked="true" strokeweight=".6pt" strokecolor="#000008">
                <v:path arrowok="t"/>
              </v:shape>
            </v:group>
            <v:group style="position:absolute;left:8288;top:526;width:12;height:2" coordorigin="8288,526" coordsize="12,2">
              <v:shape style="position:absolute;left:8288;top:526;width:12;height:2" coordorigin="8288,526" coordsize="12,0" path="m8288,526l8300,526e" filled="false" stroked="true" strokeweight=".6pt" strokecolor="#000008">
                <v:path arrowok="t"/>
              </v:shape>
            </v:group>
            <v:group style="position:absolute;left:8308;top:526;width:12;height:2" coordorigin="8308,526" coordsize="12,2">
              <v:shape style="position:absolute;left:8308;top:526;width:12;height:2" coordorigin="8308,526" coordsize="12,0" path="m8308,526l8320,526e" filled="false" stroked="true" strokeweight=".6pt" strokecolor="#000008">
                <v:path arrowok="t"/>
              </v:shape>
            </v:group>
            <v:group style="position:absolute;left:8327;top:526;width:12;height:2" coordorigin="8327,526" coordsize="12,2">
              <v:shape style="position:absolute;left:8327;top:526;width:12;height:2" coordorigin="8327,526" coordsize="12,0" path="m8327,526l8339,526e" filled="false" stroked="true" strokeweight=".6pt" strokecolor="#000008">
                <v:path arrowok="t"/>
              </v:shape>
            </v:group>
            <v:group style="position:absolute;left:8346;top:526;width:12;height:2" coordorigin="8346,526" coordsize="12,2">
              <v:shape style="position:absolute;left:8346;top:526;width:12;height:2" coordorigin="8346,526" coordsize="12,0" path="m8346,526l8358,526e" filled="false" stroked="true" strokeweight=".6pt" strokecolor="#000008">
                <v:path arrowok="t"/>
              </v:shape>
            </v:group>
            <v:group style="position:absolute;left:8365;top:526;width:12;height:2" coordorigin="8365,526" coordsize="12,2">
              <v:shape style="position:absolute;left:8365;top:526;width:12;height:2" coordorigin="8365,526" coordsize="12,0" path="m8365,526l8377,526e" filled="false" stroked="true" strokeweight=".6pt" strokecolor="#000008">
                <v:path arrowok="t"/>
              </v:shape>
            </v:group>
            <v:group style="position:absolute;left:8384;top:526;width:12;height:2" coordorigin="8384,526" coordsize="12,2">
              <v:shape style="position:absolute;left:8384;top:526;width:12;height:2" coordorigin="8384,526" coordsize="12,0" path="m8384,526l8396,526e" filled="false" stroked="true" strokeweight=".6pt" strokecolor="#000008">
                <v:path arrowok="t"/>
              </v:shape>
            </v:group>
            <v:group style="position:absolute;left:8404;top:526;width:12;height:2" coordorigin="8404,526" coordsize="12,2">
              <v:shape style="position:absolute;left:8404;top:526;width:12;height:2" coordorigin="8404,526" coordsize="12,0" path="m8404,526l8416,526e" filled="false" stroked="true" strokeweight=".6pt" strokecolor="#000008">
                <v:path arrowok="t"/>
              </v:shape>
            </v:group>
            <v:group style="position:absolute;left:8423;top:526;width:12;height:2" coordorigin="8423,526" coordsize="12,2">
              <v:shape style="position:absolute;left:8423;top:526;width:12;height:2" coordorigin="8423,526" coordsize="12,0" path="m8423,526l8435,526e" filled="false" stroked="true" strokeweight=".6pt" strokecolor="#000008">
                <v:path arrowok="t"/>
              </v:shape>
            </v:group>
            <v:group style="position:absolute;left:8442;top:526;width:12;height:2" coordorigin="8442,526" coordsize="12,2">
              <v:shape style="position:absolute;left:8442;top:526;width:12;height:2" coordorigin="8442,526" coordsize="12,0" path="m8442,526l8454,526e" filled="false" stroked="true" strokeweight=".6pt" strokecolor="#000008">
                <v:path arrowok="t"/>
              </v:shape>
            </v:group>
            <v:group style="position:absolute;left:8461;top:526;width:12;height:2" coordorigin="8461,526" coordsize="12,2">
              <v:shape style="position:absolute;left:8461;top:526;width:12;height:2" coordorigin="8461,526" coordsize="12,0" path="m8461,526l8473,526e" filled="false" stroked="true" strokeweight=".6pt" strokecolor="#000008">
                <v:path arrowok="t"/>
              </v:shape>
            </v:group>
            <v:group style="position:absolute;left:8480;top:526;width:12;height:2" coordorigin="8480,526" coordsize="12,2">
              <v:shape style="position:absolute;left:8480;top:526;width:12;height:2" coordorigin="8480,526" coordsize="12,0" path="m8480,526l8492,526e" filled="false" stroked="true" strokeweight=".6pt" strokecolor="#000008">
                <v:path arrowok="t"/>
              </v:shape>
            </v:group>
            <v:group style="position:absolute;left:8500;top:526;width:12;height:2" coordorigin="8500,526" coordsize="12,2">
              <v:shape style="position:absolute;left:8500;top:526;width:12;height:2" coordorigin="8500,526" coordsize="12,0" path="m8500,526l8512,526e" filled="false" stroked="true" strokeweight=".6pt" strokecolor="#000008">
                <v:path arrowok="t"/>
              </v:shape>
            </v:group>
            <v:group style="position:absolute;left:8519;top:526;width:12;height:2" coordorigin="8519,526" coordsize="12,2">
              <v:shape style="position:absolute;left:8519;top:526;width:12;height:2" coordorigin="8519,526" coordsize="12,0" path="m8519,526l8531,526e" filled="false" stroked="true" strokeweight=".6pt" strokecolor="#000008">
                <v:path arrowok="t"/>
              </v:shape>
            </v:group>
            <v:group style="position:absolute;left:8538;top:526;width:12;height:2" coordorigin="8538,526" coordsize="12,2">
              <v:shape style="position:absolute;left:8538;top:526;width:12;height:2" coordorigin="8538,526" coordsize="12,0" path="m8538,526l8550,526e" filled="false" stroked="true" strokeweight=".6pt" strokecolor="#000008">
                <v:path arrowok="t"/>
              </v:shape>
            </v:group>
            <v:group style="position:absolute;left:8557;top:526;width:12;height:2" coordorigin="8557,526" coordsize="12,2">
              <v:shape style="position:absolute;left:8557;top:526;width:12;height:2" coordorigin="8557,526" coordsize="12,0" path="m8557,526l8569,526e" filled="false" stroked="true" strokeweight=".6pt" strokecolor="#000008">
                <v:path arrowok="t"/>
              </v:shape>
            </v:group>
            <v:group style="position:absolute;left:8576;top:526;width:12;height:2" coordorigin="8576,526" coordsize="12,2">
              <v:shape style="position:absolute;left:8576;top:526;width:12;height:2" coordorigin="8576,526" coordsize="12,0" path="m8576,526l8588,526e" filled="false" stroked="true" strokeweight=".6pt" strokecolor="#000008">
                <v:path arrowok="t"/>
              </v:shape>
            </v:group>
            <v:group style="position:absolute;left:8596;top:526;width:12;height:2" coordorigin="8596,526" coordsize="12,2">
              <v:shape style="position:absolute;left:8596;top:526;width:12;height:2" coordorigin="8596,526" coordsize="12,0" path="m8596,526l8608,526e" filled="false" stroked="true" strokeweight=".6pt" strokecolor="#000008">
                <v:path arrowok="t"/>
              </v:shape>
            </v:group>
            <v:group style="position:absolute;left:8615;top:526;width:12;height:2" coordorigin="8615,526" coordsize="12,2">
              <v:shape style="position:absolute;left:8615;top:526;width:12;height:2" coordorigin="8615,526" coordsize="12,0" path="m8615,526l8627,526e" filled="false" stroked="true" strokeweight=".6pt" strokecolor="#000008">
                <v:path arrowok="t"/>
              </v:shape>
            </v:group>
            <w10:wrap type="none"/>
          </v:group>
        </w:pict>
      </w:r>
      <w:r>
        <w:rPr/>
        <w:pict>
          <v:group style="position:absolute;margin-left:449.399994pt;margin-top:26.121367pt;width:72.25pt;height:.6pt;mso-position-horizontal-relative:page;mso-position-vertical-relative:paragraph;z-index:3616" coordorigin="8988,522" coordsize="1445,12">
            <v:group style="position:absolute;left:8994;top:528;width:12;height:2" coordorigin="8994,528" coordsize="12,2">
              <v:shape style="position:absolute;left:8994;top:528;width:12;height:2" coordorigin="8994,528" coordsize="12,0" path="m8994,528l9006,528e" filled="false" stroked="true" strokeweight=".6pt" strokecolor="#000008">
                <v:path arrowok="t"/>
              </v:shape>
            </v:group>
            <v:group style="position:absolute;left:9013;top:528;width:12;height:2" coordorigin="9013,528" coordsize="12,2">
              <v:shape style="position:absolute;left:9013;top:528;width:12;height:2" coordorigin="9013,528" coordsize="12,0" path="m9013,528l9025,528e" filled="false" stroked="true" strokeweight=".6pt" strokecolor="#000008">
                <v:path arrowok="t"/>
              </v:shape>
            </v:group>
            <v:group style="position:absolute;left:9032;top:528;width:12;height:2" coordorigin="9032,528" coordsize="12,2">
              <v:shape style="position:absolute;left:9032;top:528;width:12;height:2" coordorigin="9032,528" coordsize="12,0" path="m9032,528l9044,528e" filled="false" stroked="true" strokeweight=".6pt" strokecolor="#000008">
                <v:path arrowok="t"/>
              </v:shape>
            </v:group>
            <v:group style="position:absolute;left:9052;top:528;width:12;height:2" coordorigin="9052,528" coordsize="12,2">
              <v:shape style="position:absolute;left:9052;top:528;width:12;height:2" coordorigin="9052,528" coordsize="12,0" path="m9052,528l9064,528e" filled="false" stroked="true" strokeweight=".6pt" strokecolor="#000008">
                <v:path arrowok="t"/>
              </v:shape>
            </v:group>
            <v:group style="position:absolute;left:9071;top:528;width:12;height:2" coordorigin="9071,528" coordsize="12,2">
              <v:shape style="position:absolute;left:9071;top:528;width:12;height:2" coordorigin="9071,528" coordsize="12,0" path="m9071,528l9083,528e" filled="false" stroked="true" strokeweight=".6pt" strokecolor="#000008">
                <v:path arrowok="t"/>
              </v:shape>
            </v:group>
            <v:group style="position:absolute;left:9090;top:528;width:12;height:2" coordorigin="9090,528" coordsize="12,2">
              <v:shape style="position:absolute;left:9090;top:528;width:12;height:2" coordorigin="9090,528" coordsize="12,0" path="m9090,528l9102,528e" filled="false" stroked="true" strokeweight=".6pt" strokecolor="#000008">
                <v:path arrowok="t"/>
              </v:shape>
            </v:group>
            <v:group style="position:absolute;left:9109;top:528;width:12;height:2" coordorigin="9109,528" coordsize="12,2">
              <v:shape style="position:absolute;left:9109;top:528;width:12;height:2" coordorigin="9109,528" coordsize="12,0" path="m9109,528l9121,528e" filled="false" stroked="true" strokeweight=".6pt" strokecolor="#000008">
                <v:path arrowok="t"/>
              </v:shape>
            </v:group>
            <v:group style="position:absolute;left:9128;top:528;width:12;height:2" coordorigin="9128,528" coordsize="12,2">
              <v:shape style="position:absolute;left:9128;top:528;width:12;height:2" coordorigin="9128,528" coordsize="12,0" path="m9128,528l9140,528e" filled="false" stroked="true" strokeweight=".6pt" strokecolor="#000008">
                <v:path arrowok="t"/>
              </v:shape>
            </v:group>
            <v:group style="position:absolute;left:9148;top:528;width:12;height:2" coordorigin="9148,528" coordsize="12,2">
              <v:shape style="position:absolute;left:9148;top:528;width:12;height:2" coordorigin="9148,528" coordsize="12,0" path="m9148,528l9160,528e" filled="false" stroked="true" strokeweight=".6pt" strokecolor="#000008">
                <v:path arrowok="t"/>
              </v:shape>
            </v:group>
            <v:group style="position:absolute;left:9167;top:528;width:12;height:2" coordorigin="9167,528" coordsize="12,2">
              <v:shape style="position:absolute;left:9167;top:528;width:12;height:2" coordorigin="9167,528" coordsize="12,0" path="m9167,528l9179,528e" filled="false" stroked="true" strokeweight=".6pt" strokecolor="#000008">
                <v:path arrowok="t"/>
              </v:shape>
            </v:group>
            <v:group style="position:absolute;left:9186;top:528;width:12;height:2" coordorigin="9186,528" coordsize="12,2">
              <v:shape style="position:absolute;left:9186;top:528;width:12;height:2" coordorigin="9186,528" coordsize="12,0" path="m9186,528l9198,528e" filled="false" stroked="true" strokeweight=".6pt" strokecolor="#000008">
                <v:path arrowok="t"/>
              </v:shape>
            </v:group>
            <v:group style="position:absolute;left:9205;top:528;width:12;height:2" coordorigin="9205,528" coordsize="12,2">
              <v:shape style="position:absolute;left:9205;top:528;width:12;height:2" coordorigin="9205,528" coordsize="12,0" path="m9205,528l9217,528e" filled="false" stroked="true" strokeweight=".6pt" strokecolor="#000008">
                <v:path arrowok="t"/>
              </v:shape>
            </v:group>
            <v:group style="position:absolute;left:9224;top:528;width:12;height:2" coordorigin="9224,528" coordsize="12,2">
              <v:shape style="position:absolute;left:9224;top:528;width:12;height:2" coordorigin="9224,528" coordsize="12,0" path="m9224,528l9236,528e" filled="false" stroked="true" strokeweight=".6pt" strokecolor="#000008">
                <v:path arrowok="t"/>
              </v:shape>
            </v:group>
            <v:group style="position:absolute;left:9244;top:528;width:12;height:2" coordorigin="9244,528" coordsize="12,2">
              <v:shape style="position:absolute;left:9244;top:528;width:12;height:2" coordorigin="9244,528" coordsize="12,0" path="m9244,528l9256,528e" filled="false" stroked="true" strokeweight=".6pt" strokecolor="#000008">
                <v:path arrowok="t"/>
              </v:shape>
            </v:group>
            <v:group style="position:absolute;left:9263;top:528;width:12;height:2" coordorigin="9263,528" coordsize="12,2">
              <v:shape style="position:absolute;left:9263;top:528;width:12;height:2" coordorigin="9263,528" coordsize="12,0" path="m9263,528l9275,528e" filled="false" stroked="true" strokeweight=".6pt" strokecolor="#000008">
                <v:path arrowok="t"/>
              </v:shape>
            </v:group>
            <v:group style="position:absolute;left:9282;top:528;width:12;height:2" coordorigin="9282,528" coordsize="12,2">
              <v:shape style="position:absolute;left:9282;top:528;width:12;height:2" coordorigin="9282,528" coordsize="12,0" path="m9282,528l9294,528e" filled="false" stroked="true" strokeweight=".6pt" strokecolor="#000008">
                <v:path arrowok="t"/>
              </v:shape>
            </v:group>
            <v:group style="position:absolute;left:9301;top:528;width:12;height:2" coordorigin="9301,528" coordsize="12,2">
              <v:shape style="position:absolute;left:9301;top:528;width:12;height:2" coordorigin="9301,528" coordsize="12,0" path="m9301,528l9313,528e" filled="false" stroked="true" strokeweight=".6pt" strokecolor="#000008">
                <v:path arrowok="t"/>
              </v:shape>
            </v:group>
            <v:group style="position:absolute;left:9320;top:528;width:12;height:2" coordorigin="9320,528" coordsize="12,2">
              <v:shape style="position:absolute;left:9320;top:528;width:12;height:2" coordorigin="9320,528" coordsize="12,0" path="m9320,528l9332,528e" filled="false" stroked="true" strokeweight=".6pt" strokecolor="#000008">
                <v:path arrowok="t"/>
              </v:shape>
            </v:group>
            <v:group style="position:absolute;left:9340;top:528;width:12;height:2" coordorigin="9340,528" coordsize="12,2">
              <v:shape style="position:absolute;left:9340;top:528;width:12;height:2" coordorigin="9340,528" coordsize="12,0" path="m9340,528l9352,528e" filled="false" stroked="true" strokeweight=".6pt" strokecolor="#000008">
                <v:path arrowok="t"/>
              </v:shape>
            </v:group>
            <v:group style="position:absolute;left:9359;top:528;width:12;height:2" coordorigin="9359,528" coordsize="12,2">
              <v:shape style="position:absolute;left:9359;top:528;width:12;height:2" coordorigin="9359,528" coordsize="12,0" path="m9359,528l9371,528e" filled="false" stroked="true" strokeweight=".6pt" strokecolor="#000008">
                <v:path arrowok="t"/>
              </v:shape>
            </v:group>
            <v:group style="position:absolute;left:9378;top:528;width:12;height:2" coordorigin="9378,528" coordsize="12,2">
              <v:shape style="position:absolute;left:9378;top:528;width:12;height:2" coordorigin="9378,528" coordsize="12,0" path="m9378,528l9390,528e" filled="false" stroked="true" strokeweight=".6pt" strokecolor="#000008">
                <v:path arrowok="t"/>
              </v:shape>
            </v:group>
            <v:group style="position:absolute;left:9397;top:528;width:12;height:2" coordorigin="9397,528" coordsize="12,2">
              <v:shape style="position:absolute;left:9397;top:528;width:12;height:2" coordorigin="9397,528" coordsize="12,0" path="m9397,528l9409,528e" filled="false" stroked="true" strokeweight=".6pt" strokecolor="#000008">
                <v:path arrowok="t"/>
              </v:shape>
            </v:group>
            <v:group style="position:absolute;left:9416;top:528;width:12;height:2" coordorigin="9416,528" coordsize="12,2">
              <v:shape style="position:absolute;left:9416;top:528;width:12;height:2" coordorigin="9416,528" coordsize="12,0" path="m9416,528l9428,528e" filled="false" stroked="true" strokeweight=".6pt" strokecolor="#000008">
                <v:path arrowok="t"/>
              </v:shape>
            </v:group>
            <v:group style="position:absolute;left:9436;top:528;width:12;height:2" coordorigin="9436,528" coordsize="12,2">
              <v:shape style="position:absolute;left:9436;top:528;width:12;height:2" coordorigin="9436,528" coordsize="12,0" path="m9436,528l9448,528e" filled="false" stroked="true" strokeweight=".6pt" strokecolor="#000008">
                <v:path arrowok="t"/>
              </v:shape>
            </v:group>
            <v:group style="position:absolute;left:9455;top:528;width:12;height:2" coordorigin="9455,528" coordsize="12,2">
              <v:shape style="position:absolute;left:9455;top:528;width:12;height:2" coordorigin="9455,528" coordsize="12,0" path="m9455,528l9467,528e" filled="false" stroked="true" strokeweight=".6pt" strokecolor="#000008">
                <v:path arrowok="t"/>
              </v:shape>
            </v:group>
            <v:group style="position:absolute;left:9474;top:528;width:12;height:2" coordorigin="9474,528" coordsize="12,2">
              <v:shape style="position:absolute;left:9474;top:528;width:12;height:2" coordorigin="9474,528" coordsize="12,0" path="m9474,528l9486,528e" filled="false" stroked="true" strokeweight=".6pt" strokecolor="#000008">
                <v:path arrowok="t"/>
              </v:shape>
            </v:group>
            <v:group style="position:absolute;left:9493;top:528;width:12;height:2" coordorigin="9493,528" coordsize="12,2">
              <v:shape style="position:absolute;left:9493;top:528;width:12;height:2" coordorigin="9493,528" coordsize="12,0" path="m9493,528l9505,528e" filled="false" stroked="true" strokeweight=".6pt" strokecolor="#000008">
                <v:path arrowok="t"/>
              </v:shape>
            </v:group>
            <v:group style="position:absolute;left:9512;top:528;width:12;height:2" coordorigin="9512,528" coordsize="12,2">
              <v:shape style="position:absolute;left:9512;top:528;width:12;height:2" coordorigin="9512,528" coordsize="12,0" path="m9512,528l9524,528e" filled="false" stroked="true" strokeweight=".6pt" strokecolor="#000008">
                <v:path arrowok="t"/>
              </v:shape>
            </v:group>
            <v:group style="position:absolute;left:9532;top:528;width:12;height:2" coordorigin="9532,528" coordsize="12,2">
              <v:shape style="position:absolute;left:9532;top:528;width:12;height:2" coordorigin="9532,528" coordsize="12,0" path="m9532,528l9544,528e" filled="false" stroked="true" strokeweight=".6pt" strokecolor="#000008">
                <v:path arrowok="t"/>
              </v:shape>
            </v:group>
            <v:group style="position:absolute;left:9551;top:528;width:12;height:2" coordorigin="9551,528" coordsize="12,2">
              <v:shape style="position:absolute;left:9551;top:528;width:12;height:2" coordorigin="9551,528" coordsize="12,0" path="m9551,528l9563,528e" filled="false" stroked="true" strokeweight=".6pt" strokecolor="#000008">
                <v:path arrowok="t"/>
              </v:shape>
            </v:group>
            <v:group style="position:absolute;left:9570;top:528;width:12;height:2" coordorigin="9570,528" coordsize="12,2">
              <v:shape style="position:absolute;left:9570;top:528;width:12;height:2" coordorigin="9570,528" coordsize="12,0" path="m9570,528l9582,528e" filled="false" stroked="true" strokeweight=".6pt" strokecolor="#000008">
                <v:path arrowok="t"/>
              </v:shape>
            </v:group>
            <v:group style="position:absolute;left:9589;top:528;width:12;height:2" coordorigin="9589,528" coordsize="12,2">
              <v:shape style="position:absolute;left:9589;top:528;width:12;height:2" coordorigin="9589,528" coordsize="12,0" path="m9589,528l9601,528e" filled="false" stroked="true" strokeweight=".6pt" strokecolor="#000008">
                <v:path arrowok="t"/>
              </v:shape>
            </v:group>
            <v:group style="position:absolute;left:9608;top:528;width:12;height:2" coordorigin="9608,528" coordsize="12,2">
              <v:shape style="position:absolute;left:9608;top:528;width:12;height:2" coordorigin="9608,528" coordsize="12,0" path="m9608,528l9620,528e" filled="false" stroked="true" strokeweight=".6pt" strokecolor="#000008">
                <v:path arrowok="t"/>
              </v:shape>
            </v:group>
            <v:group style="position:absolute;left:9628;top:528;width:12;height:2" coordorigin="9628,528" coordsize="12,2">
              <v:shape style="position:absolute;left:9628;top:528;width:12;height:2" coordorigin="9628,528" coordsize="12,0" path="m9628,528l9640,528e" filled="false" stroked="true" strokeweight=".6pt" strokecolor="#000008">
                <v:path arrowok="t"/>
              </v:shape>
            </v:group>
            <v:group style="position:absolute;left:9647;top:528;width:12;height:2" coordorigin="9647,528" coordsize="12,2">
              <v:shape style="position:absolute;left:9647;top:528;width:12;height:2" coordorigin="9647,528" coordsize="12,0" path="m9647,528l9659,528e" filled="false" stroked="true" strokeweight=".6pt" strokecolor="#000008">
                <v:path arrowok="t"/>
              </v:shape>
            </v:group>
            <v:group style="position:absolute;left:9666;top:528;width:12;height:2" coordorigin="9666,528" coordsize="12,2">
              <v:shape style="position:absolute;left:9666;top:528;width:12;height:2" coordorigin="9666,528" coordsize="12,0" path="m9666,528l9678,528e" filled="false" stroked="true" strokeweight=".6pt" strokecolor="#000008">
                <v:path arrowok="t"/>
              </v:shape>
            </v:group>
            <v:group style="position:absolute;left:9685;top:528;width:12;height:2" coordorigin="9685,528" coordsize="12,2">
              <v:shape style="position:absolute;left:9685;top:528;width:12;height:2" coordorigin="9685,528" coordsize="12,0" path="m9685,528l9697,528e" filled="false" stroked="true" strokeweight=".6pt" strokecolor="#000008">
                <v:path arrowok="t"/>
              </v:shape>
            </v:group>
            <v:group style="position:absolute;left:9704;top:528;width:12;height:2" coordorigin="9704,528" coordsize="12,2">
              <v:shape style="position:absolute;left:9704;top:528;width:12;height:2" coordorigin="9704,528" coordsize="12,0" path="m9704,528l9716,528e" filled="false" stroked="true" strokeweight=".6pt" strokecolor="#000008">
                <v:path arrowok="t"/>
              </v:shape>
            </v:group>
            <v:group style="position:absolute;left:9724;top:528;width:12;height:2" coordorigin="9724,528" coordsize="12,2">
              <v:shape style="position:absolute;left:9724;top:528;width:12;height:2" coordorigin="9724,528" coordsize="12,0" path="m9724,528l9736,528e" filled="false" stroked="true" strokeweight=".6pt" strokecolor="#000008">
                <v:path arrowok="t"/>
              </v:shape>
            </v:group>
            <v:group style="position:absolute;left:9743;top:528;width:12;height:2" coordorigin="9743,528" coordsize="12,2">
              <v:shape style="position:absolute;left:9743;top:528;width:12;height:2" coordorigin="9743,528" coordsize="12,0" path="m9743,528l9755,528e" filled="false" stroked="true" strokeweight=".6pt" strokecolor="#000008">
                <v:path arrowok="t"/>
              </v:shape>
            </v:group>
            <v:group style="position:absolute;left:9762;top:528;width:12;height:2" coordorigin="9762,528" coordsize="12,2">
              <v:shape style="position:absolute;left:9762;top:528;width:12;height:2" coordorigin="9762,528" coordsize="12,0" path="m9762,528l9774,528e" filled="false" stroked="true" strokeweight=".6pt" strokecolor="#000008">
                <v:path arrowok="t"/>
              </v:shape>
            </v:group>
            <v:group style="position:absolute;left:9781;top:528;width:12;height:2" coordorigin="9781,528" coordsize="12,2">
              <v:shape style="position:absolute;left:9781;top:528;width:12;height:2" coordorigin="9781,528" coordsize="12,0" path="m9781,528l9793,528e" filled="false" stroked="true" strokeweight=".6pt" strokecolor="#000008">
                <v:path arrowok="t"/>
              </v:shape>
            </v:group>
            <v:group style="position:absolute;left:9800;top:528;width:12;height:2" coordorigin="9800,528" coordsize="12,2">
              <v:shape style="position:absolute;left:9800;top:528;width:12;height:2" coordorigin="9800,528" coordsize="12,0" path="m9800,528l9812,528e" filled="false" stroked="true" strokeweight=".6pt" strokecolor="#000008">
                <v:path arrowok="t"/>
              </v:shape>
            </v:group>
            <v:group style="position:absolute;left:9820;top:528;width:12;height:2" coordorigin="9820,528" coordsize="12,2">
              <v:shape style="position:absolute;left:9820;top:528;width:12;height:2" coordorigin="9820,528" coordsize="12,0" path="m9820,528l9832,528e" filled="false" stroked="true" strokeweight=".6pt" strokecolor="#000008">
                <v:path arrowok="t"/>
              </v:shape>
            </v:group>
            <v:group style="position:absolute;left:9839;top:528;width:12;height:2" coordorigin="9839,528" coordsize="12,2">
              <v:shape style="position:absolute;left:9839;top:528;width:12;height:2" coordorigin="9839,528" coordsize="12,0" path="m9839,528l9851,528e" filled="false" stroked="true" strokeweight=".6pt" strokecolor="#000008">
                <v:path arrowok="t"/>
              </v:shape>
            </v:group>
            <v:group style="position:absolute;left:9858;top:528;width:12;height:2" coordorigin="9858,528" coordsize="12,2">
              <v:shape style="position:absolute;left:9858;top:528;width:12;height:2" coordorigin="9858,528" coordsize="12,0" path="m9858,528l9870,528e" filled="false" stroked="true" strokeweight=".6pt" strokecolor="#000008">
                <v:path arrowok="t"/>
              </v:shape>
            </v:group>
            <v:group style="position:absolute;left:9877;top:528;width:12;height:2" coordorigin="9877,528" coordsize="12,2">
              <v:shape style="position:absolute;left:9877;top:528;width:12;height:2" coordorigin="9877,528" coordsize="12,0" path="m9877,528l9889,528e" filled="false" stroked="true" strokeweight=".6pt" strokecolor="#000008">
                <v:path arrowok="t"/>
              </v:shape>
            </v:group>
            <v:group style="position:absolute;left:9896;top:528;width:12;height:2" coordorigin="9896,528" coordsize="12,2">
              <v:shape style="position:absolute;left:9896;top:528;width:12;height:2" coordorigin="9896,528" coordsize="12,0" path="m9896,528l9908,528e" filled="false" stroked="true" strokeweight=".6pt" strokecolor="#000008">
                <v:path arrowok="t"/>
              </v:shape>
            </v:group>
            <v:group style="position:absolute;left:9916;top:528;width:12;height:2" coordorigin="9916,528" coordsize="12,2">
              <v:shape style="position:absolute;left:9916;top:528;width:12;height:2" coordorigin="9916,528" coordsize="12,0" path="m9916,528l9928,528e" filled="false" stroked="true" strokeweight=".6pt" strokecolor="#000008">
                <v:path arrowok="t"/>
              </v:shape>
            </v:group>
            <v:group style="position:absolute;left:9935;top:528;width:12;height:2" coordorigin="9935,528" coordsize="12,2">
              <v:shape style="position:absolute;left:9935;top:528;width:12;height:2" coordorigin="9935,528" coordsize="12,0" path="m9935,528l9947,528e" filled="false" stroked="true" strokeweight=".6pt" strokecolor="#000008">
                <v:path arrowok="t"/>
              </v:shape>
            </v:group>
            <v:group style="position:absolute;left:9954;top:528;width:12;height:2" coordorigin="9954,528" coordsize="12,2">
              <v:shape style="position:absolute;left:9954;top:528;width:12;height:2" coordorigin="9954,528" coordsize="12,0" path="m9954,528l9966,528e" filled="false" stroked="true" strokeweight=".6pt" strokecolor="#000008">
                <v:path arrowok="t"/>
              </v:shape>
            </v:group>
            <v:group style="position:absolute;left:9973;top:528;width:12;height:2" coordorigin="9973,528" coordsize="12,2">
              <v:shape style="position:absolute;left:9973;top:528;width:12;height:2" coordorigin="9973,528" coordsize="12,0" path="m9973,528l9985,528e" filled="false" stroked="true" strokeweight=".6pt" strokecolor="#000008">
                <v:path arrowok="t"/>
              </v:shape>
            </v:group>
            <v:group style="position:absolute;left:9992;top:528;width:12;height:2" coordorigin="9992,528" coordsize="12,2">
              <v:shape style="position:absolute;left:9992;top:528;width:12;height:2" coordorigin="9992,528" coordsize="12,0" path="m9992,528l10004,528e" filled="false" stroked="true" strokeweight=".6pt" strokecolor="#000008">
                <v:path arrowok="t"/>
              </v:shape>
            </v:group>
            <v:group style="position:absolute;left:10012;top:528;width:12;height:2" coordorigin="10012,528" coordsize="12,2">
              <v:shape style="position:absolute;left:10012;top:528;width:12;height:2" coordorigin="10012,528" coordsize="12,0" path="m10012,528l10024,528e" filled="false" stroked="true" strokeweight=".6pt" strokecolor="#000008">
                <v:path arrowok="t"/>
              </v:shape>
            </v:group>
            <v:group style="position:absolute;left:10031;top:528;width:12;height:2" coordorigin="10031,528" coordsize="12,2">
              <v:shape style="position:absolute;left:10031;top:528;width:12;height:2" coordorigin="10031,528" coordsize="12,0" path="m10031,528l10043,528e" filled="false" stroked="true" strokeweight=".6pt" strokecolor="#000008">
                <v:path arrowok="t"/>
              </v:shape>
            </v:group>
            <v:group style="position:absolute;left:10050;top:528;width:12;height:2" coordorigin="10050,528" coordsize="12,2">
              <v:shape style="position:absolute;left:10050;top:528;width:12;height:2" coordorigin="10050,528" coordsize="12,0" path="m10050,528l10062,528e" filled="false" stroked="true" strokeweight=".6pt" strokecolor="#000008">
                <v:path arrowok="t"/>
              </v:shape>
            </v:group>
            <v:group style="position:absolute;left:10069;top:528;width:12;height:2" coordorigin="10069,528" coordsize="12,2">
              <v:shape style="position:absolute;left:10069;top:528;width:12;height:2" coordorigin="10069,528" coordsize="12,0" path="m10069,528l10081,528e" filled="false" stroked="true" strokeweight=".6pt" strokecolor="#000008">
                <v:path arrowok="t"/>
              </v:shape>
            </v:group>
            <v:group style="position:absolute;left:10088;top:528;width:12;height:2" coordorigin="10088,528" coordsize="12,2">
              <v:shape style="position:absolute;left:10088;top:528;width:12;height:2" coordorigin="10088,528" coordsize="12,0" path="m10088,528l10100,528e" filled="false" stroked="true" strokeweight=".6pt" strokecolor="#000008">
                <v:path arrowok="t"/>
              </v:shape>
            </v:group>
            <v:group style="position:absolute;left:10108;top:528;width:12;height:2" coordorigin="10108,528" coordsize="12,2">
              <v:shape style="position:absolute;left:10108;top:528;width:12;height:2" coordorigin="10108,528" coordsize="12,0" path="m10108,528l10120,528e" filled="false" stroked="true" strokeweight=".6pt" strokecolor="#000008">
                <v:path arrowok="t"/>
              </v:shape>
            </v:group>
            <v:group style="position:absolute;left:10127;top:528;width:12;height:2" coordorigin="10127,528" coordsize="12,2">
              <v:shape style="position:absolute;left:10127;top:528;width:12;height:2" coordorigin="10127,528" coordsize="12,0" path="m10127,528l10139,528e" filled="false" stroked="true" strokeweight=".6pt" strokecolor="#000008">
                <v:path arrowok="t"/>
              </v:shape>
            </v:group>
            <v:group style="position:absolute;left:10146;top:528;width:12;height:2" coordorigin="10146,528" coordsize="12,2">
              <v:shape style="position:absolute;left:10146;top:528;width:12;height:2" coordorigin="10146,528" coordsize="12,0" path="m10146,528l10158,528e" filled="false" stroked="true" strokeweight=".6pt" strokecolor="#000008">
                <v:path arrowok="t"/>
              </v:shape>
            </v:group>
            <v:group style="position:absolute;left:10165;top:528;width:12;height:2" coordorigin="10165,528" coordsize="12,2">
              <v:shape style="position:absolute;left:10165;top:528;width:12;height:2" coordorigin="10165,528" coordsize="12,0" path="m10165,528l10177,528e" filled="false" stroked="true" strokeweight=".6pt" strokecolor="#000008">
                <v:path arrowok="t"/>
              </v:shape>
            </v:group>
            <v:group style="position:absolute;left:10184;top:528;width:12;height:2" coordorigin="10184,528" coordsize="12,2">
              <v:shape style="position:absolute;left:10184;top:528;width:12;height:2" coordorigin="10184,528" coordsize="12,0" path="m10184,528l10196,528e" filled="false" stroked="true" strokeweight=".6pt" strokecolor="#000008">
                <v:path arrowok="t"/>
              </v:shape>
            </v:group>
            <v:group style="position:absolute;left:10204;top:528;width:12;height:2" coordorigin="10204,528" coordsize="12,2">
              <v:shape style="position:absolute;left:10204;top:528;width:12;height:2" coordorigin="10204,528" coordsize="12,0" path="m10204,528l10216,528e" filled="false" stroked="true" strokeweight=".6pt" strokecolor="#000008">
                <v:path arrowok="t"/>
              </v:shape>
            </v:group>
            <v:group style="position:absolute;left:10223;top:528;width:12;height:2" coordorigin="10223,528" coordsize="12,2">
              <v:shape style="position:absolute;left:10223;top:528;width:12;height:2" coordorigin="10223,528" coordsize="12,0" path="m10223,528l10235,528e" filled="false" stroked="true" strokeweight=".6pt" strokecolor="#000008">
                <v:path arrowok="t"/>
              </v:shape>
            </v:group>
            <v:group style="position:absolute;left:10242;top:528;width:12;height:2" coordorigin="10242,528" coordsize="12,2">
              <v:shape style="position:absolute;left:10242;top:528;width:12;height:2" coordorigin="10242,528" coordsize="12,0" path="m10242,528l10254,528e" filled="false" stroked="true" strokeweight=".6pt" strokecolor="#000008">
                <v:path arrowok="t"/>
              </v:shape>
            </v:group>
            <v:group style="position:absolute;left:10261;top:528;width:12;height:2" coordorigin="10261,528" coordsize="12,2">
              <v:shape style="position:absolute;left:10261;top:528;width:12;height:2" coordorigin="10261,528" coordsize="12,0" path="m10261,528l10273,528e" filled="false" stroked="true" strokeweight=".6pt" strokecolor="#000008">
                <v:path arrowok="t"/>
              </v:shape>
            </v:group>
            <v:group style="position:absolute;left:10280;top:528;width:12;height:2" coordorigin="10280,528" coordsize="12,2">
              <v:shape style="position:absolute;left:10280;top:528;width:12;height:2" coordorigin="10280,528" coordsize="12,0" path="m10280,528l10292,528e" filled="false" stroked="true" strokeweight=".6pt" strokecolor="#000008">
                <v:path arrowok="t"/>
              </v:shape>
            </v:group>
            <v:group style="position:absolute;left:10300;top:528;width:12;height:2" coordorigin="10300,528" coordsize="12,2">
              <v:shape style="position:absolute;left:10300;top:528;width:12;height:2" coordorigin="10300,528" coordsize="12,0" path="m10300,528l10312,528e" filled="false" stroked="true" strokeweight=".6pt" strokecolor="#000008">
                <v:path arrowok="t"/>
              </v:shape>
            </v:group>
            <v:group style="position:absolute;left:10319;top:528;width:12;height:2" coordorigin="10319,528" coordsize="12,2">
              <v:shape style="position:absolute;left:10319;top:528;width:12;height:2" coordorigin="10319,528" coordsize="12,0" path="m10319,528l10331,528e" filled="false" stroked="true" strokeweight=".6pt" strokecolor="#000008">
                <v:path arrowok="t"/>
              </v:shape>
            </v:group>
            <v:group style="position:absolute;left:10338;top:528;width:12;height:2" coordorigin="10338,528" coordsize="12,2">
              <v:shape style="position:absolute;left:10338;top:528;width:12;height:2" coordorigin="10338,528" coordsize="12,0" path="m10338,528l10350,528e" filled="false" stroked="true" strokeweight=".6pt" strokecolor="#000008">
                <v:path arrowok="t"/>
              </v:shape>
            </v:group>
            <v:group style="position:absolute;left:10357;top:528;width:12;height:2" coordorigin="10357,528" coordsize="12,2">
              <v:shape style="position:absolute;left:10357;top:528;width:12;height:2" coordorigin="10357,528" coordsize="12,0" path="m10357,528l10369,528e" filled="false" stroked="true" strokeweight=".6pt" strokecolor="#000008">
                <v:path arrowok="t"/>
              </v:shape>
            </v:group>
            <v:group style="position:absolute;left:10376;top:528;width:12;height:2" coordorigin="10376,528" coordsize="12,2">
              <v:shape style="position:absolute;left:10376;top:528;width:12;height:2" coordorigin="10376,528" coordsize="12,0" path="m10376,528l10388,528e" filled="false" stroked="true" strokeweight=".6pt" strokecolor="#000008">
                <v:path arrowok="t"/>
              </v:shape>
            </v:group>
            <v:group style="position:absolute;left:10396;top:528;width:12;height:2" coordorigin="10396,528" coordsize="12,2">
              <v:shape style="position:absolute;left:10396;top:528;width:12;height:2" coordorigin="10396,528" coordsize="12,0" path="m10396,528l10408,528e" filled="false" stroked="true" strokeweight=".6pt" strokecolor="#000008">
                <v:path arrowok="t"/>
              </v:shape>
            </v:group>
            <v:group style="position:absolute;left:10415;top:528;width:12;height:2" coordorigin="10415,528" coordsize="12,2">
              <v:shape style="position:absolute;left:10415;top:528;width:12;height:2" coordorigin="10415,528" coordsize="12,0" path="m10415,528l10427,528e" filled="false" stroked="true" strokeweight=".6pt" strokecolor="#000008">
                <v:path arrowok="t"/>
              </v:shape>
            </v:group>
            <w10:wrap type="none"/>
          </v:group>
        </w:pict>
      </w: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b/>
          <w:bCs/>
          <w:spacing w:val="-33"/>
          <w:sz w:val="20"/>
          <w:szCs w:val="20"/>
        </w:rPr>
        <w:t> </w:t>
      </w:r>
      <w:r>
        <w:rPr>
          <w:rFonts w:ascii="Microsoft JhengHei" w:hAnsi="Microsoft JhengHei" w:cs="Microsoft JhengHei" w:eastAsia="Microsoft JhengHei" w:hint="default"/>
          <w:b/>
          <w:bCs/>
          <w:spacing w:val="-33"/>
          <w:sz w:val="20"/>
          <w:szCs w:val="20"/>
        </w:rPr>
      </w: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p>
      <w:pPr>
        <w:spacing w:line="372" w:lineRule="auto" w:before="126"/>
        <w:ind w:left="137" w:right="4871" w:firstLine="379"/>
        <w:jc w:val="left"/>
        <w:rPr>
          <w:rFonts w:ascii="Microsoft JhengHei" w:hAnsi="Microsoft JhengHei" w:cs="Microsoft JhengHei" w:eastAsia="Microsoft JhengHei" w:hint="default"/>
          <w:sz w:val="20"/>
          <w:szCs w:val="20"/>
        </w:rPr>
      </w:pPr>
      <w:r>
        <w:rPr/>
        <w:pict>
          <v:group style="position:absolute;margin-left:359.399994pt;margin-top:25.839678pt;width:72.25pt;height:.6pt;mso-position-horizontal-relative:page;mso-position-vertical-relative:paragraph;z-index:3640" coordorigin="7188,517" coordsize="1445,12">
            <v:group style="position:absolute;left:7194;top:523;width:12;height:2" coordorigin="7194,523" coordsize="12,2">
              <v:shape style="position:absolute;left:7194;top:523;width:12;height:2" coordorigin="7194,523" coordsize="12,0" path="m7194,523l7206,523e" filled="false" stroked="true" strokeweight=".6pt" strokecolor="#000008">
                <v:path arrowok="t"/>
              </v:shape>
            </v:group>
            <v:group style="position:absolute;left:7213;top:523;width:12;height:2" coordorigin="7213,523" coordsize="12,2">
              <v:shape style="position:absolute;left:7213;top:523;width:12;height:2" coordorigin="7213,523" coordsize="12,0" path="m7213,523l7225,523e" filled="false" stroked="true" strokeweight=".6pt" strokecolor="#000008">
                <v:path arrowok="t"/>
              </v:shape>
            </v:group>
            <v:group style="position:absolute;left:7232;top:523;width:12;height:2" coordorigin="7232,523" coordsize="12,2">
              <v:shape style="position:absolute;left:7232;top:523;width:12;height:2" coordorigin="7232,523" coordsize="12,0" path="m7232,523l7244,523e" filled="false" stroked="true" strokeweight=".6pt" strokecolor="#000008">
                <v:path arrowok="t"/>
              </v:shape>
            </v:group>
            <v:group style="position:absolute;left:7252;top:523;width:12;height:2" coordorigin="7252,523" coordsize="12,2">
              <v:shape style="position:absolute;left:7252;top:523;width:12;height:2" coordorigin="7252,523" coordsize="12,0" path="m7252,523l7264,523e" filled="false" stroked="true" strokeweight=".6pt" strokecolor="#000008">
                <v:path arrowok="t"/>
              </v:shape>
            </v:group>
            <v:group style="position:absolute;left:7271;top:523;width:12;height:2" coordorigin="7271,523" coordsize="12,2">
              <v:shape style="position:absolute;left:7271;top:523;width:12;height:2" coordorigin="7271,523" coordsize="12,0" path="m7271,523l7283,523e" filled="false" stroked="true" strokeweight=".6pt" strokecolor="#000008">
                <v:path arrowok="t"/>
              </v:shape>
            </v:group>
            <v:group style="position:absolute;left:7290;top:523;width:12;height:2" coordorigin="7290,523" coordsize="12,2">
              <v:shape style="position:absolute;left:7290;top:523;width:12;height:2" coordorigin="7290,523" coordsize="12,0" path="m7290,523l7302,523e" filled="false" stroked="true" strokeweight=".6pt" strokecolor="#000008">
                <v:path arrowok="t"/>
              </v:shape>
            </v:group>
            <v:group style="position:absolute;left:7309;top:523;width:12;height:2" coordorigin="7309,523" coordsize="12,2">
              <v:shape style="position:absolute;left:7309;top:523;width:12;height:2" coordorigin="7309,523" coordsize="12,0" path="m7309,523l7321,523e" filled="false" stroked="true" strokeweight=".6pt" strokecolor="#000008">
                <v:path arrowok="t"/>
              </v:shape>
            </v:group>
            <v:group style="position:absolute;left:7328;top:523;width:12;height:2" coordorigin="7328,523" coordsize="12,2">
              <v:shape style="position:absolute;left:7328;top:523;width:12;height:2" coordorigin="7328,523" coordsize="12,0" path="m7328,523l7340,523e" filled="false" stroked="true" strokeweight=".6pt" strokecolor="#000008">
                <v:path arrowok="t"/>
              </v:shape>
            </v:group>
            <v:group style="position:absolute;left:7348;top:523;width:12;height:2" coordorigin="7348,523" coordsize="12,2">
              <v:shape style="position:absolute;left:7348;top:523;width:12;height:2" coordorigin="7348,523" coordsize="12,0" path="m7348,523l7360,523e" filled="false" stroked="true" strokeweight=".6pt" strokecolor="#000008">
                <v:path arrowok="t"/>
              </v:shape>
            </v:group>
            <v:group style="position:absolute;left:7367;top:523;width:12;height:2" coordorigin="7367,523" coordsize="12,2">
              <v:shape style="position:absolute;left:7367;top:523;width:12;height:2" coordorigin="7367,523" coordsize="12,0" path="m7367,523l7379,523e" filled="false" stroked="true" strokeweight=".6pt" strokecolor="#000008">
                <v:path arrowok="t"/>
              </v:shape>
            </v:group>
            <v:group style="position:absolute;left:7386;top:523;width:12;height:2" coordorigin="7386,523" coordsize="12,2">
              <v:shape style="position:absolute;left:7386;top:523;width:12;height:2" coordorigin="7386,523" coordsize="12,0" path="m7386,523l7398,523e" filled="false" stroked="true" strokeweight=".6pt" strokecolor="#000008">
                <v:path arrowok="t"/>
              </v:shape>
            </v:group>
            <v:group style="position:absolute;left:7405;top:523;width:12;height:2" coordorigin="7405,523" coordsize="12,2">
              <v:shape style="position:absolute;left:7405;top:523;width:12;height:2" coordorigin="7405,523" coordsize="12,0" path="m7405,523l7417,523e" filled="false" stroked="true" strokeweight=".6pt" strokecolor="#000008">
                <v:path arrowok="t"/>
              </v:shape>
            </v:group>
            <v:group style="position:absolute;left:7424;top:523;width:12;height:2" coordorigin="7424,523" coordsize="12,2">
              <v:shape style="position:absolute;left:7424;top:523;width:12;height:2" coordorigin="7424,523" coordsize="12,0" path="m7424,523l7436,523e" filled="false" stroked="true" strokeweight=".6pt" strokecolor="#000008">
                <v:path arrowok="t"/>
              </v:shape>
            </v:group>
            <v:group style="position:absolute;left:7444;top:523;width:12;height:2" coordorigin="7444,523" coordsize="12,2">
              <v:shape style="position:absolute;left:7444;top:523;width:12;height:2" coordorigin="7444,523" coordsize="12,0" path="m7444,523l7456,523e" filled="false" stroked="true" strokeweight=".6pt" strokecolor="#000008">
                <v:path arrowok="t"/>
              </v:shape>
            </v:group>
            <v:group style="position:absolute;left:7463;top:523;width:12;height:2" coordorigin="7463,523" coordsize="12,2">
              <v:shape style="position:absolute;left:7463;top:523;width:12;height:2" coordorigin="7463,523" coordsize="12,0" path="m7463,523l7475,523e" filled="false" stroked="true" strokeweight=".6pt" strokecolor="#000008">
                <v:path arrowok="t"/>
              </v:shape>
            </v:group>
            <v:group style="position:absolute;left:7482;top:523;width:12;height:2" coordorigin="7482,523" coordsize="12,2">
              <v:shape style="position:absolute;left:7482;top:523;width:12;height:2" coordorigin="7482,523" coordsize="12,0" path="m7482,523l7494,523e" filled="false" stroked="true" strokeweight=".6pt" strokecolor="#000008">
                <v:path arrowok="t"/>
              </v:shape>
            </v:group>
            <v:group style="position:absolute;left:7501;top:523;width:12;height:2" coordorigin="7501,523" coordsize="12,2">
              <v:shape style="position:absolute;left:7501;top:523;width:12;height:2" coordorigin="7501,523" coordsize="12,0" path="m7501,523l7513,523e" filled="false" stroked="true" strokeweight=".6pt" strokecolor="#000008">
                <v:path arrowok="t"/>
              </v:shape>
            </v:group>
            <v:group style="position:absolute;left:7520;top:523;width:12;height:2" coordorigin="7520,523" coordsize="12,2">
              <v:shape style="position:absolute;left:7520;top:523;width:12;height:2" coordorigin="7520,523" coordsize="12,0" path="m7520,523l7532,523e" filled="false" stroked="true" strokeweight=".6pt" strokecolor="#000008">
                <v:path arrowok="t"/>
              </v:shape>
            </v:group>
            <v:group style="position:absolute;left:7540;top:523;width:12;height:2" coordorigin="7540,523" coordsize="12,2">
              <v:shape style="position:absolute;left:7540;top:523;width:12;height:2" coordorigin="7540,523" coordsize="12,0" path="m7540,523l7552,523e" filled="false" stroked="true" strokeweight=".6pt" strokecolor="#000008">
                <v:path arrowok="t"/>
              </v:shape>
            </v:group>
            <v:group style="position:absolute;left:7559;top:523;width:12;height:2" coordorigin="7559,523" coordsize="12,2">
              <v:shape style="position:absolute;left:7559;top:523;width:12;height:2" coordorigin="7559,523" coordsize="12,0" path="m7559,523l7571,523e" filled="false" stroked="true" strokeweight=".6pt" strokecolor="#000008">
                <v:path arrowok="t"/>
              </v:shape>
            </v:group>
            <v:group style="position:absolute;left:7578;top:523;width:12;height:2" coordorigin="7578,523" coordsize="12,2">
              <v:shape style="position:absolute;left:7578;top:523;width:12;height:2" coordorigin="7578,523" coordsize="12,0" path="m7578,523l7590,523e" filled="false" stroked="true" strokeweight=".6pt" strokecolor="#000008">
                <v:path arrowok="t"/>
              </v:shape>
            </v:group>
            <v:group style="position:absolute;left:7597;top:523;width:12;height:2" coordorigin="7597,523" coordsize="12,2">
              <v:shape style="position:absolute;left:7597;top:523;width:12;height:2" coordorigin="7597,523" coordsize="12,0" path="m7597,523l7609,523e" filled="false" stroked="true" strokeweight=".6pt" strokecolor="#000008">
                <v:path arrowok="t"/>
              </v:shape>
            </v:group>
            <v:group style="position:absolute;left:7616;top:523;width:12;height:2" coordorigin="7616,523" coordsize="12,2">
              <v:shape style="position:absolute;left:7616;top:523;width:12;height:2" coordorigin="7616,523" coordsize="12,0" path="m7616,523l7628,523e" filled="false" stroked="true" strokeweight=".6pt" strokecolor="#000008">
                <v:path arrowok="t"/>
              </v:shape>
            </v:group>
            <v:group style="position:absolute;left:7636;top:523;width:12;height:2" coordorigin="7636,523" coordsize="12,2">
              <v:shape style="position:absolute;left:7636;top:523;width:12;height:2" coordorigin="7636,523" coordsize="12,0" path="m7636,523l7648,523e" filled="false" stroked="true" strokeweight=".6pt" strokecolor="#000008">
                <v:path arrowok="t"/>
              </v:shape>
            </v:group>
            <v:group style="position:absolute;left:7655;top:523;width:12;height:2" coordorigin="7655,523" coordsize="12,2">
              <v:shape style="position:absolute;left:7655;top:523;width:12;height:2" coordorigin="7655,523" coordsize="12,0" path="m7655,523l7667,523e" filled="false" stroked="true" strokeweight=".6pt" strokecolor="#000008">
                <v:path arrowok="t"/>
              </v:shape>
            </v:group>
            <v:group style="position:absolute;left:7674;top:523;width:12;height:2" coordorigin="7674,523" coordsize="12,2">
              <v:shape style="position:absolute;left:7674;top:523;width:12;height:2" coordorigin="7674,523" coordsize="12,0" path="m7674,523l7686,523e" filled="false" stroked="true" strokeweight=".6pt" strokecolor="#000008">
                <v:path arrowok="t"/>
              </v:shape>
            </v:group>
            <v:group style="position:absolute;left:7693;top:523;width:12;height:2" coordorigin="7693,523" coordsize="12,2">
              <v:shape style="position:absolute;left:7693;top:523;width:12;height:2" coordorigin="7693,523" coordsize="12,0" path="m7693,523l7705,523e" filled="false" stroked="true" strokeweight=".6pt" strokecolor="#000008">
                <v:path arrowok="t"/>
              </v:shape>
            </v:group>
            <v:group style="position:absolute;left:7712;top:523;width:12;height:2" coordorigin="7712,523" coordsize="12,2">
              <v:shape style="position:absolute;left:7712;top:523;width:12;height:2" coordorigin="7712,523" coordsize="12,0" path="m7712,523l7724,523e" filled="false" stroked="true" strokeweight=".6pt" strokecolor="#000008">
                <v:path arrowok="t"/>
              </v:shape>
            </v:group>
            <v:group style="position:absolute;left:7732;top:523;width:12;height:2" coordorigin="7732,523" coordsize="12,2">
              <v:shape style="position:absolute;left:7732;top:523;width:12;height:2" coordorigin="7732,523" coordsize="12,0" path="m7732,523l7744,523e" filled="false" stroked="true" strokeweight=".6pt" strokecolor="#000008">
                <v:path arrowok="t"/>
              </v:shape>
            </v:group>
            <v:group style="position:absolute;left:7751;top:523;width:12;height:2" coordorigin="7751,523" coordsize="12,2">
              <v:shape style="position:absolute;left:7751;top:523;width:12;height:2" coordorigin="7751,523" coordsize="12,0" path="m7751,523l7763,523e" filled="false" stroked="true" strokeweight=".6pt" strokecolor="#000008">
                <v:path arrowok="t"/>
              </v:shape>
            </v:group>
            <v:group style="position:absolute;left:7770;top:523;width:12;height:2" coordorigin="7770,523" coordsize="12,2">
              <v:shape style="position:absolute;left:7770;top:523;width:12;height:2" coordorigin="7770,523" coordsize="12,0" path="m7770,523l7782,523e" filled="false" stroked="true" strokeweight=".6pt" strokecolor="#000008">
                <v:path arrowok="t"/>
              </v:shape>
            </v:group>
            <v:group style="position:absolute;left:7789;top:523;width:12;height:2" coordorigin="7789,523" coordsize="12,2">
              <v:shape style="position:absolute;left:7789;top:523;width:12;height:2" coordorigin="7789,523" coordsize="12,0" path="m7789,523l7801,523e" filled="false" stroked="true" strokeweight=".6pt" strokecolor="#000008">
                <v:path arrowok="t"/>
              </v:shape>
            </v:group>
            <v:group style="position:absolute;left:7808;top:523;width:12;height:2" coordorigin="7808,523" coordsize="12,2">
              <v:shape style="position:absolute;left:7808;top:523;width:12;height:2" coordorigin="7808,523" coordsize="12,0" path="m7808,523l7820,523e" filled="false" stroked="true" strokeweight=".6pt" strokecolor="#000008">
                <v:path arrowok="t"/>
              </v:shape>
            </v:group>
            <v:group style="position:absolute;left:7828;top:523;width:12;height:2" coordorigin="7828,523" coordsize="12,2">
              <v:shape style="position:absolute;left:7828;top:523;width:12;height:2" coordorigin="7828,523" coordsize="12,0" path="m7828,523l7840,523e" filled="false" stroked="true" strokeweight=".6pt" strokecolor="#000008">
                <v:path arrowok="t"/>
              </v:shape>
            </v:group>
            <v:group style="position:absolute;left:7847;top:523;width:12;height:2" coordorigin="7847,523" coordsize="12,2">
              <v:shape style="position:absolute;left:7847;top:523;width:12;height:2" coordorigin="7847,523" coordsize="12,0" path="m7847,523l7859,523e" filled="false" stroked="true" strokeweight=".6pt" strokecolor="#000008">
                <v:path arrowok="t"/>
              </v:shape>
            </v:group>
            <v:group style="position:absolute;left:7866;top:523;width:12;height:2" coordorigin="7866,523" coordsize="12,2">
              <v:shape style="position:absolute;left:7866;top:523;width:12;height:2" coordorigin="7866,523" coordsize="12,0" path="m7866,523l7878,523e" filled="false" stroked="true" strokeweight=".6pt" strokecolor="#000008">
                <v:path arrowok="t"/>
              </v:shape>
            </v:group>
            <v:group style="position:absolute;left:7885;top:523;width:12;height:2" coordorigin="7885,523" coordsize="12,2">
              <v:shape style="position:absolute;left:7885;top:523;width:12;height:2" coordorigin="7885,523" coordsize="12,0" path="m7885,523l7897,523e" filled="false" stroked="true" strokeweight=".6pt" strokecolor="#000008">
                <v:path arrowok="t"/>
              </v:shape>
            </v:group>
            <v:group style="position:absolute;left:7904;top:523;width:12;height:2" coordorigin="7904,523" coordsize="12,2">
              <v:shape style="position:absolute;left:7904;top:523;width:12;height:2" coordorigin="7904,523" coordsize="12,0" path="m7904,523l7916,523e" filled="false" stroked="true" strokeweight=".6pt" strokecolor="#000008">
                <v:path arrowok="t"/>
              </v:shape>
            </v:group>
            <v:group style="position:absolute;left:7924;top:523;width:12;height:2" coordorigin="7924,523" coordsize="12,2">
              <v:shape style="position:absolute;left:7924;top:523;width:12;height:2" coordorigin="7924,523" coordsize="12,0" path="m7924,523l7936,523e" filled="false" stroked="true" strokeweight=".6pt" strokecolor="#000008">
                <v:path arrowok="t"/>
              </v:shape>
            </v:group>
            <v:group style="position:absolute;left:7943;top:523;width:12;height:2" coordorigin="7943,523" coordsize="12,2">
              <v:shape style="position:absolute;left:7943;top:523;width:12;height:2" coordorigin="7943,523" coordsize="12,0" path="m7943,523l7955,523e" filled="false" stroked="true" strokeweight=".6pt" strokecolor="#000008">
                <v:path arrowok="t"/>
              </v:shape>
            </v:group>
            <v:group style="position:absolute;left:7962;top:523;width:12;height:2" coordorigin="7962,523" coordsize="12,2">
              <v:shape style="position:absolute;left:7962;top:523;width:12;height:2" coordorigin="7962,523" coordsize="12,0" path="m7962,523l7974,523e" filled="false" stroked="true" strokeweight=".6pt" strokecolor="#000008">
                <v:path arrowok="t"/>
              </v:shape>
            </v:group>
            <v:group style="position:absolute;left:7981;top:523;width:12;height:2" coordorigin="7981,523" coordsize="12,2">
              <v:shape style="position:absolute;left:7981;top:523;width:12;height:2" coordorigin="7981,523" coordsize="12,0" path="m7981,523l7993,523e" filled="false" stroked="true" strokeweight=".6pt" strokecolor="#000008">
                <v:path arrowok="t"/>
              </v:shape>
            </v:group>
            <v:group style="position:absolute;left:8000;top:523;width:12;height:2" coordorigin="8000,523" coordsize="12,2">
              <v:shape style="position:absolute;left:8000;top:523;width:12;height:2" coordorigin="8000,523" coordsize="12,0" path="m8000,523l8012,523e" filled="false" stroked="true" strokeweight=".6pt" strokecolor="#000008">
                <v:path arrowok="t"/>
              </v:shape>
            </v:group>
            <v:group style="position:absolute;left:8020;top:523;width:12;height:2" coordorigin="8020,523" coordsize="12,2">
              <v:shape style="position:absolute;left:8020;top:523;width:12;height:2" coordorigin="8020,523" coordsize="12,0" path="m8020,523l8032,523e" filled="false" stroked="true" strokeweight=".6pt" strokecolor="#000008">
                <v:path arrowok="t"/>
              </v:shape>
            </v:group>
            <v:group style="position:absolute;left:8039;top:523;width:12;height:2" coordorigin="8039,523" coordsize="12,2">
              <v:shape style="position:absolute;left:8039;top:523;width:12;height:2" coordorigin="8039,523" coordsize="12,0" path="m8039,523l8051,523e" filled="false" stroked="true" strokeweight=".6pt" strokecolor="#000008">
                <v:path arrowok="t"/>
              </v:shape>
            </v:group>
            <v:group style="position:absolute;left:8058;top:523;width:12;height:2" coordorigin="8058,523" coordsize="12,2">
              <v:shape style="position:absolute;left:8058;top:523;width:12;height:2" coordorigin="8058,523" coordsize="12,0" path="m8058,523l8070,523e" filled="false" stroked="true" strokeweight=".6pt" strokecolor="#000008">
                <v:path arrowok="t"/>
              </v:shape>
            </v:group>
            <v:group style="position:absolute;left:8077;top:523;width:12;height:2" coordorigin="8077,523" coordsize="12,2">
              <v:shape style="position:absolute;left:8077;top:523;width:12;height:2" coordorigin="8077,523" coordsize="12,0" path="m8077,523l8089,523e" filled="false" stroked="true" strokeweight=".6pt" strokecolor="#000008">
                <v:path arrowok="t"/>
              </v:shape>
            </v:group>
            <v:group style="position:absolute;left:8096;top:523;width:12;height:2" coordorigin="8096,523" coordsize="12,2">
              <v:shape style="position:absolute;left:8096;top:523;width:12;height:2" coordorigin="8096,523" coordsize="12,0" path="m8096,523l8108,523e" filled="false" stroked="true" strokeweight=".6pt" strokecolor="#000008">
                <v:path arrowok="t"/>
              </v:shape>
            </v:group>
            <v:group style="position:absolute;left:8116;top:523;width:12;height:2" coordorigin="8116,523" coordsize="12,2">
              <v:shape style="position:absolute;left:8116;top:523;width:12;height:2" coordorigin="8116,523" coordsize="12,0" path="m8116,523l8128,523e" filled="false" stroked="true" strokeweight=".6pt" strokecolor="#000008">
                <v:path arrowok="t"/>
              </v:shape>
            </v:group>
            <v:group style="position:absolute;left:8135;top:523;width:12;height:2" coordorigin="8135,523" coordsize="12,2">
              <v:shape style="position:absolute;left:8135;top:523;width:12;height:2" coordorigin="8135,523" coordsize="12,0" path="m8135,523l8147,523e" filled="false" stroked="true" strokeweight=".6pt" strokecolor="#000008">
                <v:path arrowok="t"/>
              </v:shape>
            </v:group>
            <v:group style="position:absolute;left:8154;top:523;width:12;height:2" coordorigin="8154,523" coordsize="12,2">
              <v:shape style="position:absolute;left:8154;top:523;width:12;height:2" coordorigin="8154,523" coordsize="12,0" path="m8154,523l8166,523e" filled="false" stroked="true" strokeweight=".6pt" strokecolor="#000008">
                <v:path arrowok="t"/>
              </v:shape>
            </v:group>
            <v:group style="position:absolute;left:8173;top:523;width:12;height:2" coordorigin="8173,523" coordsize="12,2">
              <v:shape style="position:absolute;left:8173;top:523;width:12;height:2" coordorigin="8173,523" coordsize="12,0" path="m8173,523l8185,523e" filled="false" stroked="true" strokeweight=".6pt" strokecolor="#000008">
                <v:path arrowok="t"/>
              </v:shape>
            </v:group>
            <v:group style="position:absolute;left:8192;top:523;width:12;height:2" coordorigin="8192,523" coordsize="12,2">
              <v:shape style="position:absolute;left:8192;top:523;width:12;height:2" coordorigin="8192,523" coordsize="12,0" path="m8192,523l8204,523e" filled="false" stroked="true" strokeweight=".6pt" strokecolor="#000008">
                <v:path arrowok="t"/>
              </v:shape>
            </v:group>
            <v:group style="position:absolute;left:8212;top:523;width:12;height:2" coordorigin="8212,523" coordsize="12,2">
              <v:shape style="position:absolute;left:8212;top:523;width:12;height:2" coordorigin="8212,523" coordsize="12,0" path="m8212,523l8224,523e" filled="false" stroked="true" strokeweight=".6pt" strokecolor="#000008">
                <v:path arrowok="t"/>
              </v:shape>
            </v:group>
            <v:group style="position:absolute;left:8231;top:523;width:12;height:2" coordorigin="8231,523" coordsize="12,2">
              <v:shape style="position:absolute;left:8231;top:523;width:12;height:2" coordorigin="8231,523" coordsize="12,0" path="m8231,523l8243,523e" filled="false" stroked="true" strokeweight=".6pt" strokecolor="#000008">
                <v:path arrowok="t"/>
              </v:shape>
            </v:group>
            <v:group style="position:absolute;left:8250;top:523;width:12;height:2" coordorigin="8250,523" coordsize="12,2">
              <v:shape style="position:absolute;left:8250;top:523;width:12;height:2" coordorigin="8250,523" coordsize="12,0" path="m8250,523l8262,523e" filled="false" stroked="true" strokeweight=".6pt" strokecolor="#000008">
                <v:path arrowok="t"/>
              </v:shape>
            </v:group>
            <v:group style="position:absolute;left:8269;top:523;width:12;height:2" coordorigin="8269,523" coordsize="12,2">
              <v:shape style="position:absolute;left:8269;top:523;width:12;height:2" coordorigin="8269,523" coordsize="12,0" path="m8269,523l8281,523e" filled="false" stroked="true" strokeweight=".6pt" strokecolor="#000008">
                <v:path arrowok="t"/>
              </v:shape>
            </v:group>
            <v:group style="position:absolute;left:8288;top:523;width:12;height:2" coordorigin="8288,523" coordsize="12,2">
              <v:shape style="position:absolute;left:8288;top:523;width:12;height:2" coordorigin="8288,523" coordsize="12,0" path="m8288,523l8300,523e" filled="false" stroked="true" strokeweight=".6pt" strokecolor="#000008">
                <v:path arrowok="t"/>
              </v:shape>
            </v:group>
            <v:group style="position:absolute;left:8308;top:523;width:12;height:2" coordorigin="8308,523" coordsize="12,2">
              <v:shape style="position:absolute;left:8308;top:523;width:12;height:2" coordorigin="8308,523" coordsize="12,0" path="m8308,523l8320,523e" filled="false" stroked="true" strokeweight=".6pt" strokecolor="#000008">
                <v:path arrowok="t"/>
              </v:shape>
            </v:group>
            <v:group style="position:absolute;left:8327;top:523;width:12;height:2" coordorigin="8327,523" coordsize="12,2">
              <v:shape style="position:absolute;left:8327;top:523;width:12;height:2" coordorigin="8327,523" coordsize="12,0" path="m8327,523l8339,523e" filled="false" stroked="true" strokeweight=".6pt" strokecolor="#000008">
                <v:path arrowok="t"/>
              </v:shape>
            </v:group>
            <v:group style="position:absolute;left:8346;top:523;width:12;height:2" coordorigin="8346,523" coordsize="12,2">
              <v:shape style="position:absolute;left:8346;top:523;width:12;height:2" coordorigin="8346,523" coordsize="12,0" path="m8346,523l8358,523e" filled="false" stroked="true" strokeweight=".6pt" strokecolor="#000008">
                <v:path arrowok="t"/>
              </v:shape>
            </v:group>
            <v:group style="position:absolute;left:8365;top:523;width:12;height:2" coordorigin="8365,523" coordsize="12,2">
              <v:shape style="position:absolute;left:8365;top:523;width:12;height:2" coordorigin="8365,523" coordsize="12,0" path="m8365,523l8377,523e" filled="false" stroked="true" strokeweight=".6pt" strokecolor="#000008">
                <v:path arrowok="t"/>
              </v:shape>
            </v:group>
            <v:group style="position:absolute;left:8384;top:523;width:12;height:2" coordorigin="8384,523" coordsize="12,2">
              <v:shape style="position:absolute;left:8384;top:523;width:12;height:2" coordorigin="8384,523" coordsize="12,0" path="m8384,523l8396,523e" filled="false" stroked="true" strokeweight=".6pt" strokecolor="#000008">
                <v:path arrowok="t"/>
              </v:shape>
            </v:group>
            <v:group style="position:absolute;left:8404;top:523;width:12;height:2" coordorigin="8404,523" coordsize="12,2">
              <v:shape style="position:absolute;left:8404;top:523;width:12;height:2" coordorigin="8404,523" coordsize="12,0" path="m8404,523l8416,523e" filled="false" stroked="true" strokeweight=".6pt" strokecolor="#000008">
                <v:path arrowok="t"/>
              </v:shape>
            </v:group>
            <v:group style="position:absolute;left:8423;top:523;width:12;height:2" coordorigin="8423,523" coordsize="12,2">
              <v:shape style="position:absolute;left:8423;top:523;width:12;height:2" coordorigin="8423,523" coordsize="12,0" path="m8423,523l8435,523e" filled="false" stroked="true" strokeweight=".6pt" strokecolor="#000008">
                <v:path arrowok="t"/>
              </v:shape>
            </v:group>
            <v:group style="position:absolute;left:8442;top:523;width:12;height:2" coordorigin="8442,523" coordsize="12,2">
              <v:shape style="position:absolute;left:8442;top:523;width:12;height:2" coordorigin="8442,523" coordsize="12,0" path="m8442,523l8454,523e" filled="false" stroked="true" strokeweight=".6pt" strokecolor="#000008">
                <v:path arrowok="t"/>
              </v:shape>
            </v:group>
            <v:group style="position:absolute;left:8461;top:523;width:12;height:2" coordorigin="8461,523" coordsize="12,2">
              <v:shape style="position:absolute;left:8461;top:523;width:12;height:2" coordorigin="8461,523" coordsize="12,0" path="m8461,523l8473,523e" filled="false" stroked="true" strokeweight=".6pt" strokecolor="#000008">
                <v:path arrowok="t"/>
              </v:shape>
            </v:group>
            <v:group style="position:absolute;left:8480;top:523;width:12;height:2" coordorigin="8480,523" coordsize="12,2">
              <v:shape style="position:absolute;left:8480;top:523;width:12;height:2" coordorigin="8480,523" coordsize="12,0" path="m8480,523l8492,523e" filled="false" stroked="true" strokeweight=".6pt" strokecolor="#000008">
                <v:path arrowok="t"/>
              </v:shape>
            </v:group>
            <v:group style="position:absolute;left:8500;top:523;width:12;height:2" coordorigin="8500,523" coordsize="12,2">
              <v:shape style="position:absolute;left:8500;top:523;width:12;height:2" coordorigin="8500,523" coordsize="12,0" path="m8500,523l8512,523e" filled="false" stroked="true" strokeweight=".6pt" strokecolor="#000008">
                <v:path arrowok="t"/>
              </v:shape>
            </v:group>
            <v:group style="position:absolute;left:8519;top:523;width:12;height:2" coordorigin="8519,523" coordsize="12,2">
              <v:shape style="position:absolute;left:8519;top:523;width:12;height:2" coordorigin="8519,523" coordsize="12,0" path="m8519,523l8531,523e" filled="false" stroked="true" strokeweight=".6pt" strokecolor="#000008">
                <v:path arrowok="t"/>
              </v:shape>
            </v:group>
            <v:group style="position:absolute;left:8538;top:523;width:12;height:2" coordorigin="8538,523" coordsize="12,2">
              <v:shape style="position:absolute;left:8538;top:523;width:12;height:2" coordorigin="8538,523" coordsize="12,0" path="m8538,523l8550,523e" filled="false" stroked="true" strokeweight=".6pt" strokecolor="#000008">
                <v:path arrowok="t"/>
              </v:shape>
            </v:group>
            <v:group style="position:absolute;left:8557;top:523;width:12;height:2" coordorigin="8557,523" coordsize="12,2">
              <v:shape style="position:absolute;left:8557;top:523;width:12;height:2" coordorigin="8557,523" coordsize="12,0" path="m8557,523l8569,523e" filled="false" stroked="true" strokeweight=".6pt" strokecolor="#000008">
                <v:path arrowok="t"/>
              </v:shape>
            </v:group>
            <v:group style="position:absolute;left:8576;top:523;width:12;height:2" coordorigin="8576,523" coordsize="12,2">
              <v:shape style="position:absolute;left:8576;top:523;width:12;height:2" coordorigin="8576,523" coordsize="12,0" path="m8576,523l8588,523e" filled="false" stroked="true" strokeweight=".6pt" strokecolor="#000008">
                <v:path arrowok="t"/>
              </v:shape>
            </v:group>
            <v:group style="position:absolute;left:8596;top:523;width:12;height:2" coordorigin="8596,523" coordsize="12,2">
              <v:shape style="position:absolute;left:8596;top:523;width:12;height:2" coordorigin="8596,523" coordsize="12,0" path="m8596,523l8608,523e" filled="false" stroked="true" strokeweight=".6pt" strokecolor="#000008">
                <v:path arrowok="t"/>
              </v:shape>
            </v:group>
            <v:group style="position:absolute;left:8615;top:523;width:12;height:2" coordorigin="8615,523" coordsize="12,2">
              <v:shape style="position:absolute;left:8615;top:523;width:12;height:2" coordorigin="8615,523" coordsize="12,0" path="m8615,523l8627,523e" filled="false" stroked="true" strokeweight=".6pt" strokecolor="#000008">
                <v:path arrowok="t"/>
              </v:shape>
            </v:group>
            <w10:wrap type="none"/>
          </v:group>
        </w:pict>
      </w:r>
      <w:r>
        <w:rPr/>
        <w:pict>
          <v:group style="position:absolute;margin-left:449.399994pt;margin-top:25.839678pt;width:72.4pt;height:.6pt;mso-position-horizontal-relative:page;mso-position-vertical-relative:paragraph;z-index:3664" coordorigin="8988,517" coordsize="1448,12">
            <v:group style="position:absolute;left:8995;top:518;width:41;height:10" coordorigin="8995,518" coordsize="41,10">
              <v:shape style="position:absolute;left:8995;top:518;width:41;height:10" coordorigin="8995,518" coordsize="41,10" path="m9005,528l8995,528,8995,518,9005,518,9005,528xe" filled="true" fillcolor="#000008" stroked="false">
                <v:path arrowok="t"/>
                <v:fill type="solid"/>
              </v:shape>
              <v:shape style="position:absolute;left:8995;top:518;width:41;height:10" coordorigin="8995,518" coordsize="41,10" path="m9024,528l9014,528,9014,518,9024,518,9024,528xe" filled="true" fillcolor="#000008" stroked="false">
                <v:path arrowok="t"/>
                <v:fill type="solid"/>
              </v:shape>
              <v:shape style="position:absolute;left:8995;top:518;width:41;height:10" coordorigin="8995,518" coordsize="41,10" path="m9036,528l9034,528,9034,518,9036,518,9036,528xe" filled="true" fillcolor="#000008" stroked="false">
                <v:path arrowok="t"/>
                <v:fill type="solid"/>
              </v:shape>
            </v:group>
            <v:group style="position:absolute;left:8994;top:523;width:12;height:2" coordorigin="8994,523" coordsize="12,2">
              <v:shape style="position:absolute;left:8994;top:523;width:12;height:2" coordorigin="8994,523" coordsize="12,0" path="m8994,523l9006,523e" filled="false" stroked="true" strokeweight=".6pt" strokecolor="#000008">
                <v:path arrowok="t"/>
              </v:shape>
            </v:group>
            <v:group style="position:absolute;left:9013;top:523;width:12;height:2" coordorigin="9013,523" coordsize="12,2">
              <v:shape style="position:absolute;left:9013;top:523;width:12;height:2" coordorigin="9013,523" coordsize="12,0" path="m9013,523l9025,523e" filled="false" stroked="true" strokeweight=".6pt" strokecolor="#000008">
                <v:path arrowok="t"/>
              </v:shape>
            </v:group>
            <v:group style="position:absolute;left:9032;top:523;width:5;height:2" coordorigin="9032,523" coordsize="5,2">
              <v:shape style="position:absolute;left:9032;top:523;width:5;height:2" coordorigin="9032,523" coordsize="5,0" path="m9032,523l9037,523e" filled="false" stroked="true" strokeweight=".6pt" strokecolor="#000008">
                <v:path arrowok="t"/>
              </v:shape>
            </v:group>
            <v:group style="position:absolute;left:9035;top:523;width:12;height:2" coordorigin="9035,523" coordsize="12,2">
              <v:shape style="position:absolute;left:9035;top:523;width:12;height:2" coordorigin="9035,523" coordsize="12,0" path="m9035,523l9047,523e" filled="false" stroked="true" strokeweight=".6pt" strokecolor="#000008">
                <v:path arrowok="t"/>
              </v:shape>
            </v:group>
            <v:group style="position:absolute;left:9054;top:523;width:12;height:2" coordorigin="9054,523" coordsize="12,2">
              <v:shape style="position:absolute;left:9054;top:523;width:12;height:2" coordorigin="9054,523" coordsize="12,0" path="m9054,523l9066,523e" filled="false" stroked="true" strokeweight=".6pt" strokecolor="#000008">
                <v:path arrowok="t"/>
              </v:shape>
            </v:group>
            <v:group style="position:absolute;left:9073;top:523;width:12;height:2" coordorigin="9073,523" coordsize="12,2">
              <v:shape style="position:absolute;left:9073;top:523;width:12;height:2" coordorigin="9073,523" coordsize="12,0" path="m9073,523l9085,523e" filled="false" stroked="true" strokeweight=".6pt" strokecolor="#000008">
                <v:path arrowok="t"/>
              </v:shape>
            </v:group>
            <v:group style="position:absolute;left:9092;top:523;width:12;height:2" coordorigin="9092,523" coordsize="12,2">
              <v:shape style="position:absolute;left:9092;top:523;width:12;height:2" coordorigin="9092,523" coordsize="12,0" path="m9092,523l9104,523e" filled="false" stroked="true" strokeweight=".6pt" strokecolor="#000008">
                <v:path arrowok="t"/>
              </v:shape>
            </v:group>
            <v:group style="position:absolute;left:9112;top:523;width:12;height:2" coordorigin="9112,523" coordsize="12,2">
              <v:shape style="position:absolute;left:9112;top:523;width:12;height:2" coordorigin="9112,523" coordsize="12,0" path="m9112,523l9124,523e" filled="false" stroked="true" strokeweight=".6pt" strokecolor="#000008">
                <v:path arrowok="t"/>
              </v:shape>
            </v:group>
            <v:group style="position:absolute;left:9131;top:523;width:12;height:2" coordorigin="9131,523" coordsize="12,2">
              <v:shape style="position:absolute;left:9131;top:523;width:12;height:2" coordorigin="9131,523" coordsize="12,0" path="m9131,523l9143,523e" filled="false" stroked="true" strokeweight=".6pt" strokecolor="#000008">
                <v:path arrowok="t"/>
              </v:shape>
            </v:group>
            <v:group style="position:absolute;left:9150;top:523;width:12;height:2" coordorigin="9150,523" coordsize="12,2">
              <v:shape style="position:absolute;left:9150;top:523;width:12;height:2" coordorigin="9150,523" coordsize="12,0" path="m9150,523l9162,523e" filled="false" stroked="true" strokeweight=".6pt" strokecolor="#000008">
                <v:path arrowok="t"/>
              </v:shape>
            </v:group>
            <v:group style="position:absolute;left:9169;top:523;width:12;height:2" coordorigin="9169,523" coordsize="12,2">
              <v:shape style="position:absolute;left:9169;top:523;width:12;height:2" coordorigin="9169,523" coordsize="12,0" path="m9169,523l9181,523e" filled="false" stroked="true" strokeweight=".6pt" strokecolor="#000008">
                <v:path arrowok="t"/>
              </v:shape>
            </v:group>
            <v:group style="position:absolute;left:9188;top:523;width:12;height:2" coordorigin="9188,523" coordsize="12,2">
              <v:shape style="position:absolute;left:9188;top:523;width:12;height:2" coordorigin="9188,523" coordsize="12,0" path="m9188,523l9200,523e" filled="false" stroked="true" strokeweight=".6pt" strokecolor="#000008">
                <v:path arrowok="t"/>
              </v:shape>
            </v:group>
            <v:group style="position:absolute;left:9208;top:523;width:12;height:2" coordorigin="9208,523" coordsize="12,2">
              <v:shape style="position:absolute;left:9208;top:523;width:12;height:2" coordorigin="9208,523" coordsize="12,0" path="m9208,523l9220,523e" filled="false" stroked="true" strokeweight=".6pt" strokecolor="#000008">
                <v:path arrowok="t"/>
              </v:shape>
            </v:group>
            <v:group style="position:absolute;left:9227;top:523;width:12;height:2" coordorigin="9227,523" coordsize="12,2">
              <v:shape style="position:absolute;left:9227;top:523;width:12;height:2" coordorigin="9227,523" coordsize="12,0" path="m9227,523l9239,523e" filled="false" stroked="true" strokeweight=".6pt" strokecolor="#000008">
                <v:path arrowok="t"/>
              </v:shape>
            </v:group>
            <v:group style="position:absolute;left:9246;top:523;width:12;height:2" coordorigin="9246,523" coordsize="12,2">
              <v:shape style="position:absolute;left:9246;top:523;width:12;height:2" coordorigin="9246,523" coordsize="12,0" path="m9246,523l9258,523e" filled="false" stroked="true" strokeweight=".6pt" strokecolor="#000008">
                <v:path arrowok="t"/>
              </v:shape>
            </v:group>
            <v:group style="position:absolute;left:9265;top:523;width:12;height:2" coordorigin="9265,523" coordsize="12,2">
              <v:shape style="position:absolute;left:9265;top:523;width:12;height:2" coordorigin="9265,523" coordsize="12,0" path="m9265,523l9277,523e" filled="false" stroked="true" strokeweight=".6pt" strokecolor="#000008">
                <v:path arrowok="t"/>
              </v:shape>
            </v:group>
            <v:group style="position:absolute;left:9284;top:523;width:12;height:2" coordorigin="9284,523" coordsize="12,2">
              <v:shape style="position:absolute;left:9284;top:523;width:12;height:2" coordorigin="9284,523" coordsize="12,0" path="m9284,523l9296,523e" filled="false" stroked="true" strokeweight=".6pt" strokecolor="#000008">
                <v:path arrowok="t"/>
              </v:shape>
            </v:group>
            <v:group style="position:absolute;left:9304;top:523;width:12;height:2" coordorigin="9304,523" coordsize="12,2">
              <v:shape style="position:absolute;left:9304;top:523;width:12;height:2" coordorigin="9304,523" coordsize="12,0" path="m9304,523l9316,523e" filled="false" stroked="true" strokeweight=".6pt" strokecolor="#000008">
                <v:path arrowok="t"/>
              </v:shape>
            </v:group>
            <v:group style="position:absolute;left:9323;top:523;width:12;height:2" coordorigin="9323,523" coordsize="12,2">
              <v:shape style="position:absolute;left:9323;top:523;width:12;height:2" coordorigin="9323,523" coordsize="12,0" path="m9323,523l9335,523e" filled="false" stroked="true" strokeweight=".6pt" strokecolor="#000008">
                <v:path arrowok="t"/>
              </v:shape>
            </v:group>
            <v:group style="position:absolute;left:9342;top:523;width:12;height:2" coordorigin="9342,523" coordsize="12,2">
              <v:shape style="position:absolute;left:9342;top:523;width:12;height:2" coordorigin="9342,523" coordsize="12,0" path="m9342,523l9354,523e" filled="false" stroked="true" strokeweight=".6pt" strokecolor="#000008">
                <v:path arrowok="t"/>
              </v:shape>
            </v:group>
            <v:group style="position:absolute;left:9361;top:523;width:12;height:2" coordorigin="9361,523" coordsize="12,2">
              <v:shape style="position:absolute;left:9361;top:523;width:12;height:2" coordorigin="9361,523" coordsize="12,0" path="m9361,523l9373,523e" filled="false" stroked="true" strokeweight=".6pt" strokecolor="#000008">
                <v:path arrowok="t"/>
              </v:shape>
            </v:group>
            <v:group style="position:absolute;left:9380;top:523;width:12;height:2" coordorigin="9380,523" coordsize="12,2">
              <v:shape style="position:absolute;left:9380;top:523;width:12;height:2" coordorigin="9380,523" coordsize="12,0" path="m9380,523l9392,523e" filled="false" stroked="true" strokeweight=".6pt" strokecolor="#000008">
                <v:path arrowok="t"/>
              </v:shape>
            </v:group>
            <v:group style="position:absolute;left:9400;top:523;width:12;height:2" coordorigin="9400,523" coordsize="12,2">
              <v:shape style="position:absolute;left:9400;top:523;width:12;height:2" coordorigin="9400,523" coordsize="12,0" path="m9400,523l9412,523e" filled="false" stroked="true" strokeweight=".6pt" strokecolor="#000008">
                <v:path arrowok="t"/>
              </v:shape>
            </v:group>
            <v:group style="position:absolute;left:9419;top:523;width:12;height:2" coordorigin="9419,523" coordsize="12,2">
              <v:shape style="position:absolute;left:9419;top:523;width:12;height:2" coordorigin="9419,523" coordsize="12,0" path="m9419,523l9431,523e" filled="false" stroked="true" strokeweight=".6pt" strokecolor="#000008">
                <v:path arrowok="t"/>
              </v:shape>
            </v:group>
            <v:group style="position:absolute;left:9438;top:523;width:12;height:2" coordorigin="9438,523" coordsize="12,2">
              <v:shape style="position:absolute;left:9438;top:523;width:12;height:2" coordorigin="9438,523" coordsize="12,0" path="m9438,523l9450,523e" filled="false" stroked="true" strokeweight=".6pt" strokecolor="#000008">
                <v:path arrowok="t"/>
              </v:shape>
            </v:group>
            <v:group style="position:absolute;left:9457;top:523;width:12;height:2" coordorigin="9457,523" coordsize="12,2">
              <v:shape style="position:absolute;left:9457;top:523;width:12;height:2" coordorigin="9457,523" coordsize="12,0" path="m9457,523l9469,523e" filled="false" stroked="true" strokeweight=".6pt" strokecolor="#000008">
                <v:path arrowok="t"/>
              </v:shape>
            </v:group>
            <v:group style="position:absolute;left:9476;top:523;width:12;height:2" coordorigin="9476,523" coordsize="12,2">
              <v:shape style="position:absolute;left:9476;top:523;width:12;height:2" coordorigin="9476,523" coordsize="12,0" path="m9476,523l9488,523e" filled="false" stroked="true" strokeweight=".6pt" strokecolor="#000008">
                <v:path arrowok="t"/>
              </v:shape>
            </v:group>
            <v:group style="position:absolute;left:9496;top:523;width:12;height:2" coordorigin="9496,523" coordsize="12,2">
              <v:shape style="position:absolute;left:9496;top:523;width:12;height:2" coordorigin="9496,523" coordsize="12,0" path="m9496,523l9508,523e" filled="false" stroked="true" strokeweight=".6pt" strokecolor="#000008">
                <v:path arrowok="t"/>
              </v:shape>
            </v:group>
            <v:group style="position:absolute;left:9515;top:523;width:12;height:2" coordorigin="9515,523" coordsize="12,2">
              <v:shape style="position:absolute;left:9515;top:523;width:12;height:2" coordorigin="9515,523" coordsize="12,0" path="m9515,523l9527,523e" filled="false" stroked="true" strokeweight=".6pt" strokecolor="#000008">
                <v:path arrowok="t"/>
              </v:shape>
            </v:group>
            <v:group style="position:absolute;left:9534;top:523;width:12;height:2" coordorigin="9534,523" coordsize="12,2">
              <v:shape style="position:absolute;left:9534;top:523;width:12;height:2" coordorigin="9534,523" coordsize="12,0" path="m9534,523l9546,523e" filled="false" stroked="true" strokeweight=".6pt" strokecolor="#000008">
                <v:path arrowok="t"/>
              </v:shape>
            </v:group>
            <v:group style="position:absolute;left:9553;top:523;width:12;height:2" coordorigin="9553,523" coordsize="12,2">
              <v:shape style="position:absolute;left:9553;top:523;width:12;height:2" coordorigin="9553,523" coordsize="12,0" path="m9553,523l9565,523e" filled="false" stroked="true" strokeweight=".6pt" strokecolor="#000008">
                <v:path arrowok="t"/>
              </v:shape>
            </v:group>
            <v:group style="position:absolute;left:9572;top:523;width:12;height:2" coordorigin="9572,523" coordsize="12,2">
              <v:shape style="position:absolute;left:9572;top:523;width:12;height:2" coordorigin="9572,523" coordsize="12,0" path="m9572,523l9584,523e" filled="false" stroked="true" strokeweight=".6pt" strokecolor="#000008">
                <v:path arrowok="t"/>
              </v:shape>
            </v:group>
            <v:group style="position:absolute;left:9592;top:523;width:12;height:2" coordorigin="9592,523" coordsize="12,2">
              <v:shape style="position:absolute;left:9592;top:523;width:12;height:2" coordorigin="9592,523" coordsize="12,0" path="m9592,523l9604,523e" filled="false" stroked="true" strokeweight=".6pt" strokecolor="#000008">
                <v:path arrowok="t"/>
              </v:shape>
            </v:group>
            <v:group style="position:absolute;left:9611;top:523;width:12;height:2" coordorigin="9611,523" coordsize="12,2">
              <v:shape style="position:absolute;left:9611;top:523;width:12;height:2" coordorigin="9611,523" coordsize="12,0" path="m9611,523l9623,523e" filled="false" stroked="true" strokeweight=".6pt" strokecolor="#000008">
                <v:path arrowok="t"/>
              </v:shape>
            </v:group>
            <v:group style="position:absolute;left:9630;top:523;width:12;height:2" coordorigin="9630,523" coordsize="12,2">
              <v:shape style="position:absolute;left:9630;top:523;width:12;height:2" coordorigin="9630,523" coordsize="12,0" path="m9630,523l9642,523e" filled="false" stroked="true" strokeweight=".6pt" strokecolor="#000008">
                <v:path arrowok="t"/>
              </v:shape>
            </v:group>
            <v:group style="position:absolute;left:9649;top:523;width:12;height:2" coordorigin="9649,523" coordsize="12,2">
              <v:shape style="position:absolute;left:9649;top:523;width:12;height:2" coordorigin="9649,523" coordsize="12,0" path="m9649,523l9661,523e" filled="false" stroked="true" strokeweight=".6pt" strokecolor="#000008">
                <v:path arrowok="t"/>
              </v:shape>
            </v:group>
            <v:group style="position:absolute;left:9668;top:523;width:12;height:2" coordorigin="9668,523" coordsize="12,2">
              <v:shape style="position:absolute;left:9668;top:523;width:12;height:2" coordorigin="9668,523" coordsize="12,0" path="m9668,523l9680,523e" filled="false" stroked="true" strokeweight=".6pt" strokecolor="#000008">
                <v:path arrowok="t"/>
              </v:shape>
            </v:group>
            <v:group style="position:absolute;left:9688;top:523;width:12;height:2" coordorigin="9688,523" coordsize="12,2">
              <v:shape style="position:absolute;left:9688;top:523;width:12;height:2" coordorigin="9688,523" coordsize="12,0" path="m9688,523l9700,523e" filled="false" stroked="true" strokeweight=".6pt" strokecolor="#000008">
                <v:path arrowok="t"/>
              </v:shape>
            </v:group>
            <v:group style="position:absolute;left:9707;top:523;width:12;height:2" coordorigin="9707,523" coordsize="12,2">
              <v:shape style="position:absolute;left:9707;top:523;width:12;height:2" coordorigin="9707,523" coordsize="12,0" path="m9707,523l9719,523e" filled="false" stroked="true" strokeweight=".6pt" strokecolor="#000008">
                <v:path arrowok="t"/>
              </v:shape>
            </v:group>
            <v:group style="position:absolute;left:9726;top:523;width:12;height:2" coordorigin="9726,523" coordsize="12,2">
              <v:shape style="position:absolute;left:9726;top:523;width:12;height:2" coordorigin="9726,523" coordsize="12,0" path="m9726,523l9738,523e" filled="false" stroked="true" strokeweight=".6pt" strokecolor="#000008">
                <v:path arrowok="t"/>
              </v:shape>
            </v:group>
            <v:group style="position:absolute;left:9745;top:523;width:12;height:2" coordorigin="9745,523" coordsize="12,2">
              <v:shape style="position:absolute;left:9745;top:523;width:12;height:2" coordorigin="9745,523" coordsize="12,0" path="m9745,523l9757,523e" filled="false" stroked="true" strokeweight=".6pt" strokecolor="#000008">
                <v:path arrowok="t"/>
              </v:shape>
            </v:group>
            <v:group style="position:absolute;left:9764;top:523;width:12;height:2" coordorigin="9764,523" coordsize="12,2">
              <v:shape style="position:absolute;left:9764;top:523;width:12;height:2" coordorigin="9764,523" coordsize="12,0" path="m9764,523l9776,523e" filled="false" stroked="true" strokeweight=".6pt" strokecolor="#000008">
                <v:path arrowok="t"/>
              </v:shape>
            </v:group>
            <v:group style="position:absolute;left:9784;top:523;width:12;height:2" coordorigin="9784,523" coordsize="12,2">
              <v:shape style="position:absolute;left:9784;top:523;width:12;height:2" coordorigin="9784,523" coordsize="12,0" path="m9784,523l9796,523e" filled="false" stroked="true" strokeweight=".6pt" strokecolor="#000008">
                <v:path arrowok="t"/>
              </v:shape>
            </v:group>
            <v:group style="position:absolute;left:9803;top:523;width:12;height:2" coordorigin="9803,523" coordsize="12,2">
              <v:shape style="position:absolute;left:9803;top:523;width:12;height:2" coordorigin="9803,523" coordsize="12,0" path="m9803,523l9815,523e" filled="false" stroked="true" strokeweight=".6pt" strokecolor="#000008">
                <v:path arrowok="t"/>
              </v:shape>
            </v:group>
            <v:group style="position:absolute;left:9822;top:523;width:12;height:2" coordorigin="9822,523" coordsize="12,2">
              <v:shape style="position:absolute;left:9822;top:523;width:12;height:2" coordorigin="9822,523" coordsize="12,0" path="m9822,523l9834,523e" filled="false" stroked="true" strokeweight=".6pt" strokecolor="#000008">
                <v:path arrowok="t"/>
              </v:shape>
            </v:group>
            <v:group style="position:absolute;left:9841;top:523;width:12;height:2" coordorigin="9841,523" coordsize="12,2">
              <v:shape style="position:absolute;left:9841;top:523;width:12;height:2" coordorigin="9841,523" coordsize="12,0" path="m9841,523l9853,523e" filled="false" stroked="true" strokeweight=".6pt" strokecolor="#000008">
                <v:path arrowok="t"/>
              </v:shape>
            </v:group>
            <v:group style="position:absolute;left:9860;top:523;width:12;height:2" coordorigin="9860,523" coordsize="12,2">
              <v:shape style="position:absolute;left:9860;top:523;width:12;height:2" coordorigin="9860,523" coordsize="12,0" path="m9860,523l9872,523e" filled="false" stroked="true" strokeweight=".6pt" strokecolor="#000008">
                <v:path arrowok="t"/>
              </v:shape>
            </v:group>
            <v:group style="position:absolute;left:9880;top:523;width:12;height:2" coordorigin="9880,523" coordsize="12,2">
              <v:shape style="position:absolute;left:9880;top:523;width:12;height:2" coordorigin="9880,523" coordsize="12,0" path="m9880,523l9892,523e" filled="false" stroked="true" strokeweight=".6pt" strokecolor="#000008">
                <v:path arrowok="t"/>
              </v:shape>
            </v:group>
            <v:group style="position:absolute;left:9899;top:523;width:12;height:2" coordorigin="9899,523" coordsize="12,2">
              <v:shape style="position:absolute;left:9899;top:523;width:12;height:2" coordorigin="9899,523" coordsize="12,0" path="m9899,523l9911,523e" filled="false" stroked="true" strokeweight=".6pt" strokecolor="#000008">
                <v:path arrowok="t"/>
              </v:shape>
            </v:group>
            <v:group style="position:absolute;left:9918;top:523;width:12;height:2" coordorigin="9918,523" coordsize="12,2">
              <v:shape style="position:absolute;left:9918;top:523;width:12;height:2" coordorigin="9918,523" coordsize="12,0" path="m9918,523l9930,523e" filled="false" stroked="true" strokeweight=".6pt" strokecolor="#000008">
                <v:path arrowok="t"/>
              </v:shape>
            </v:group>
            <v:group style="position:absolute;left:9937;top:523;width:12;height:2" coordorigin="9937,523" coordsize="12,2">
              <v:shape style="position:absolute;left:9937;top:523;width:12;height:2" coordorigin="9937,523" coordsize="12,0" path="m9937,523l9949,523e" filled="false" stroked="true" strokeweight=".6pt" strokecolor="#000008">
                <v:path arrowok="t"/>
              </v:shape>
            </v:group>
            <v:group style="position:absolute;left:9956;top:523;width:12;height:2" coordorigin="9956,523" coordsize="12,2">
              <v:shape style="position:absolute;left:9956;top:523;width:12;height:2" coordorigin="9956,523" coordsize="12,0" path="m9956,523l9968,523e" filled="false" stroked="true" strokeweight=".6pt" strokecolor="#000008">
                <v:path arrowok="t"/>
              </v:shape>
            </v:group>
            <v:group style="position:absolute;left:9976;top:523;width:12;height:2" coordorigin="9976,523" coordsize="12,2">
              <v:shape style="position:absolute;left:9976;top:523;width:12;height:2" coordorigin="9976,523" coordsize="12,0" path="m9976,523l9988,523e" filled="false" stroked="true" strokeweight=".6pt" strokecolor="#000008">
                <v:path arrowok="t"/>
              </v:shape>
            </v:group>
            <v:group style="position:absolute;left:9995;top:523;width:12;height:2" coordorigin="9995,523" coordsize="12,2">
              <v:shape style="position:absolute;left:9995;top:523;width:12;height:2" coordorigin="9995,523" coordsize="12,0" path="m9995,523l10007,523e" filled="false" stroked="true" strokeweight=".6pt" strokecolor="#000008">
                <v:path arrowok="t"/>
              </v:shape>
            </v:group>
            <v:group style="position:absolute;left:10014;top:523;width:12;height:2" coordorigin="10014,523" coordsize="12,2">
              <v:shape style="position:absolute;left:10014;top:523;width:12;height:2" coordorigin="10014,523" coordsize="12,0" path="m10014,523l10026,523e" filled="false" stroked="true" strokeweight=".6pt" strokecolor="#000008">
                <v:path arrowok="t"/>
              </v:shape>
            </v:group>
            <v:group style="position:absolute;left:10033;top:523;width:12;height:2" coordorigin="10033,523" coordsize="12,2">
              <v:shape style="position:absolute;left:10033;top:523;width:12;height:2" coordorigin="10033,523" coordsize="12,0" path="m10033,523l10045,523e" filled="false" stroked="true" strokeweight=".6pt" strokecolor="#000008">
                <v:path arrowok="t"/>
              </v:shape>
            </v:group>
            <v:group style="position:absolute;left:10052;top:523;width:12;height:2" coordorigin="10052,523" coordsize="12,2">
              <v:shape style="position:absolute;left:10052;top:523;width:12;height:2" coordorigin="10052,523" coordsize="12,0" path="m10052,523l10064,523e" filled="false" stroked="true" strokeweight=".6pt" strokecolor="#000008">
                <v:path arrowok="t"/>
              </v:shape>
            </v:group>
            <v:group style="position:absolute;left:10072;top:523;width:12;height:2" coordorigin="10072,523" coordsize="12,2">
              <v:shape style="position:absolute;left:10072;top:523;width:12;height:2" coordorigin="10072,523" coordsize="12,0" path="m10072,523l10084,523e" filled="false" stroked="true" strokeweight=".6pt" strokecolor="#000008">
                <v:path arrowok="t"/>
              </v:shape>
            </v:group>
            <v:group style="position:absolute;left:10091;top:523;width:12;height:2" coordorigin="10091,523" coordsize="12,2">
              <v:shape style="position:absolute;left:10091;top:523;width:12;height:2" coordorigin="10091,523" coordsize="12,0" path="m10091,523l10103,523e" filled="false" stroked="true" strokeweight=".6pt" strokecolor="#000008">
                <v:path arrowok="t"/>
              </v:shape>
            </v:group>
            <v:group style="position:absolute;left:10110;top:523;width:12;height:2" coordorigin="10110,523" coordsize="12,2">
              <v:shape style="position:absolute;left:10110;top:523;width:12;height:2" coordorigin="10110,523" coordsize="12,0" path="m10110,523l10122,523e" filled="false" stroked="true" strokeweight=".6pt" strokecolor="#000008">
                <v:path arrowok="t"/>
              </v:shape>
            </v:group>
            <v:group style="position:absolute;left:10129;top:523;width:12;height:2" coordorigin="10129,523" coordsize="12,2">
              <v:shape style="position:absolute;left:10129;top:523;width:12;height:2" coordorigin="10129,523" coordsize="12,0" path="m10129,523l10141,523e" filled="false" stroked="true" strokeweight=".6pt" strokecolor="#000008">
                <v:path arrowok="t"/>
              </v:shape>
            </v:group>
            <v:group style="position:absolute;left:10148;top:523;width:12;height:2" coordorigin="10148,523" coordsize="12,2">
              <v:shape style="position:absolute;left:10148;top:523;width:12;height:2" coordorigin="10148,523" coordsize="12,0" path="m10148,523l10160,523e" filled="false" stroked="true" strokeweight=".6pt" strokecolor="#000008">
                <v:path arrowok="t"/>
              </v:shape>
            </v:group>
            <v:group style="position:absolute;left:10168;top:523;width:12;height:2" coordorigin="10168,523" coordsize="12,2">
              <v:shape style="position:absolute;left:10168;top:523;width:12;height:2" coordorigin="10168,523" coordsize="12,0" path="m10168,523l10180,523e" filled="false" stroked="true" strokeweight=".6pt" strokecolor="#000008">
                <v:path arrowok="t"/>
              </v:shape>
            </v:group>
            <v:group style="position:absolute;left:10187;top:523;width:12;height:2" coordorigin="10187,523" coordsize="12,2">
              <v:shape style="position:absolute;left:10187;top:523;width:12;height:2" coordorigin="10187,523" coordsize="12,0" path="m10187,523l10199,523e" filled="false" stroked="true" strokeweight=".6pt" strokecolor="#000008">
                <v:path arrowok="t"/>
              </v:shape>
            </v:group>
            <v:group style="position:absolute;left:10206;top:523;width:12;height:2" coordorigin="10206,523" coordsize="12,2">
              <v:shape style="position:absolute;left:10206;top:523;width:12;height:2" coordorigin="10206,523" coordsize="12,0" path="m10206,523l10218,523e" filled="false" stroked="true" strokeweight=".6pt" strokecolor="#000008">
                <v:path arrowok="t"/>
              </v:shape>
            </v:group>
            <v:group style="position:absolute;left:10225;top:523;width:12;height:2" coordorigin="10225,523" coordsize="12,2">
              <v:shape style="position:absolute;left:10225;top:523;width:12;height:2" coordorigin="10225,523" coordsize="12,0" path="m10225,523l10237,523e" filled="false" stroked="true" strokeweight=".6pt" strokecolor="#000008">
                <v:path arrowok="t"/>
              </v:shape>
            </v:group>
            <v:group style="position:absolute;left:10244;top:523;width:12;height:2" coordorigin="10244,523" coordsize="12,2">
              <v:shape style="position:absolute;left:10244;top:523;width:12;height:2" coordorigin="10244,523" coordsize="12,0" path="m10244,523l10256,523e" filled="false" stroked="true" strokeweight=".6pt" strokecolor="#000008">
                <v:path arrowok="t"/>
              </v:shape>
            </v:group>
            <v:group style="position:absolute;left:10264;top:523;width:12;height:2" coordorigin="10264,523" coordsize="12,2">
              <v:shape style="position:absolute;left:10264;top:523;width:12;height:2" coordorigin="10264,523" coordsize="12,0" path="m10264,523l10276,523e" filled="false" stroked="true" strokeweight=".6pt" strokecolor="#000008">
                <v:path arrowok="t"/>
              </v:shape>
            </v:group>
            <v:group style="position:absolute;left:10283;top:523;width:12;height:2" coordorigin="10283,523" coordsize="12,2">
              <v:shape style="position:absolute;left:10283;top:523;width:12;height:2" coordorigin="10283,523" coordsize="12,0" path="m10283,523l10295,523e" filled="false" stroked="true" strokeweight=".6pt" strokecolor="#000008">
                <v:path arrowok="t"/>
              </v:shape>
            </v:group>
            <v:group style="position:absolute;left:10302;top:523;width:12;height:2" coordorigin="10302,523" coordsize="12,2">
              <v:shape style="position:absolute;left:10302;top:523;width:12;height:2" coordorigin="10302,523" coordsize="12,0" path="m10302,523l10314,523e" filled="false" stroked="true" strokeweight=".6pt" strokecolor="#000008">
                <v:path arrowok="t"/>
              </v:shape>
            </v:group>
            <v:group style="position:absolute;left:10321;top:523;width:12;height:2" coordorigin="10321,523" coordsize="12,2">
              <v:shape style="position:absolute;left:10321;top:523;width:12;height:2" coordorigin="10321,523" coordsize="12,0" path="m10321,523l10333,523e" filled="false" stroked="true" strokeweight=".6pt" strokecolor="#000008">
                <v:path arrowok="t"/>
              </v:shape>
            </v:group>
            <v:group style="position:absolute;left:10340;top:523;width:12;height:2" coordorigin="10340,523" coordsize="12,2">
              <v:shape style="position:absolute;left:10340;top:523;width:12;height:2" coordorigin="10340,523" coordsize="12,0" path="m10340,523l10352,523e" filled="false" stroked="true" strokeweight=".6pt" strokecolor="#000008">
                <v:path arrowok="t"/>
              </v:shape>
            </v:group>
            <v:group style="position:absolute;left:10360;top:523;width:12;height:2" coordorigin="10360,523" coordsize="12,2">
              <v:shape style="position:absolute;left:10360;top:523;width:12;height:2" coordorigin="10360,523" coordsize="12,0" path="m10360,523l10372,523e" filled="false" stroked="true" strokeweight=".6pt" strokecolor="#000008">
                <v:path arrowok="t"/>
              </v:shape>
            </v:group>
            <v:group style="position:absolute;left:10379;top:523;width:12;height:2" coordorigin="10379,523" coordsize="12,2">
              <v:shape style="position:absolute;left:10379;top:523;width:12;height:2" coordorigin="10379,523" coordsize="12,0" path="m10379,523l10391,523e" filled="false" stroked="true" strokeweight=".6pt" strokecolor="#000008">
                <v:path arrowok="t"/>
              </v:shape>
            </v:group>
            <v:group style="position:absolute;left:10398;top:523;width:12;height:2" coordorigin="10398,523" coordsize="12,2">
              <v:shape style="position:absolute;left:10398;top:523;width:12;height:2" coordorigin="10398,523" coordsize="12,0" path="m10398,523l10410,523e" filled="false" stroked="true" strokeweight=".6pt" strokecolor="#000008">
                <v:path arrowok="t"/>
              </v:shape>
            </v:group>
            <v:group style="position:absolute;left:10417;top:523;width:12;height:2" coordorigin="10417,523" coordsize="12,2">
              <v:shape style="position:absolute;left:10417;top:523;width:12;height:2" coordorigin="10417,523" coordsize="12,0" path="m10417,523l10429,523e" filled="false" stroked="true" strokeweight=".6pt" strokecolor="#000008">
                <v:path arrowok="t"/>
              </v:shape>
            </v:group>
            <w10:wrap type="none"/>
          </v:group>
        </w:pict>
      </w:r>
      <w:r>
        <w:rPr>
          <w:rFonts w:ascii="宋体" w:hAnsi="宋体" w:cs="宋体" w:eastAsia="宋体" w:hint="default"/>
          <w:w w:val="95"/>
          <w:sz w:val="20"/>
          <w:szCs w:val="20"/>
        </w:rPr>
        <w:t>加：期初现金及现金等价物余额</w:t>
      </w:r>
      <w:r>
        <w:rPr>
          <w:rFonts w:ascii="宋体" w:hAnsi="宋体" w:cs="宋体" w:eastAsia="宋体" w:hint="default"/>
          <w:w w:val="99"/>
          <w:sz w:val="20"/>
          <w:szCs w:val="20"/>
        </w:rPr>
        <w:t> </w:t>
      </w: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p>
      <w:pPr>
        <w:spacing w:after="0" w:line="372" w:lineRule="auto"/>
        <w:jc w:val="left"/>
        <w:rPr>
          <w:rFonts w:ascii="Microsoft JhengHei" w:hAnsi="Microsoft JhengHei" w:cs="Microsoft JhengHei" w:eastAsia="Microsoft JhengHei" w:hint="default"/>
          <w:sz w:val="20"/>
          <w:szCs w:val="20"/>
        </w:rPr>
        <w:sectPr>
          <w:headerReference w:type="default" r:id="rId150"/>
          <w:pgSz w:w="11910" w:h="16840"/>
          <w:pgMar w:header="943" w:footer="897" w:top="1500" w:bottom="1080" w:left="1660" w:right="1280"/>
        </w:sectPr>
      </w:pPr>
    </w:p>
    <w:p>
      <w:pPr>
        <w:spacing w:line="240" w:lineRule="auto" w:before="11"/>
        <w:rPr>
          <w:rFonts w:ascii="Microsoft JhengHei" w:hAnsi="Microsoft JhengHei" w:cs="Microsoft JhengHei" w:eastAsia="Microsoft JhengHei" w:hint="default"/>
          <w:b/>
          <w:bCs/>
          <w:sz w:val="10"/>
          <w:szCs w:val="10"/>
        </w:rPr>
      </w:pPr>
    </w:p>
    <w:p>
      <w:pPr>
        <w:pStyle w:val="Heading1"/>
        <w:spacing w:line="456" w:lineRule="exact"/>
        <w:ind w:right="861"/>
        <w:jc w:val="center"/>
        <w:rPr>
          <w:b w:val="0"/>
          <w:bCs w:val="0"/>
        </w:rPr>
      </w:pPr>
      <w:r>
        <w:rPr/>
        <w:t>所有者权益变动表</w:t>
      </w:r>
      <w:r>
        <w:rPr>
          <w:b w:val="0"/>
          <w:bCs w:val="0"/>
        </w:rPr>
      </w:r>
    </w:p>
    <w:p>
      <w:pPr>
        <w:spacing w:before="142"/>
        <w:ind w:left="0" w:right="857"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11531" w:val="left" w:leader="none"/>
        </w:tabs>
        <w:spacing w:line="369" w:lineRule="exact" w:before="45"/>
        <w:ind w:left="0" w:right="858"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tab/>
      </w:r>
      <w:r>
        <w:rPr>
          <w:rFonts w:ascii="Microsoft JhengHei" w:hAnsi="Microsoft JhengHei" w:cs="Microsoft JhengHei" w:eastAsia="Microsoft JhengHei" w:hint="default"/>
          <w:b/>
          <w:bCs/>
          <w:position w:val="13"/>
          <w:sz w:val="20"/>
          <w:szCs w:val="20"/>
        </w:rPr>
        <w:t>金额单位：人民币</w:t>
      </w:r>
      <w:r>
        <w:rPr>
          <w:rFonts w:ascii="Microsoft JhengHei" w:hAnsi="Microsoft JhengHei" w:cs="Microsoft JhengHei" w:eastAsia="Microsoft JhengHei" w:hint="default"/>
          <w:sz w:val="20"/>
          <w:szCs w:val="20"/>
        </w:rPr>
      </w:r>
    </w:p>
    <w:p>
      <w:pPr>
        <w:spacing w:line="239" w:lineRule="exact" w:before="0"/>
        <w:ind w:left="0" w:right="1003" w:firstLine="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元</w:t>
      </w:r>
      <w:r>
        <w:rPr>
          <w:rFonts w:ascii="Microsoft JhengHei" w:hAnsi="Microsoft JhengHei" w:cs="Microsoft JhengHei" w:eastAsia="Microsoft JhengHei" w:hint="default"/>
          <w:sz w:val="20"/>
          <w:szCs w:val="20"/>
        </w:rPr>
      </w:r>
    </w:p>
    <w:tbl>
      <w:tblPr>
        <w:tblW w:w="0" w:type="auto"/>
        <w:jc w:val="left"/>
        <w:tblInd w:w="131" w:type="dxa"/>
        <w:tblLayout w:type="fixed"/>
        <w:tblCellMar>
          <w:top w:w="0" w:type="dxa"/>
          <w:left w:w="0" w:type="dxa"/>
          <w:bottom w:w="0" w:type="dxa"/>
          <w:right w:w="0" w:type="dxa"/>
        </w:tblCellMar>
        <w:tblLook w:val="01E0"/>
      </w:tblPr>
      <w:tblGrid>
        <w:gridCol w:w="3420"/>
        <w:gridCol w:w="1440"/>
        <w:gridCol w:w="1620"/>
        <w:gridCol w:w="1260"/>
        <w:gridCol w:w="1082"/>
        <w:gridCol w:w="1260"/>
        <w:gridCol w:w="1440"/>
        <w:gridCol w:w="1620"/>
      </w:tblGrid>
      <w:tr>
        <w:trPr>
          <w:trHeight w:val="56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tabs>
                <w:tab w:pos="604" w:val="left" w:leader="none"/>
              </w:tabs>
              <w:spacing w:line="240" w:lineRule="auto" w:before="5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left="31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实收资本</w:t>
            </w:r>
            <w:r>
              <w:rPr>
                <w:rFonts w:ascii="Microsoft JhengHei" w:hAnsi="Microsoft JhengHei" w:cs="Microsoft JhengHei" w:eastAsia="Microsoft JhengHei" w:hint="default"/>
                <w:sz w:val="20"/>
                <w:szCs w:val="20"/>
              </w:rPr>
            </w:r>
          </w:p>
          <w:p>
            <w:pPr>
              <w:pStyle w:val="TableParagraph"/>
              <w:spacing w:line="304" w:lineRule="exact"/>
              <w:ind w:left="2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（或股本）</w:t>
            </w:r>
            <w:r>
              <w:rPr>
                <w:rFonts w:ascii="Microsoft JhengHei" w:hAnsi="Microsoft JhengHei" w:cs="Microsoft JhengHei" w:eastAsia="Microsoft JhengHei" w:hint="default"/>
                <w:sz w:val="20"/>
                <w:szCs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4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减：库存股</w:t>
            </w:r>
            <w:r>
              <w:rPr>
                <w:rFonts w:ascii="Microsoft JhengHei" w:hAnsi="Microsoft JhengHei" w:cs="Microsoft JhengHei" w:eastAsia="Microsoft JhengHei" w:hint="default"/>
                <w:sz w:val="20"/>
                <w:szCs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13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专项储备</w:t>
            </w:r>
            <w:r>
              <w:rPr>
                <w:rFonts w:ascii="Microsoft JhengHei" w:hAnsi="Microsoft JhengHei" w:cs="Microsoft JhengHei" w:eastAsia="Microsoft JhengHei" w:hint="default"/>
                <w:sz w:val="20"/>
                <w:szCs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22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21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
              <w:jc w:val="right"/>
              <w:rPr>
                <w:rFonts w:ascii="Times New Roman" w:hAnsi="Times New Roman" w:cs="Times New Roman" w:eastAsia="Times New Roman" w:hint="default"/>
                <w:sz w:val="20"/>
                <w:szCs w:val="20"/>
              </w:rPr>
            </w:pPr>
            <w:r>
              <w:rPr>
                <w:rFonts w:ascii="Times New Roman"/>
                <w:b/>
                <w:w w:val="95"/>
                <w:sz w:val="20"/>
              </w:rPr>
              <w:t>452,063,442.00</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1,873,057,714.51</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62,921,920.08</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138,844,086.68</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5"/>
              <w:jc w:val="right"/>
              <w:rPr>
                <w:rFonts w:ascii="Times New Roman" w:hAnsi="Times New Roman" w:cs="Times New Roman" w:eastAsia="Times New Roman" w:hint="default"/>
                <w:sz w:val="20"/>
                <w:szCs w:val="20"/>
              </w:rPr>
            </w:pPr>
            <w:r>
              <w:rPr>
                <w:rFonts w:ascii="Times New Roman"/>
                <w:b/>
                <w:w w:val="95"/>
                <w:sz w:val="20"/>
              </w:rPr>
              <w:t>2,526,887,163.27</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501"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501"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5"/>
                <w:sz w:val="20"/>
              </w:rPr>
              <w:t>-108,240.93</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-108,240.93</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
              <w:jc w:val="right"/>
              <w:rPr>
                <w:rFonts w:ascii="Times New Roman" w:hAnsi="Times New Roman" w:cs="Times New Roman" w:eastAsia="Times New Roman" w:hint="default"/>
                <w:sz w:val="20"/>
                <w:szCs w:val="20"/>
              </w:rPr>
            </w:pPr>
            <w:r>
              <w:rPr>
                <w:rFonts w:ascii="Times New Roman"/>
                <w:b/>
                <w:w w:val="95"/>
                <w:sz w:val="20"/>
              </w:rPr>
              <w:t>452,063,442.00</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1,873,057,714.51</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62,921,920.08</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138,735,845.75</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5"/>
              <w:jc w:val="right"/>
              <w:rPr>
                <w:rFonts w:ascii="Times New Roman" w:hAnsi="Times New Roman" w:cs="Times New Roman" w:eastAsia="Times New Roman" w:hint="default"/>
                <w:sz w:val="20"/>
                <w:szCs w:val="20"/>
              </w:rPr>
            </w:pPr>
            <w:r>
              <w:rPr>
                <w:rFonts w:ascii="Times New Roman"/>
                <w:b/>
                <w:w w:val="95"/>
                <w:sz w:val="20"/>
              </w:rPr>
              <w:t>2,526,778,922.34</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103" w:right="-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三、本年增减变动金额</w:t>
            </w:r>
            <w:r>
              <w:rPr>
                <w:rFonts w:ascii="Times New Roman" w:hAnsi="Times New Roman" w:cs="Times New Roman" w:eastAsia="Times New Roman" w:hint="default"/>
                <w:b/>
                <w:bCs/>
                <w:spacing w:val="-2"/>
                <w:sz w:val="20"/>
                <w:szCs w:val="20"/>
              </w:rPr>
              <w:t>(</w:t>
            </w:r>
            <w:r>
              <w:rPr>
                <w:rFonts w:ascii="Microsoft JhengHei" w:hAnsi="Microsoft JhengHei" w:cs="Microsoft JhengHei" w:eastAsia="Microsoft JhengHei" w:hint="default"/>
                <w:b/>
                <w:bCs/>
                <w:spacing w:val="-2"/>
                <w:sz w:val="20"/>
                <w:szCs w:val="20"/>
              </w:rPr>
              <w:t>减少以“</w:t>
            </w:r>
            <w:r>
              <w:rPr>
                <w:rFonts w:ascii="Times New Roman" w:hAnsi="Times New Roman" w:cs="Times New Roman" w:eastAsia="Times New Roman" w:hint="default"/>
                <w:b/>
                <w:bCs/>
                <w:spacing w:val="-2"/>
                <w:sz w:val="20"/>
                <w:szCs w:val="20"/>
              </w:rPr>
              <w:t>-</w:t>
            </w:r>
            <w:r>
              <w:rPr>
                <w:rFonts w:ascii="Microsoft JhengHei" w:hAnsi="Microsoft JhengHei" w:cs="Microsoft JhengHei" w:eastAsia="Microsoft JhengHei" w:hint="default"/>
                <w:b/>
                <w:bCs/>
                <w:spacing w:val="-2"/>
                <w:sz w:val="20"/>
                <w:szCs w:val="20"/>
              </w:rPr>
              <w:t>”号</w:t>
            </w:r>
            <w:r>
              <w:rPr>
                <w:rFonts w:ascii="Microsoft JhengHei" w:hAnsi="Microsoft JhengHei" w:cs="Microsoft JhengHei" w:eastAsia="Microsoft JhengHei" w:hint="default"/>
                <w:spacing w:val="-2"/>
                <w:sz w:val="20"/>
                <w:szCs w:val="20"/>
              </w:rPr>
            </w:r>
          </w:p>
          <w:p>
            <w:pPr>
              <w:pStyle w:val="TableParagraph"/>
              <w:spacing w:line="304" w:lineRule="exact"/>
              <w:ind w:left="2" w:right="0"/>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pacing w:val="2"/>
                <w:sz w:val="20"/>
                <w:szCs w:val="20"/>
              </w:rPr>
              <w:t>列示</w:t>
            </w:r>
            <w:r>
              <w:rPr>
                <w:rFonts w:ascii="Times New Roman" w:hAnsi="Times New Roman" w:cs="Times New Roman" w:eastAsia="Times New Roman" w:hint="default"/>
                <w:b/>
                <w:bCs/>
                <w:spacing w:val="2"/>
                <w:sz w:val="20"/>
                <w:szCs w:val="20"/>
              </w:rPr>
              <w:t>)</w:t>
            </w:r>
            <w:r>
              <w:rPr>
                <w:rFonts w:ascii="Times New Roman" w:hAnsi="Times New Roman" w:cs="Times New Roman" w:eastAsia="Times New Roman" w:hint="default"/>
                <w:spacing w:val="2"/>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
              <w:jc w:val="right"/>
              <w:rPr>
                <w:rFonts w:ascii="Times New Roman" w:hAnsi="Times New Roman" w:cs="Times New Roman" w:eastAsia="Times New Roman" w:hint="default"/>
                <w:sz w:val="20"/>
                <w:szCs w:val="20"/>
              </w:rPr>
            </w:pPr>
            <w:r>
              <w:rPr>
                <w:rFonts w:ascii="Times New Roman"/>
                <w:b/>
                <w:w w:val="95"/>
                <w:sz w:val="20"/>
              </w:rPr>
              <w:t>316,444,409.00</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
              <w:jc w:val="right"/>
              <w:rPr>
                <w:rFonts w:ascii="Times New Roman" w:hAnsi="Times New Roman" w:cs="Times New Roman" w:eastAsia="Times New Roman" w:hint="default"/>
                <w:sz w:val="20"/>
                <w:szCs w:val="20"/>
              </w:rPr>
            </w:pPr>
            <w:r>
              <w:rPr>
                <w:rFonts w:ascii="Times New Roman"/>
                <w:b/>
                <w:w w:val="95"/>
                <w:sz w:val="20"/>
              </w:rPr>
              <w:t>-316,163,623.04</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spacing w:val="-1"/>
                <w:sz w:val="20"/>
              </w:rPr>
              <w:t>11,850,797.99</w:t>
            </w:r>
            <w:r>
              <w:rPr>
                <w:rFonts w:ascii="Times New Roman"/>
                <w:spacing w:val="-1"/>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34,048,590.57</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46,180,174.52</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净利润</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spacing w:val="-1"/>
                <w:sz w:val="20"/>
              </w:rPr>
              <w:t>113,720,931.63</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
              <w:jc w:val="right"/>
              <w:rPr>
                <w:rFonts w:ascii="Times New Roman" w:hAnsi="Times New Roman" w:cs="Times New Roman" w:eastAsia="Times New Roman" w:hint="default"/>
                <w:sz w:val="20"/>
                <w:szCs w:val="20"/>
              </w:rPr>
            </w:pPr>
            <w:r>
              <w:rPr>
                <w:rFonts w:ascii="Times New Roman"/>
                <w:b/>
                <w:spacing w:val="-1"/>
                <w:sz w:val="20"/>
              </w:rPr>
              <w:t>113,720,931.63</w:t>
            </w:r>
            <w:r>
              <w:rPr>
                <w:rFonts w:ascii="Times New Roman"/>
                <w:spacing w:val="-1"/>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宋体" w:hAnsi="宋体" w:cs="宋体" w:eastAsia="宋体" w:hint="default"/>
                <w:sz w:val="20"/>
                <w:szCs w:val="20"/>
              </w:rPr>
              <w:t>其它综合收益</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4"/>
              <w:jc w:val="right"/>
              <w:rPr>
                <w:rFonts w:ascii="Times New Roman" w:hAnsi="Times New Roman" w:cs="Times New Roman" w:eastAsia="Times New Roman" w:hint="default"/>
                <w:sz w:val="20"/>
                <w:szCs w:val="20"/>
              </w:rPr>
            </w:pPr>
            <w:r>
              <w:rPr>
                <w:rFonts w:ascii="Times New Roman"/>
                <w:w w:val="95"/>
                <w:sz w:val="20"/>
              </w:rPr>
              <w:t>280,785.96</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5"/>
                <w:sz w:val="20"/>
              </w:rPr>
              <w:t>-12,026.77</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268,759.19</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65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4"/>
              <w:jc w:val="right"/>
              <w:rPr>
                <w:rFonts w:ascii="Times New Roman" w:hAnsi="Times New Roman" w:cs="Times New Roman" w:eastAsia="Times New Roman" w:hint="default"/>
                <w:sz w:val="20"/>
                <w:szCs w:val="20"/>
              </w:rPr>
            </w:pPr>
            <w:r>
              <w:rPr>
                <w:rFonts w:ascii="Times New Roman"/>
                <w:w w:val="95"/>
                <w:sz w:val="20"/>
              </w:rPr>
              <w:t>280,785.96</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5"/>
                <w:sz w:val="20"/>
              </w:rPr>
              <w:t>-12,026.77</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spacing w:val="-1"/>
                <w:sz w:val="20"/>
              </w:rPr>
              <w:t>113,720,931.63</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spacing w:val="-1"/>
                <w:sz w:val="20"/>
              </w:rPr>
              <w:t>113,989,690.82</w:t>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r>
              <w:rPr>
                <w:rFonts w:ascii="宋体" w:hAnsi="宋体" w:cs="宋体" w:eastAsia="宋体" w:hint="default"/>
                <w:sz w:val="20"/>
                <w:szCs w:val="20"/>
              </w:rPr>
              <w:t>所有者投入和减少的资本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、所有者投入资本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151"/>
          <w:footerReference w:type="default" r:id="rId152"/>
          <w:pgSz w:w="16840" w:h="11910" w:orient="landscape"/>
          <w:pgMar w:header="943" w:footer="896" w:top="1640" w:bottom="1080" w:left="1280" w:right="1280"/>
          <w:pgNumType w:start="112"/>
        </w:sectPr>
      </w:pPr>
    </w:p>
    <w:p>
      <w:pPr>
        <w:spacing w:line="240" w:lineRule="auto" w:before="1"/>
        <w:rPr>
          <w:rFonts w:ascii="Times New Roman" w:hAnsi="Times New Roman" w:cs="Times New Roman" w:eastAsia="Times New Roman"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3420"/>
        <w:gridCol w:w="1440"/>
        <w:gridCol w:w="1620"/>
        <w:gridCol w:w="1260"/>
        <w:gridCol w:w="1082"/>
        <w:gridCol w:w="1260"/>
        <w:gridCol w:w="1440"/>
        <w:gridCol w:w="1620"/>
      </w:tblGrid>
      <w:tr>
        <w:trPr>
          <w:trHeight w:val="516" w:hRule="exact"/>
        </w:trPr>
        <w:tc>
          <w:tcPr>
            <w:tcW w:w="342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、股份支付计入所有者权益的金额</w:t>
            </w:r>
          </w:p>
        </w:tc>
        <w:tc>
          <w:tcPr>
            <w:tcW w:w="144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利润分配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spacing w:val="-1"/>
                <w:sz w:val="20"/>
              </w:rPr>
              <w:t>11,862,824.76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5"/>
                <w:sz w:val="20"/>
              </w:rPr>
              <w:t>-79,672,341.06</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5"/>
                <w:sz w:val="20"/>
              </w:rPr>
              <w:t>-67,809,516.30</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spacing w:val="-1"/>
                <w:sz w:val="20"/>
              </w:rPr>
              <w:t>11,862,824.76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spacing w:val="-1"/>
                <w:sz w:val="20"/>
              </w:rPr>
              <w:t>-11,862,824.76</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、对所有者的分配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5"/>
                <w:sz w:val="20"/>
              </w:rPr>
              <w:t>-67,809,516.30</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5"/>
                <w:sz w:val="20"/>
              </w:rPr>
              <w:t>-67,809,516.30</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4"/>
              <w:jc w:val="right"/>
              <w:rPr>
                <w:rFonts w:ascii="Times New Roman" w:hAnsi="Times New Roman" w:cs="Times New Roman" w:eastAsia="Times New Roman" w:hint="default"/>
                <w:sz w:val="20"/>
                <w:szCs w:val="20"/>
              </w:rPr>
            </w:pPr>
            <w:r>
              <w:rPr>
                <w:rFonts w:ascii="Times New Roman"/>
                <w:w w:val="95"/>
                <w:sz w:val="20"/>
              </w:rPr>
              <w:t>316,444,409.00</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4"/>
              <w:jc w:val="right"/>
              <w:rPr>
                <w:rFonts w:ascii="Times New Roman" w:hAnsi="Times New Roman" w:cs="Times New Roman" w:eastAsia="Times New Roman" w:hint="default"/>
                <w:sz w:val="20"/>
                <w:szCs w:val="20"/>
              </w:rPr>
            </w:pPr>
            <w:r>
              <w:rPr>
                <w:rFonts w:ascii="Times New Roman"/>
                <w:w w:val="95"/>
                <w:sz w:val="20"/>
              </w:rPr>
              <w:t>-316,444,409.00</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、资本公积转增资本（或股本）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4"/>
              <w:jc w:val="right"/>
              <w:rPr>
                <w:rFonts w:ascii="Times New Roman" w:hAnsi="Times New Roman" w:cs="Times New Roman" w:eastAsia="Times New Roman" w:hint="default"/>
                <w:sz w:val="20"/>
                <w:szCs w:val="20"/>
              </w:rPr>
            </w:pPr>
            <w:r>
              <w:rPr>
                <w:rFonts w:ascii="Times New Roman"/>
                <w:w w:val="95"/>
                <w:sz w:val="20"/>
              </w:rPr>
              <w:t>316,444,409.00</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4"/>
              <w:jc w:val="right"/>
              <w:rPr>
                <w:rFonts w:ascii="Times New Roman" w:hAnsi="Times New Roman" w:cs="Times New Roman" w:eastAsia="Times New Roman" w:hint="default"/>
                <w:sz w:val="20"/>
                <w:szCs w:val="20"/>
              </w:rPr>
            </w:pPr>
            <w:r>
              <w:rPr>
                <w:rFonts w:ascii="Times New Roman"/>
                <w:w w:val="95"/>
                <w:sz w:val="20"/>
              </w:rPr>
              <w:t>-316,444,409.00</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、盈余公积转增资本（或股本）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
              <w:jc w:val="right"/>
              <w:rPr>
                <w:rFonts w:ascii="Times New Roman" w:hAnsi="Times New Roman" w:cs="Times New Roman" w:eastAsia="Times New Roman" w:hint="default"/>
                <w:sz w:val="20"/>
                <w:szCs w:val="20"/>
              </w:rPr>
            </w:pPr>
            <w:r>
              <w:rPr>
                <w:rFonts w:ascii="Times New Roman"/>
                <w:b/>
                <w:w w:val="95"/>
                <w:sz w:val="20"/>
              </w:rPr>
              <w:t>768,507,851.00</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1,556,894,091.47</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74,772,718.07</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Times New Roman" w:hAnsi="Times New Roman" w:cs="Times New Roman" w:eastAsia="Times New Roman" w:hint="default"/>
                <w:sz w:val="20"/>
                <w:szCs w:val="20"/>
              </w:rPr>
            </w:pPr>
            <w:r>
              <w:rPr>
                <w:rFonts w:ascii="Times New Roman"/>
                <w:b/>
                <w:w w:val="95"/>
                <w:sz w:val="20"/>
              </w:rPr>
              <w:t>172,784,436.32</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5"/>
              <w:jc w:val="right"/>
              <w:rPr>
                <w:rFonts w:ascii="Times New Roman" w:hAnsi="Times New Roman" w:cs="Times New Roman" w:eastAsia="Times New Roman" w:hint="default"/>
                <w:sz w:val="20"/>
                <w:szCs w:val="20"/>
              </w:rPr>
            </w:pPr>
            <w:r>
              <w:rPr>
                <w:rFonts w:ascii="Times New Roman"/>
                <w:b/>
                <w:w w:val="95"/>
                <w:sz w:val="20"/>
              </w:rPr>
              <w:t>2,572,959,096.86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943" w:footer="896" w:top="1640" w:bottom="1080" w:left="1280" w:right="128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33"/>
        <w:ind w:left="13" w:right="0"/>
        <w:jc w:val="center"/>
        <w:rPr>
          <w:b w:val="0"/>
          <w:bCs w:val="0"/>
        </w:rPr>
      </w:pPr>
      <w:r>
        <w:rPr>
          <w:w w:val="105"/>
        </w:rPr>
        <w:t>所有者权益变动表(续)</w:t>
      </w:r>
      <w:r>
        <w:rPr>
          <w:b w:val="0"/>
          <w:bCs w:val="0"/>
        </w:rPr>
      </w:r>
    </w:p>
    <w:p>
      <w:pPr>
        <w:spacing w:before="137"/>
        <w:ind w:left="20" w:right="0"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12503" w:val="left" w:leader="none"/>
        </w:tabs>
        <w:spacing w:line="369" w:lineRule="exact" w:before="81"/>
        <w:ind w:left="186" w:right="0"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tab/>
      </w:r>
      <w:r>
        <w:rPr>
          <w:rFonts w:ascii="Microsoft JhengHei" w:hAnsi="Microsoft JhengHei" w:cs="Microsoft JhengHei" w:eastAsia="Microsoft JhengHei" w:hint="default"/>
          <w:b/>
          <w:bCs/>
          <w:position w:val="13"/>
          <w:sz w:val="20"/>
          <w:szCs w:val="20"/>
        </w:rPr>
        <w:t>单位：元</w:t>
      </w:r>
      <w:r>
        <w:rPr>
          <w:rFonts w:ascii="Microsoft JhengHei" w:hAnsi="Microsoft JhengHei" w:cs="Microsoft JhengHei" w:eastAsia="Microsoft JhengHei" w:hint="default"/>
          <w:b/>
          <w:bCs/>
          <w:spacing w:val="-7"/>
          <w:position w:val="13"/>
          <w:sz w:val="20"/>
          <w:szCs w:val="20"/>
        </w:rPr>
        <w:t> </w:t>
      </w:r>
      <w:r>
        <w:rPr>
          <w:rFonts w:ascii="Microsoft JhengHei" w:hAnsi="Microsoft JhengHei" w:cs="Microsoft JhengHei" w:eastAsia="Microsoft JhengHei" w:hint="default"/>
          <w:b/>
          <w:bCs/>
          <w:position w:val="13"/>
          <w:sz w:val="20"/>
          <w:szCs w:val="20"/>
        </w:rPr>
        <w:t>币</w:t>
      </w:r>
      <w:r>
        <w:rPr>
          <w:rFonts w:ascii="Microsoft JhengHei" w:hAnsi="Microsoft JhengHei" w:cs="Microsoft JhengHei" w:eastAsia="Microsoft JhengHei" w:hint="default"/>
          <w:b/>
          <w:bCs/>
          <w:spacing w:val="-36"/>
          <w:position w:val="13"/>
          <w:sz w:val="20"/>
          <w:szCs w:val="20"/>
        </w:rPr>
        <w:t> </w:t>
      </w:r>
      <w:r>
        <w:rPr>
          <w:rFonts w:ascii="Microsoft JhengHei" w:hAnsi="Microsoft JhengHei" w:cs="Microsoft JhengHei" w:eastAsia="Microsoft JhengHei" w:hint="default"/>
          <w:b/>
          <w:bCs/>
          <w:position w:val="13"/>
          <w:sz w:val="20"/>
          <w:szCs w:val="20"/>
        </w:rPr>
        <w:t>种</w:t>
      </w:r>
      <w:r>
        <w:rPr>
          <w:rFonts w:ascii="Microsoft JhengHei" w:hAnsi="Microsoft JhengHei" w:cs="Microsoft JhengHei" w:eastAsia="Microsoft JhengHei" w:hint="default"/>
          <w:b/>
          <w:bCs/>
          <w:spacing w:val="-36"/>
          <w:position w:val="13"/>
          <w:sz w:val="20"/>
          <w:szCs w:val="20"/>
        </w:rPr>
        <w:t> </w:t>
      </w:r>
      <w:r>
        <w:rPr>
          <w:rFonts w:ascii="Microsoft JhengHei" w:hAnsi="Microsoft JhengHei" w:cs="Microsoft JhengHei" w:eastAsia="Microsoft JhengHei" w:hint="default"/>
          <w:b/>
          <w:bCs/>
          <w:position w:val="13"/>
          <w:sz w:val="20"/>
          <w:szCs w:val="20"/>
        </w:rPr>
        <w:t>：</w:t>
      </w:r>
      <w:r>
        <w:rPr>
          <w:rFonts w:ascii="Microsoft JhengHei" w:hAnsi="Microsoft JhengHei" w:cs="Microsoft JhengHei" w:eastAsia="Microsoft JhengHei" w:hint="default"/>
          <w:sz w:val="20"/>
          <w:szCs w:val="20"/>
        </w:rPr>
      </w:r>
    </w:p>
    <w:p>
      <w:pPr>
        <w:spacing w:line="239" w:lineRule="exact" w:before="0"/>
        <w:ind w:left="0" w:right="227" w:firstLine="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人民币</w:t>
      </w:r>
      <w:r>
        <w:rPr>
          <w:rFonts w:ascii="Microsoft JhengHei" w:hAnsi="Microsoft JhengHei" w:cs="Microsoft JhengHei" w:eastAsia="Microsoft JhengHei" w:hint="default"/>
          <w:sz w:val="20"/>
          <w:szCs w:val="2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33" w:type="dxa"/>
        <w:tblLayout w:type="fixed"/>
        <w:tblCellMar>
          <w:top w:w="0" w:type="dxa"/>
          <w:left w:w="0" w:type="dxa"/>
          <w:bottom w:w="0" w:type="dxa"/>
          <w:right w:w="0" w:type="dxa"/>
        </w:tblCellMar>
        <w:tblLook w:val="01E0"/>
      </w:tblPr>
      <w:tblGrid>
        <w:gridCol w:w="3310"/>
        <w:gridCol w:w="1466"/>
        <w:gridCol w:w="1615"/>
        <w:gridCol w:w="1169"/>
        <w:gridCol w:w="1440"/>
        <w:gridCol w:w="1800"/>
        <w:gridCol w:w="1464"/>
        <w:gridCol w:w="1776"/>
      </w:tblGrid>
      <w:tr>
        <w:trPr>
          <w:trHeight w:val="569"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tabs>
                <w:tab w:pos="602" w:val="left" w:leader="none"/>
              </w:tabs>
              <w:spacing w:line="240" w:lineRule="auto" w:before="53"/>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实收资本</w:t>
            </w:r>
            <w:r>
              <w:rPr>
                <w:rFonts w:ascii="Microsoft JhengHei" w:hAnsi="Microsoft JhengHei" w:cs="Microsoft JhengHei" w:eastAsia="Microsoft JhengHei" w:hint="default"/>
                <w:sz w:val="20"/>
                <w:szCs w:val="20"/>
              </w:rPr>
            </w:r>
          </w:p>
          <w:p>
            <w:pPr>
              <w:pStyle w:val="TableParagraph"/>
              <w:spacing w:line="30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（或股本）</w:t>
            </w:r>
            <w:r>
              <w:rPr>
                <w:rFonts w:ascii="Microsoft JhengHei" w:hAnsi="Microsoft JhengHei" w:cs="Microsoft JhengHei" w:eastAsia="Microsoft JhengHei" w:hint="default"/>
                <w:sz w:val="20"/>
                <w:szCs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4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1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0"/>
                <w:sz w:val="20"/>
                <w:szCs w:val="20"/>
              </w:rPr>
              <w:t>减：库存股</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3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专项储备</w:t>
            </w:r>
            <w:r>
              <w:rPr>
                <w:rFonts w:ascii="Microsoft JhengHei" w:hAnsi="Microsoft JhengHei" w:cs="Microsoft JhengHei" w:eastAsia="Microsoft JhengHei" w:hint="default"/>
                <w:sz w:val="20"/>
                <w:szCs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49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22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18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509"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387,663,442.00</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802,439,955.81</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153,163,502.20</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1"/>
              <w:jc w:val="right"/>
              <w:rPr>
                <w:rFonts w:ascii="Times New Roman" w:hAnsi="Times New Roman" w:cs="Times New Roman" w:eastAsia="Times New Roman" w:hint="default"/>
                <w:sz w:val="20"/>
                <w:szCs w:val="20"/>
              </w:rPr>
            </w:pPr>
            <w:r>
              <w:rPr>
                <w:rFonts w:ascii="Times New Roman"/>
                <w:b/>
                <w:w w:val="95"/>
                <w:sz w:val="20"/>
              </w:rPr>
              <w:t>-33,295,965.83</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1,309,970,934.18</w:t>
            </w:r>
            <w:r>
              <w:rPr>
                <w:rFonts w:ascii="Times New Roman"/>
                <w:sz w:val="20"/>
              </w:rPr>
            </w:r>
          </w:p>
        </w:tc>
      </w:tr>
      <w:tr>
        <w:trPr>
          <w:trHeight w:val="511"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04"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2,036,567.02</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5"/>
                <w:sz w:val="20"/>
              </w:rPr>
              <w:t>2,036,567.02</w:t>
            </w:r>
            <w:r>
              <w:rPr>
                <w:rFonts w:ascii="Times New Roman"/>
                <w:sz w:val="20"/>
              </w:rPr>
            </w:r>
          </w:p>
        </w:tc>
      </w:tr>
      <w:tr>
        <w:trPr>
          <w:trHeight w:val="509"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602"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602"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387,663,442.00</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802,439,955.81</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153,163,502.20</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1"/>
              <w:jc w:val="right"/>
              <w:rPr>
                <w:rFonts w:ascii="Times New Roman" w:hAnsi="Times New Roman" w:cs="Times New Roman" w:eastAsia="Times New Roman" w:hint="default"/>
                <w:sz w:val="20"/>
                <w:szCs w:val="20"/>
              </w:rPr>
            </w:pPr>
            <w:r>
              <w:rPr>
                <w:rFonts w:ascii="Times New Roman"/>
                <w:b/>
                <w:w w:val="95"/>
                <w:sz w:val="20"/>
              </w:rPr>
              <w:t>-31,259,398.81</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1,312,007,501.20</w:t>
            </w:r>
            <w:r>
              <w:rPr>
                <w:rFonts w:ascii="Times New Roman"/>
                <w:sz w:val="20"/>
              </w:rPr>
            </w:r>
          </w:p>
        </w:tc>
      </w:tr>
      <w:tr>
        <w:trPr>
          <w:trHeight w:val="511"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12"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w w:val="99"/>
                <w:sz w:val="20"/>
                <w:szCs w:val="20"/>
              </w:rPr>
              <w:t>三</w:t>
            </w:r>
            <w:r>
              <w:rPr>
                <w:rFonts w:ascii="Microsoft JhengHei" w:hAnsi="Microsoft JhengHei" w:cs="Microsoft JhengHei" w:eastAsia="Microsoft JhengHei" w:hint="default"/>
                <w:b/>
                <w:bCs/>
                <w:spacing w:val="-58"/>
                <w:w w:val="99"/>
                <w:sz w:val="20"/>
                <w:szCs w:val="20"/>
              </w:rPr>
              <w:t>、</w:t>
            </w:r>
            <w:r>
              <w:rPr>
                <w:rFonts w:ascii="Microsoft JhengHei" w:hAnsi="Microsoft JhengHei" w:cs="Microsoft JhengHei" w:eastAsia="Microsoft JhengHei" w:hint="default"/>
                <w:b/>
                <w:bCs/>
                <w:spacing w:val="2"/>
                <w:w w:val="99"/>
                <w:sz w:val="20"/>
                <w:szCs w:val="20"/>
              </w:rPr>
              <w:t>本年增减变动金</w:t>
            </w:r>
            <w:r>
              <w:rPr>
                <w:rFonts w:ascii="Microsoft JhengHei" w:hAnsi="Microsoft JhengHei" w:cs="Microsoft JhengHei" w:eastAsia="Microsoft JhengHei" w:hint="default"/>
                <w:b/>
                <w:bCs/>
                <w:spacing w:val="-8"/>
                <w:w w:val="99"/>
                <w:sz w:val="20"/>
                <w:szCs w:val="20"/>
              </w:rPr>
              <w:t>额</w:t>
            </w:r>
            <w:r>
              <w:rPr>
                <w:rFonts w:ascii="Microsoft JhengHei" w:hAnsi="Microsoft JhengHei" w:cs="Microsoft JhengHei" w:eastAsia="Microsoft JhengHei" w:hint="default"/>
                <w:b/>
                <w:bCs/>
                <w:spacing w:val="1"/>
                <w:w w:val="141"/>
                <w:sz w:val="20"/>
                <w:szCs w:val="20"/>
              </w:rPr>
              <w:t>(</w:t>
            </w:r>
            <w:r>
              <w:rPr>
                <w:rFonts w:ascii="Microsoft JhengHei" w:hAnsi="Microsoft JhengHei" w:cs="Microsoft JhengHei" w:eastAsia="Microsoft JhengHei" w:hint="default"/>
                <w:b/>
                <w:bCs/>
                <w:w w:val="90"/>
                <w:sz w:val="20"/>
                <w:szCs w:val="20"/>
              </w:rPr>
              <w:t>减</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w w:val="90"/>
                <w:sz w:val="20"/>
                <w:szCs w:val="20"/>
              </w:rPr>
              <w:t>少</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pacing w:val="-41"/>
                <w:w w:val="90"/>
                <w:sz w:val="20"/>
                <w:szCs w:val="20"/>
              </w:rPr>
              <w:t>以</w:t>
            </w:r>
            <w:r>
              <w:rPr>
                <w:rFonts w:ascii="Microsoft JhengHei" w:hAnsi="Microsoft JhengHei" w:cs="Microsoft JhengHei" w:eastAsia="Microsoft JhengHei" w:hint="default"/>
                <w:b/>
                <w:bCs/>
                <w:spacing w:val="2"/>
                <w:w w:val="99"/>
                <w:sz w:val="20"/>
                <w:szCs w:val="20"/>
              </w:rPr>
              <w:t>“</w:t>
            </w:r>
            <w:r>
              <w:rPr>
                <w:rFonts w:ascii="Microsoft JhengHei" w:hAnsi="Microsoft JhengHei" w:cs="Microsoft JhengHei" w:eastAsia="Microsoft JhengHei" w:hint="default"/>
                <w:b/>
                <w:bCs/>
                <w:spacing w:val="1"/>
                <w:w w:val="114"/>
                <w:sz w:val="20"/>
                <w:szCs w:val="20"/>
              </w:rPr>
              <w:t>-</w:t>
            </w:r>
            <w:r>
              <w:rPr>
                <w:rFonts w:ascii="Microsoft JhengHei" w:hAnsi="Microsoft JhengHei" w:cs="Microsoft JhengHei" w:eastAsia="Microsoft JhengHei" w:hint="default"/>
                <w:b/>
                <w:bCs/>
                <w:w w:val="50"/>
                <w:sz w:val="20"/>
                <w:szCs w:val="20"/>
              </w:rPr>
              <w:t>”</w:t>
            </w:r>
            <w:r>
              <w:rPr>
                <w:rFonts w:ascii="Microsoft JhengHei" w:hAnsi="Microsoft JhengHei" w:cs="Microsoft JhengHei" w:eastAsia="Microsoft JhengHei" w:hint="default"/>
                <w:sz w:val="20"/>
                <w:szCs w:val="20"/>
              </w:rPr>
            </w:r>
          </w:p>
          <w:p>
            <w:pPr>
              <w:pStyle w:val="TableParagraph"/>
              <w:spacing w:line="305"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10"/>
                <w:sz w:val="20"/>
                <w:szCs w:val="20"/>
              </w:rPr>
              <w:t>号列示)</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64,400,000.00</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1,070,617,758.70</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-90,241,582.12</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170,103,485.49</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1,214,879,662.07</w:t>
            </w:r>
            <w:r>
              <w:rPr>
                <w:rFonts w:ascii="Times New Roman"/>
                <w:sz w:val="20"/>
              </w:rPr>
            </w:r>
          </w:p>
        </w:tc>
      </w:tr>
      <w:tr>
        <w:trPr>
          <w:trHeight w:val="509"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0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7"/>
              <w:jc w:val="right"/>
              <w:rPr>
                <w:rFonts w:ascii="Times New Roman" w:hAnsi="Times New Roman" w:cs="Times New Roman" w:eastAsia="Times New Roman" w:hint="default"/>
                <w:sz w:val="20"/>
                <w:szCs w:val="20"/>
              </w:rPr>
            </w:pPr>
            <w:r>
              <w:rPr>
                <w:rFonts w:ascii="Times New Roman"/>
                <w:w w:val="95"/>
                <w:sz w:val="20"/>
              </w:rPr>
              <w:t>118,628,247.57</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4"/>
              <w:jc w:val="right"/>
              <w:rPr>
                <w:rFonts w:ascii="Times New Roman" w:hAnsi="Times New Roman" w:cs="Times New Roman" w:eastAsia="Times New Roman" w:hint="default"/>
                <w:sz w:val="20"/>
                <w:szCs w:val="20"/>
              </w:rPr>
            </w:pPr>
            <w:r>
              <w:rPr>
                <w:rFonts w:ascii="Times New Roman"/>
                <w:b/>
                <w:w w:val="95"/>
                <w:sz w:val="20"/>
              </w:rPr>
              <w:t>118,628,247.57</w:t>
            </w:r>
            <w:r>
              <w:rPr>
                <w:rFonts w:ascii="Times New Roman"/>
                <w:sz w:val="20"/>
              </w:rPr>
            </w:r>
          </w:p>
        </w:tc>
      </w:tr>
      <w:tr>
        <w:trPr>
          <w:trHeight w:val="511"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04" w:right="0"/>
              <w:jc w:val="left"/>
              <w:rPr>
                <w:rFonts w:ascii="宋体" w:hAnsi="宋体" w:cs="宋体" w:eastAsia="宋体" w:hint="default"/>
                <w:sz w:val="20"/>
                <w:szCs w:val="20"/>
              </w:rPr>
            </w:pPr>
            <w:r>
              <w:rPr>
                <w:rFonts w:ascii="宋体" w:hAnsi="宋体" w:cs="宋体" w:eastAsia="宋体" w:hint="default"/>
                <w:sz w:val="20"/>
                <w:szCs w:val="20"/>
              </w:rPr>
              <w:t>(二)其它综合收益</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59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7"/>
              <w:jc w:val="right"/>
              <w:rPr>
                <w:rFonts w:ascii="Times New Roman" w:hAnsi="Times New Roman" w:cs="Times New Roman" w:eastAsia="Times New Roman" w:hint="default"/>
                <w:sz w:val="20"/>
                <w:szCs w:val="20"/>
              </w:rPr>
            </w:pPr>
            <w:r>
              <w:rPr>
                <w:rFonts w:ascii="Times New Roman"/>
                <w:w w:val="95"/>
                <w:sz w:val="20"/>
              </w:rPr>
              <w:t>118,628,247.57</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w w:val="95"/>
                <w:sz w:val="20"/>
              </w:rPr>
              <w:t>118,628,247.57</w:t>
            </w:r>
            <w:r>
              <w:rPr>
                <w:rFonts w:ascii="Times New Roman"/>
                <w:sz w:val="20"/>
              </w:rPr>
            </w:r>
          </w:p>
        </w:tc>
      </w:tr>
      <w:tr>
        <w:trPr>
          <w:trHeight w:val="511"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04" w:right="0"/>
              <w:jc w:val="left"/>
              <w:rPr>
                <w:rFonts w:ascii="宋体" w:hAnsi="宋体" w:cs="宋体" w:eastAsia="宋体" w:hint="default"/>
                <w:sz w:val="20"/>
                <w:szCs w:val="20"/>
              </w:rPr>
            </w:pPr>
            <w:r>
              <w:rPr>
                <w:rFonts w:ascii="宋体" w:hAnsi="宋体" w:cs="宋体" w:eastAsia="宋体" w:hint="default"/>
                <w:sz w:val="20"/>
                <w:szCs w:val="20"/>
              </w:rPr>
              <w:t>(三)所有者投入和减少的资本</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64,400,000.00</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1,070,617,758.70</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1,135,017,758.70</w:t>
            </w:r>
            <w:r>
              <w:rPr>
                <w:rFonts w:ascii="Times New Roman"/>
                <w:sz w:val="20"/>
              </w:rPr>
            </w:r>
          </w:p>
        </w:tc>
      </w:tr>
      <w:tr>
        <w:trPr>
          <w:trHeight w:val="509" w:hRule="exact"/>
        </w:trPr>
        <w:tc>
          <w:tcPr>
            <w:tcW w:w="3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302"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w w:val="95"/>
                <w:sz w:val="20"/>
              </w:rPr>
              <w:t>64,400,000.00</w:t>
            </w:r>
            <w:r>
              <w:rPr>
                <w:rFonts w:ascii="Times New Roman"/>
                <w:sz w:val="20"/>
              </w:rPr>
            </w:r>
          </w:p>
        </w:tc>
        <w:tc>
          <w:tcPr>
            <w:tcW w:w="16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w w:val="95"/>
                <w:sz w:val="20"/>
              </w:rPr>
              <w:t>1,070,617,758.70</w:t>
            </w:r>
            <w:r>
              <w:rPr>
                <w:rFonts w:ascii="Times New Roman"/>
                <w:sz w:val="20"/>
              </w:rPr>
            </w:r>
          </w:p>
        </w:tc>
        <w:tc>
          <w:tcPr>
            <w:tcW w:w="11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w w:val="95"/>
                <w:sz w:val="20"/>
              </w:rPr>
              <w:t>1,135,017,758.70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943" w:footer="896" w:top="1640" w:bottom="1080" w:left="1280" w:right="1260"/>
        </w:sectPr>
      </w:pPr>
    </w:p>
    <w:p>
      <w:pPr>
        <w:spacing w:line="240" w:lineRule="auto" w:before="1"/>
        <w:rPr>
          <w:rFonts w:ascii="Times New Roman" w:hAnsi="Times New Roman" w:cs="Times New Roman" w:eastAsia="Times New Roman"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3312"/>
        <w:gridCol w:w="1464"/>
        <w:gridCol w:w="1618"/>
        <w:gridCol w:w="1166"/>
        <w:gridCol w:w="1442"/>
        <w:gridCol w:w="1800"/>
        <w:gridCol w:w="1464"/>
        <w:gridCol w:w="1776"/>
      </w:tblGrid>
      <w:tr>
        <w:trPr>
          <w:trHeight w:val="516" w:hRule="exact"/>
        </w:trPr>
        <w:tc>
          <w:tcPr>
            <w:tcW w:w="3312" w:type="dxa"/>
            <w:tcBorders>
              <w:top w:val="nil" w:sz="6" w:space="0" w:color="auto"/>
              <w:left w:val="single" w:sz="4" w:space="0" w:color="000008"/>
              <w:bottom w:val="single" w:sz="4" w:space="0" w:color="000008"/>
              <w:right w:val="single" w:sz="4" w:space="0" w:color="000008"/>
            </w:tcBorders>
          </w:tcPr>
          <w:p>
            <w:pPr>
              <w:pStyle w:val="TableParagraph"/>
              <w:spacing w:line="231" w:lineRule="exact"/>
              <w:ind w:left="304"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464"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42"/>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6,553,575.92</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-45,319,920.12</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-38,766,344.20</w:t>
            </w:r>
            <w:r>
              <w:rPr>
                <w:rFonts w:ascii="Times New Roman"/>
                <w:sz w:val="20"/>
              </w:rPr>
            </w:r>
          </w:p>
        </w:tc>
      </w:tr>
      <w:tr>
        <w:trPr>
          <w:trHeight w:val="509"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6,553,575.92</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-6,553,575.92</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2、对所有者的分配</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-38,766,344.20</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-38,766,344.20</w:t>
            </w:r>
            <w:r>
              <w:rPr>
                <w:rFonts w:ascii="Times New Roman"/>
                <w:sz w:val="20"/>
              </w:rPr>
            </w:r>
          </w:p>
        </w:tc>
      </w:tr>
      <w:tr>
        <w:trPr>
          <w:trHeight w:val="509"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-96,795,158.04</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96,795,158.04</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09"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w w:val="95"/>
                <w:sz w:val="20"/>
                <w:szCs w:val="20"/>
              </w:rPr>
              <w:t>1、资本公积转增资本（或股本）</w:t>
            </w:r>
            <w:r>
              <w:rPr>
                <w:rFonts w:ascii="宋体" w:hAnsi="宋体" w:cs="宋体" w:eastAsia="宋体" w:hint="default"/>
                <w:sz w:val="20"/>
                <w:szCs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w w:val="95"/>
                <w:sz w:val="20"/>
                <w:szCs w:val="20"/>
              </w:rPr>
              <w:t>2、盈余公积转增资本（或股本）</w:t>
            </w:r>
            <w:r>
              <w:rPr>
                <w:rFonts w:ascii="宋体" w:hAnsi="宋体" w:cs="宋体" w:eastAsia="宋体" w:hint="default"/>
                <w:sz w:val="20"/>
                <w:szCs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-96,795,158.04</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7"/>
              <w:jc w:val="right"/>
              <w:rPr>
                <w:rFonts w:ascii="Times New Roman" w:hAnsi="Times New Roman" w:cs="Times New Roman" w:eastAsia="Times New Roman" w:hint="default"/>
                <w:sz w:val="20"/>
                <w:szCs w:val="20"/>
              </w:rPr>
            </w:pPr>
            <w:r>
              <w:rPr>
                <w:rFonts w:ascii="Times New Roman"/>
                <w:w w:val="95"/>
                <w:sz w:val="20"/>
              </w:rPr>
              <w:t>96,795,158.04</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11"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05" w:right="0"/>
              <w:jc w:val="left"/>
              <w:rPr>
                <w:rFonts w:ascii="宋体" w:hAnsi="宋体" w:cs="宋体" w:eastAsia="宋体" w:hint="default"/>
                <w:sz w:val="20"/>
                <w:szCs w:val="20"/>
              </w:rPr>
            </w:pPr>
            <w:r>
              <w:rPr>
                <w:rFonts w:ascii="宋体" w:hAnsi="宋体" w:cs="宋体" w:eastAsia="宋体" w:hint="default"/>
                <w:sz w:val="20"/>
                <w:szCs w:val="20"/>
              </w:rPr>
              <w:t>1、本期提取</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09"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05" w:right="0"/>
              <w:jc w:val="left"/>
              <w:rPr>
                <w:rFonts w:ascii="宋体" w:hAnsi="宋体" w:cs="宋体" w:eastAsia="宋体" w:hint="default"/>
                <w:sz w:val="20"/>
                <w:szCs w:val="20"/>
              </w:rPr>
            </w:pPr>
            <w:r>
              <w:rPr>
                <w:rFonts w:ascii="宋体" w:hAnsi="宋体" w:cs="宋体" w:eastAsia="宋体" w:hint="default"/>
                <w:sz w:val="20"/>
                <w:szCs w:val="20"/>
              </w:rPr>
              <w:t>2、本期使用</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11" w:hRule="exact"/>
        </w:trPr>
        <w:tc>
          <w:tcPr>
            <w:tcW w:w="33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2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452,063,442.00</w:t>
            </w:r>
            <w:r>
              <w:rPr>
                <w:rFonts w:ascii="Times New Roman"/>
                <w:sz w:val="20"/>
              </w:rPr>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1,873,057,714.51</w:t>
            </w:r>
            <w:r>
              <w:rPr>
                <w:rFonts w:ascii="Times New Roman"/>
                <w:sz w:val="20"/>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62,921,920.08</w:t>
            </w:r>
            <w:r>
              <w:rPr>
                <w:rFonts w:ascii="Times New Roman"/>
                <w:sz w:val="20"/>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1"/>
              <w:jc w:val="right"/>
              <w:rPr>
                <w:rFonts w:ascii="Times New Roman" w:hAnsi="Times New Roman" w:cs="Times New Roman" w:eastAsia="Times New Roman" w:hint="default"/>
                <w:sz w:val="20"/>
                <w:szCs w:val="20"/>
              </w:rPr>
            </w:pPr>
            <w:r>
              <w:rPr>
                <w:rFonts w:ascii="Times New Roman"/>
                <w:b/>
                <w:w w:val="95"/>
                <w:sz w:val="20"/>
              </w:rPr>
              <w:t>138,844,086.68</w:t>
            </w:r>
            <w:r>
              <w:rPr>
                <w:rFonts w:ascii="Times New Roman"/>
                <w:sz w:val="20"/>
              </w:rPr>
            </w:r>
          </w:p>
        </w:tc>
        <w:tc>
          <w:tcPr>
            <w:tcW w:w="17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4"/>
              <w:jc w:val="right"/>
              <w:rPr>
                <w:rFonts w:ascii="Times New Roman" w:hAnsi="Times New Roman" w:cs="Times New Roman" w:eastAsia="Times New Roman" w:hint="default"/>
                <w:sz w:val="20"/>
                <w:szCs w:val="20"/>
              </w:rPr>
            </w:pPr>
            <w:r>
              <w:rPr>
                <w:rFonts w:ascii="Times New Roman"/>
                <w:b/>
                <w:w w:val="95"/>
                <w:sz w:val="20"/>
              </w:rPr>
              <w:t>2,526,887,163.27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943" w:footer="896" w:top="1640" w:bottom="1080" w:left="1280" w:right="1260"/>
        </w:sectPr>
      </w:pPr>
    </w:p>
    <w:p>
      <w:pPr>
        <w:spacing w:line="240" w:lineRule="auto" w:before="9"/>
        <w:rPr>
          <w:rFonts w:ascii="Times New Roman" w:hAnsi="Times New Roman" w:cs="Times New Roman" w:eastAsia="Times New Roman" w:hint="default"/>
          <w:sz w:val="20"/>
          <w:szCs w:val="20"/>
        </w:rPr>
      </w:pPr>
    </w:p>
    <w:p>
      <w:pPr>
        <w:spacing w:before="36"/>
        <w:ind w:left="561" w:right="0" w:firstLine="0"/>
        <w:jc w:val="left"/>
        <w:rPr>
          <w:rFonts w:ascii="宋体" w:hAnsi="宋体" w:cs="宋体" w:eastAsia="宋体" w:hint="default"/>
          <w:sz w:val="21"/>
          <w:szCs w:val="21"/>
        </w:rPr>
      </w:pPr>
      <w:r>
        <w:rPr>
          <w:rFonts w:ascii="宋体" w:hAnsi="宋体" w:cs="宋体" w:eastAsia="宋体" w:hint="default"/>
          <w:sz w:val="21"/>
          <w:szCs w:val="21"/>
        </w:rPr>
        <w:t>附注一、公司的基本情况</w:t>
      </w:r>
    </w:p>
    <w:p>
      <w:pPr>
        <w:spacing w:line="240" w:lineRule="auto" w:before="3"/>
        <w:rPr>
          <w:rFonts w:ascii="宋体" w:hAnsi="宋体" w:cs="宋体" w:eastAsia="宋体" w:hint="default"/>
          <w:sz w:val="23"/>
          <w:szCs w:val="23"/>
        </w:rPr>
      </w:pPr>
    </w:p>
    <w:p>
      <w:pPr>
        <w:spacing w:before="0"/>
        <w:ind w:left="5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公司历史沿革</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pacing w:val="-5"/>
          <w:sz w:val="21"/>
          <w:szCs w:val="21"/>
        </w:rPr>
        <w:t>深圳市农产品股份有限公司（以下简称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本公司或公司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1988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日经深圳市人</w:t>
      </w:r>
    </w:p>
    <w:p>
      <w:pPr>
        <w:spacing w:line="328" w:lineRule="auto" w:before="110"/>
        <w:ind w:left="141" w:right="179" w:firstLine="0"/>
        <w:jc w:val="both"/>
        <w:rPr>
          <w:rFonts w:ascii="宋体" w:hAnsi="宋体" w:cs="宋体" w:eastAsia="宋体" w:hint="default"/>
          <w:sz w:val="21"/>
          <w:szCs w:val="21"/>
        </w:rPr>
      </w:pPr>
      <w:r>
        <w:rPr>
          <w:rFonts w:ascii="宋体" w:hAnsi="宋体" w:cs="宋体" w:eastAsia="宋体" w:hint="default"/>
          <w:sz w:val="21"/>
          <w:szCs w:val="21"/>
        </w:rPr>
        <w:t>民政府以</w:t>
      </w:r>
      <w:r>
        <w:rPr>
          <w:rFonts w:ascii="Times New Roman" w:hAnsi="Times New Roman" w:cs="Times New Roman" w:eastAsia="Times New Roman" w:hint="default"/>
          <w:sz w:val="21"/>
          <w:szCs w:val="21"/>
        </w:rPr>
        <w:t>“</w:t>
      </w:r>
      <w:r>
        <w:rPr>
          <w:rFonts w:ascii="宋体" w:hAnsi="宋体" w:cs="宋体" w:eastAsia="宋体" w:hint="default"/>
          <w:sz w:val="21"/>
          <w:szCs w:val="21"/>
        </w:rPr>
        <w:t>深府办（</w:t>
      </w:r>
      <w:r>
        <w:rPr>
          <w:rFonts w:ascii="Times New Roman" w:hAnsi="Times New Roman" w:cs="Times New Roman" w:eastAsia="Times New Roman" w:hint="default"/>
          <w:sz w:val="21"/>
          <w:szCs w:val="21"/>
        </w:rPr>
        <w:t>1988</w:t>
      </w:r>
      <w:r>
        <w:rPr>
          <w:rFonts w:ascii="宋体" w:hAnsi="宋体" w:cs="宋体" w:eastAsia="宋体" w:hint="default"/>
          <w:sz w:val="21"/>
          <w:szCs w:val="21"/>
        </w:rPr>
        <w:t>）</w:t>
      </w:r>
      <w:r>
        <w:rPr>
          <w:rFonts w:ascii="Times New Roman" w:hAnsi="Times New Roman" w:cs="Times New Roman" w:eastAsia="Times New Roman" w:hint="default"/>
          <w:sz w:val="21"/>
          <w:szCs w:val="21"/>
        </w:rPr>
        <w:t>1181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日经深圳市工商行政管理局注</w:t>
      </w:r>
      <w:r>
        <w:rPr>
          <w:rFonts w:ascii="宋体" w:hAnsi="宋体" w:cs="宋体" w:eastAsia="宋体" w:hint="default"/>
          <w:w w:val="100"/>
          <w:sz w:val="21"/>
          <w:szCs w:val="21"/>
        </w:rPr>
        <w:t> </w:t>
      </w:r>
      <w:r>
        <w:rPr>
          <w:rFonts w:ascii="宋体" w:hAnsi="宋体" w:cs="宋体" w:eastAsia="宋体" w:hint="default"/>
          <w:sz w:val="21"/>
          <w:szCs w:val="21"/>
        </w:rPr>
        <w:t>册成立的市属国有企业，原名</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深圳市农产品批发公司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8"/>
        <w:rPr>
          <w:rFonts w:ascii="宋体" w:hAnsi="宋体" w:cs="宋体" w:eastAsia="宋体" w:hint="default"/>
          <w:sz w:val="15"/>
          <w:szCs w:val="15"/>
        </w:rPr>
      </w:pPr>
    </w:p>
    <w:p>
      <w:pPr>
        <w:spacing w:line="328" w:lineRule="auto" w:before="0"/>
        <w:ind w:left="141" w:right="15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日，经深圳市人民政府以</w:t>
      </w:r>
      <w:r>
        <w:rPr>
          <w:rFonts w:ascii="Times New Roman" w:hAnsi="Times New Roman" w:cs="Times New Roman" w:eastAsia="Times New Roman" w:hint="default"/>
          <w:sz w:val="21"/>
          <w:szCs w:val="21"/>
        </w:rPr>
        <w:t>“</w:t>
      </w:r>
      <w:r>
        <w:rPr>
          <w:rFonts w:ascii="宋体" w:hAnsi="宋体" w:cs="宋体" w:eastAsia="宋体" w:hint="default"/>
          <w:sz w:val="21"/>
          <w:szCs w:val="21"/>
        </w:rPr>
        <w:t>深府办</w:t>
      </w:r>
      <w:r>
        <w:rPr>
          <w:rFonts w:ascii="Times New Roman" w:hAnsi="Times New Roman" w:cs="Times New Roman" w:eastAsia="Times New Roman" w:hint="default"/>
          <w:sz w:val="21"/>
          <w:szCs w:val="21"/>
        </w:rPr>
        <w:t>[1993]676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文批准，并经深圳市工商行</w:t>
      </w:r>
      <w:r>
        <w:rPr>
          <w:rFonts w:ascii="宋体" w:hAnsi="宋体" w:cs="宋体" w:eastAsia="宋体" w:hint="default"/>
          <w:w w:val="100"/>
          <w:sz w:val="21"/>
          <w:szCs w:val="21"/>
        </w:rPr>
        <w:t> </w:t>
      </w:r>
      <w:r>
        <w:rPr>
          <w:rFonts w:ascii="宋体" w:hAnsi="宋体" w:cs="宋体" w:eastAsia="宋体" w:hint="default"/>
          <w:sz w:val="21"/>
          <w:szCs w:val="21"/>
        </w:rPr>
        <w:t>政管理局核准，本公司改组为股份有限公司，并更名为</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深圳市农产品股份有限公司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8"/>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日，经深圳市人民政府办公厅以</w:t>
      </w:r>
      <w:r>
        <w:rPr>
          <w:rFonts w:ascii="Times New Roman" w:hAnsi="Times New Roman" w:cs="Times New Roman" w:eastAsia="Times New Roman" w:hint="default"/>
          <w:sz w:val="21"/>
          <w:szCs w:val="21"/>
        </w:rPr>
        <w:t>“</w:t>
      </w:r>
      <w:r>
        <w:rPr>
          <w:rFonts w:ascii="宋体" w:hAnsi="宋体" w:cs="宋体" w:eastAsia="宋体" w:hint="default"/>
          <w:sz w:val="21"/>
          <w:szCs w:val="21"/>
        </w:rPr>
        <w:t>深府办</w:t>
      </w:r>
      <w:r>
        <w:rPr>
          <w:rFonts w:ascii="Times New Roman" w:hAnsi="Times New Roman" w:cs="Times New Roman" w:eastAsia="Times New Roman" w:hint="default"/>
          <w:sz w:val="21"/>
          <w:szCs w:val="21"/>
        </w:rPr>
        <w:t>[1996]150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文批准本公司改组</w:t>
      </w:r>
    </w:p>
    <w:p>
      <w:pPr>
        <w:spacing w:line="331" w:lineRule="auto" w:before="107"/>
        <w:ind w:left="141" w:right="104" w:firstLine="0"/>
        <w:jc w:val="both"/>
        <w:rPr>
          <w:rFonts w:ascii="宋体" w:hAnsi="宋体" w:cs="宋体" w:eastAsia="宋体" w:hint="default"/>
          <w:sz w:val="21"/>
          <w:szCs w:val="21"/>
        </w:rPr>
      </w:pPr>
      <w:r>
        <w:rPr>
          <w:rFonts w:ascii="宋体" w:hAnsi="宋体" w:cs="宋体" w:eastAsia="宋体" w:hint="default"/>
          <w:spacing w:val="-4"/>
          <w:sz w:val="21"/>
          <w:szCs w:val="21"/>
        </w:rPr>
        <w:t>为以募集方式设立的股份有限公司，</w:t>
      </w:r>
      <w:r>
        <w:rPr>
          <w:rFonts w:ascii="Times New Roman" w:hAnsi="Times New Roman" w:cs="Times New Roman" w:eastAsia="Times New Roman" w:hint="default"/>
          <w:spacing w:val="-4"/>
          <w:sz w:val="21"/>
          <w:szCs w:val="21"/>
        </w:rPr>
        <w:t>1996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日经中国证券监督管理委员会以</w:t>
      </w:r>
      <w:r>
        <w:rPr>
          <w:rFonts w:ascii="Times New Roman" w:hAnsi="Times New Roman" w:cs="Times New Roman" w:eastAsia="Times New Roman" w:hint="default"/>
          <w:sz w:val="21"/>
          <w:szCs w:val="21"/>
        </w:rPr>
        <w:t>“</w:t>
      </w:r>
      <w:r>
        <w:rPr>
          <w:rFonts w:ascii="宋体" w:hAnsi="宋体" w:cs="宋体" w:eastAsia="宋体" w:hint="default"/>
          <w:sz w:val="21"/>
          <w:szCs w:val="21"/>
        </w:rPr>
        <w:t>证监发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审字（</w:t>
      </w:r>
      <w:r>
        <w:rPr>
          <w:rFonts w:ascii="Times New Roman" w:hAnsi="Times New Roman" w:cs="Times New Roman" w:eastAsia="Times New Roman" w:hint="default"/>
          <w:sz w:val="21"/>
          <w:szCs w:val="21"/>
        </w:rPr>
        <w:t>1996</w:t>
      </w:r>
      <w:r>
        <w:rPr>
          <w:rFonts w:ascii="宋体" w:hAnsi="宋体" w:cs="宋体" w:eastAsia="宋体" w:hint="default"/>
          <w:sz w:val="21"/>
          <w:szCs w:val="21"/>
        </w:rPr>
        <w:t>）</w:t>
      </w:r>
      <w:r>
        <w:rPr>
          <w:rFonts w:ascii="Times New Roman" w:hAnsi="Times New Roman" w:cs="Times New Roman" w:eastAsia="Times New Roman" w:hint="default"/>
          <w:sz w:val="21"/>
          <w:szCs w:val="21"/>
        </w:rPr>
        <w:t>398</w:t>
      </w:r>
      <w:r>
        <w:rPr>
          <w:rFonts w:ascii="宋体" w:hAnsi="宋体" w:cs="宋体" w:eastAsia="宋体" w:hint="default"/>
          <w:sz w:val="21"/>
          <w:szCs w:val="21"/>
        </w:rPr>
        <w:t>、</w:t>
      </w:r>
      <w:r>
        <w:rPr>
          <w:rFonts w:ascii="Times New Roman" w:hAnsi="Times New Roman" w:cs="Times New Roman" w:eastAsia="Times New Roman" w:hint="default"/>
          <w:sz w:val="21"/>
          <w:szCs w:val="21"/>
        </w:rPr>
        <w:t>399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文批准，向社会公众公开发行境内上市内资股（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万</w:t>
      </w:r>
      <w:r>
        <w:rPr>
          <w:rFonts w:ascii="宋体" w:hAnsi="宋体" w:cs="宋体" w:eastAsia="宋体" w:hint="default"/>
          <w:spacing w:val="-86"/>
          <w:sz w:val="21"/>
          <w:szCs w:val="21"/>
        </w:rPr>
        <w:t> </w:t>
      </w:r>
      <w:r>
        <w:rPr>
          <w:rFonts w:ascii="宋体" w:hAnsi="宋体" w:cs="宋体" w:eastAsia="宋体" w:hint="default"/>
          <w:sz w:val="21"/>
          <w:szCs w:val="21"/>
        </w:rPr>
        <w:t>股</w:t>
      </w:r>
      <w:r>
        <w:rPr>
          <w:rFonts w:ascii="宋体" w:hAnsi="宋体" w:cs="宋体" w:eastAsia="宋体" w:hint="default"/>
          <w:spacing w:val="-87"/>
          <w:sz w:val="21"/>
          <w:szCs w:val="21"/>
        </w:rPr>
        <w:t> </w:t>
      </w:r>
      <w:r>
        <w:rPr>
          <w:rFonts w:ascii="宋体" w:hAnsi="宋体" w:cs="宋体" w:eastAsia="宋体" w:hint="default"/>
          <w:sz w:val="21"/>
          <w:szCs w:val="21"/>
        </w:rPr>
        <w:t>。</w:t>
      </w:r>
      <w:r>
        <w:rPr>
          <w:rFonts w:ascii="宋体" w:hAnsi="宋体" w:cs="宋体" w:eastAsia="宋体" w:hint="default"/>
          <w:w w:val="83"/>
          <w:sz w:val="21"/>
          <w:szCs w:val="21"/>
        </w:rPr>
        <w:t> </w:t>
      </w:r>
      <w:r>
        <w:rPr>
          <w:rFonts w:ascii="宋体" w:hAnsi="宋体" w:cs="宋体" w:eastAsia="宋体" w:hint="default"/>
          <w:sz w:val="21"/>
          <w:szCs w:val="21"/>
        </w:rPr>
        <w:t>公司总股份数增至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5068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万股；其中国家股</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592.416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万股、占股份总额的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11.69%</w:t>
      </w:r>
      <w:r>
        <w:rPr>
          <w:rFonts w:ascii="宋体" w:hAnsi="宋体" w:cs="宋体" w:eastAsia="宋体" w:hint="default"/>
          <w:sz w:val="21"/>
          <w:szCs w:val="21"/>
        </w:rPr>
        <w:t>，国有法人股</w:t>
      </w:r>
    </w:p>
    <w:p>
      <w:pPr>
        <w:spacing w:line="331" w:lineRule="auto" w:before="19"/>
        <w:ind w:left="141" w:right="174"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1862.784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万股、占股份总额的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36.76%</w:t>
      </w:r>
      <w:r>
        <w:rPr>
          <w:rFonts w:ascii="宋体" w:hAnsi="宋体" w:cs="宋体" w:eastAsia="宋体" w:hint="default"/>
          <w:sz w:val="21"/>
          <w:szCs w:val="21"/>
        </w:rPr>
        <w:t>，内部职工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712.8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万股、占股份总额的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14.06%</w:t>
      </w:r>
      <w:r>
        <w:rPr>
          <w:rFonts w:ascii="宋体" w:hAnsi="宋体" w:cs="宋体" w:eastAsia="宋体" w:hint="default"/>
          <w:sz w:val="21"/>
          <w:szCs w:val="21"/>
        </w:rPr>
        <w:t>，社会公</w:t>
      </w:r>
      <w:r>
        <w:rPr>
          <w:rFonts w:ascii="宋体" w:hAnsi="宋体" w:cs="宋体" w:eastAsia="宋体" w:hint="default"/>
          <w:w w:val="100"/>
          <w:sz w:val="21"/>
          <w:szCs w:val="21"/>
        </w:rPr>
        <w:t> </w:t>
      </w:r>
      <w:r>
        <w:rPr>
          <w:rFonts w:ascii="宋体" w:hAnsi="宋体" w:cs="宋体" w:eastAsia="宋体" w:hint="default"/>
          <w:sz w:val="21"/>
          <w:szCs w:val="21"/>
        </w:rPr>
        <w:t>众股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万股，占股份总额的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37.49%</w:t>
      </w:r>
      <w:r>
        <w:rPr>
          <w:rFonts w:ascii="宋体" w:hAnsi="宋体" w:cs="宋体" w:eastAsia="宋体" w:hint="default"/>
          <w:sz w:val="21"/>
          <w:szCs w:val="21"/>
        </w:rPr>
        <w:t>。</w:t>
      </w:r>
    </w:p>
    <w:p>
      <w:pPr>
        <w:spacing w:line="240" w:lineRule="auto" w:before="3"/>
        <w:rPr>
          <w:rFonts w:ascii="宋体" w:hAnsi="宋体" w:cs="宋体" w:eastAsia="宋体" w:hint="default"/>
          <w:sz w:val="15"/>
          <w:szCs w:val="15"/>
        </w:rPr>
      </w:pPr>
    </w:p>
    <w:p>
      <w:pPr>
        <w:spacing w:line="340" w:lineRule="auto" w:before="0"/>
        <w:ind w:left="141" w:right="15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日，经深圳市国有资产管理办公室深国资办</w:t>
      </w:r>
      <w:r>
        <w:rPr>
          <w:rFonts w:ascii="Times New Roman" w:hAnsi="Times New Roman" w:cs="Times New Roman" w:eastAsia="Times New Roman" w:hint="default"/>
          <w:sz w:val="21"/>
          <w:szCs w:val="21"/>
        </w:rPr>
        <w:t>[1999]175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号《关于深圳市农</w:t>
      </w:r>
      <w:r>
        <w:rPr>
          <w:rFonts w:ascii="宋体" w:hAnsi="宋体" w:cs="宋体" w:eastAsia="宋体" w:hint="default"/>
          <w:w w:val="100"/>
          <w:sz w:val="21"/>
          <w:szCs w:val="21"/>
        </w:rPr>
        <w:t> </w:t>
      </w:r>
      <w:r>
        <w:rPr>
          <w:rFonts w:ascii="宋体" w:hAnsi="宋体" w:cs="宋体" w:eastAsia="宋体" w:hint="default"/>
          <w:spacing w:val="-5"/>
          <w:sz w:val="21"/>
          <w:szCs w:val="21"/>
        </w:rPr>
        <w:t>产品股份有限公司股权划转问题的批复》批准，深圳市投资管理公司所持有的占公司当时总股</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9.225%</w:t>
      </w:r>
      <w:r>
        <w:rPr>
          <w:rFonts w:ascii="宋体" w:hAnsi="宋体" w:cs="宋体" w:eastAsia="宋体" w:hint="default"/>
          <w:sz w:val="21"/>
          <w:szCs w:val="21"/>
        </w:rPr>
        <w:t>、共计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1184.8302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万股国家股无偿划转到深圳市商贸投资控股公司名下。</w:t>
      </w:r>
    </w:p>
    <w:p>
      <w:pPr>
        <w:spacing w:before="19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日，经深圳市国有资产管理办公室深国资办</w:t>
      </w:r>
      <w:r>
        <w:rPr>
          <w:rFonts w:ascii="Times New Roman" w:hAnsi="Times New Roman" w:cs="Times New Roman" w:eastAsia="Times New Roman" w:hint="default"/>
          <w:sz w:val="21"/>
          <w:szCs w:val="21"/>
        </w:rPr>
        <w:t>[2000]28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号《关于深圳市农产</w:t>
      </w:r>
    </w:p>
    <w:p>
      <w:pPr>
        <w:spacing w:before="107"/>
        <w:ind w:left="141"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品股份有限公司国有股划转问题的批复》批准，深圳市果菜贸易公司所持有的公司</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690.5598</w:t>
      </w:r>
    </w:p>
    <w:p>
      <w:pPr>
        <w:spacing w:before="110"/>
        <w:ind w:left="141" w:right="0" w:firstLine="0"/>
        <w:jc w:val="both"/>
        <w:rPr>
          <w:rFonts w:ascii="宋体" w:hAnsi="宋体" w:cs="宋体" w:eastAsia="宋体" w:hint="default"/>
          <w:sz w:val="21"/>
          <w:szCs w:val="21"/>
        </w:rPr>
      </w:pPr>
      <w:r>
        <w:rPr>
          <w:rFonts w:ascii="宋体" w:hAnsi="宋体" w:cs="宋体" w:eastAsia="宋体" w:hint="default"/>
          <w:sz w:val="21"/>
          <w:szCs w:val="21"/>
        </w:rPr>
        <w:t>万股国有法人股、深圳市食品总公司所持有的公司 </w:t>
      </w:r>
      <w:r>
        <w:rPr>
          <w:rFonts w:ascii="Times New Roman" w:hAnsi="Times New Roman" w:cs="Times New Roman" w:eastAsia="Times New Roman" w:hint="default"/>
          <w:sz w:val="21"/>
          <w:szCs w:val="21"/>
        </w:rPr>
        <w:t>690.5598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万股国有法人股、深圳市水产公</w:t>
      </w:r>
    </w:p>
    <w:p>
      <w:pPr>
        <w:spacing w:line="328" w:lineRule="auto" w:before="110"/>
        <w:ind w:left="141" w:right="167" w:firstLine="0"/>
        <w:jc w:val="both"/>
        <w:rPr>
          <w:rFonts w:ascii="宋体" w:hAnsi="宋体" w:cs="宋体" w:eastAsia="宋体" w:hint="default"/>
          <w:sz w:val="21"/>
          <w:szCs w:val="21"/>
        </w:rPr>
      </w:pPr>
      <w:r>
        <w:rPr>
          <w:rFonts w:ascii="宋体" w:hAnsi="宋体" w:cs="宋体" w:eastAsia="宋体" w:hint="default"/>
          <w:sz w:val="21"/>
          <w:szCs w:val="21"/>
        </w:rPr>
        <w:t>司所持有的公司</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690.5598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万股国有法人股均无偿划转到深圳市商贸投资控股公司名下。深圳</w:t>
      </w:r>
      <w:r>
        <w:rPr>
          <w:rFonts w:ascii="宋体" w:hAnsi="宋体" w:cs="宋体" w:eastAsia="宋体" w:hint="default"/>
          <w:spacing w:val="-102"/>
          <w:sz w:val="21"/>
          <w:szCs w:val="21"/>
        </w:rPr>
        <w:t> </w:t>
      </w:r>
      <w:r>
        <w:rPr>
          <w:rFonts w:ascii="宋体" w:hAnsi="宋体" w:cs="宋体" w:eastAsia="宋体" w:hint="default"/>
          <w:sz w:val="21"/>
          <w:szCs w:val="21"/>
        </w:rPr>
        <w:t>市商贸投资控股公司因此而成为公司的第一大股东。</w:t>
      </w:r>
    </w:p>
    <w:p>
      <w:pPr>
        <w:spacing w:line="328" w:lineRule="auto" w:before="168"/>
        <w:ind w:left="141" w:right="157" w:firstLine="420"/>
        <w:jc w:val="both"/>
        <w:rPr>
          <w:rFonts w:ascii="宋体" w:hAnsi="宋体" w:cs="宋体" w:eastAsia="宋体" w:hint="default"/>
          <w:sz w:val="21"/>
          <w:szCs w:val="21"/>
        </w:rPr>
      </w:pPr>
      <w:r>
        <w:rPr>
          <w:rFonts w:ascii="宋体" w:hAnsi="宋体" w:cs="宋体" w:eastAsia="宋体" w:hint="default"/>
          <w:spacing w:val="-1"/>
          <w:w w:val="100"/>
          <w:sz w:val="21"/>
          <w:szCs w:val="21"/>
        </w:rPr>
        <w:t>根据深圳市国资委</w:t>
      </w:r>
      <w:r>
        <w:rPr>
          <w:rFonts w:ascii="Times New Roman" w:hAnsi="Times New Roman" w:cs="Times New Roman" w:eastAsia="Times New Roman" w:hint="default"/>
          <w:spacing w:val="-1"/>
          <w:w w:val="100"/>
          <w:sz w:val="21"/>
          <w:szCs w:val="21"/>
        </w:rPr>
        <w:t>[2004]88</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5"/>
          <w:w w:val="100"/>
          <w:sz w:val="21"/>
          <w:szCs w:val="21"/>
        </w:rPr>
        <w:t>号《关于市投资管理公司等十六户企业划归市国资委直接监管</w:t>
      </w:r>
      <w:r>
        <w:rPr>
          <w:rFonts w:ascii="宋体" w:hAnsi="宋体" w:cs="宋体" w:eastAsia="宋体" w:hint="default"/>
          <w:w w:val="100"/>
          <w:sz w:val="21"/>
          <w:szCs w:val="21"/>
        </w:rPr>
        <w:t> </w:t>
      </w:r>
      <w:r>
        <w:rPr>
          <w:rFonts w:ascii="宋体" w:hAnsi="宋体" w:cs="宋体" w:eastAsia="宋体" w:hint="default"/>
          <w:sz w:val="21"/>
          <w:szCs w:val="21"/>
        </w:rPr>
        <w:t>的通知》的规定，原由深圳市商贸投资控股公司持有公司的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22.88%</w:t>
      </w:r>
      <w:r>
        <w:rPr>
          <w:rFonts w:ascii="宋体" w:hAnsi="宋体" w:cs="宋体" w:eastAsia="宋体" w:hint="default"/>
          <w:sz w:val="21"/>
          <w:szCs w:val="21"/>
        </w:rPr>
        <w:t>的国有股权划转由深圳市</w:t>
      </w:r>
      <w:r>
        <w:rPr>
          <w:rFonts w:ascii="宋体" w:hAnsi="宋体" w:cs="宋体" w:eastAsia="宋体" w:hint="default"/>
          <w:w w:val="100"/>
          <w:sz w:val="21"/>
          <w:szCs w:val="21"/>
        </w:rPr>
        <w:t> </w:t>
      </w:r>
      <w:r>
        <w:rPr>
          <w:rFonts w:ascii="宋体" w:hAnsi="宋体" w:cs="宋体" w:eastAsia="宋体" w:hint="default"/>
          <w:sz w:val="21"/>
          <w:szCs w:val="21"/>
        </w:rPr>
        <w:t>国资委持有，深圳市国资委为公司第一大股东。</w:t>
      </w:r>
    </w:p>
    <w:p>
      <w:pPr>
        <w:spacing w:after="0" w:line="328" w:lineRule="auto"/>
        <w:jc w:val="both"/>
        <w:rPr>
          <w:rFonts w:ascii="宋体" w:hAnsi="宋体" w:cs="宋体" w:eastAsia="宋体" w:hint="default"/>
          <w:sz w:val="21"/>
          <w:szCs w:val="21"/>
        </w:rPr>
        <w:sectPr>
          <w:headerReference w:type="default" r:id="rId153"/>
          <w:footerReference w:type="default" r:id="rId154"/>
          <w:pgSz w:w="11910" w:h="16840"/>
          <w:pgMar w:header="943" w:footer="897" w:top="1640" w:bottom="1080" w:left="1560" w:right="1540"/>
          <w:pgNumType w:start="116"/>
        </w:sectPr>
      </w:pPr>
    </w:p>
    <w:p>
      <w:pPr>
        <w:spacing w:line="240" w:lineRule="auto" w:before="0"/>
        <w:rPr>
          <w:rFonts w:ascii="宋体" w:hAnsi="宋体" w:cs="宋体" w:eastAsia="宋体" w:hint="default"/>
          <w:sz w:val="20"/>
          <w:szCs w:val="20"/>
        </w:rPr>
      </w:pPr>
    </w:p>
    <w:p>
      <w:pPr>
        <w:spacing w:before="189"/>
        <w:ind w:left="561" w:right="107" w:firstLine="0"/>
        <w:jc w:val="left"/>
        <w:rPr>
          <w:rFonts w:ascii="宋体" w:hAnsi="宋体" w:cs="宋体" w:eastAsia="宋体" w:hint="default"/>
          <w:sz w:val="21"/>
          <w:szCs w:val="21"/>
        </w:rPr>
      </w:pPr>
      <w:r>
        <w:rPr>
          <w:rFonts w:ascii="宋体" w:hAnsi="宋体" w:cs="宋体" w:eastAsia="宋体" w:hint="default"/>
          <w:spacing w:val="-3"/>
          <w:sz w:val="21"/>
          <w:szCs w:val="21"/>
        </w:rPr>
        <w:t>经深圳市人民政府国有资产监督管理委员会、深圳市证券交易所批准，</w:t>
      </w:r>
      <w:r>
        <w:rPr>
          <w:rFonts w:ascii="Times New Roman" w:hAnsi="Times New Roman" w:cs="Times New Roman" w:eastAsia="Times New Roman" w:hint="default"/>
          <w:spacing w:val="-3"/>
          <w:sz w:val="21"/>
          <w:szCs w:val="21"/>
        </w:rPr>
        <w:t>2005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spacing w:before="170"/>
        <w:ind w:left="141" w:right="107" w:firstLine="0"/>
        <w:jc w:val="left"/>
        <w:rPr>
          <w:rFonts w:ascii="宋体" w:hAnsi="宋体" w:cs="宋体" w:eastAsia="宋体" w:hint="default"/>
          <w:sz w:val="21"/>
          <w:szCs w:val="21"/>
        </w:rPr>
      </w:pPr>
      <w:r>
        <w:rPr>
          <w:rFonts w:ascii="宋体" w:hAnsi="宋体" w:cs="宋体" w:eastAsia="宋体" w:hint="default"/>
          <w:sz w:val="21"/>
          <w:szCs w:val="21"/>
        </w:rPr>
        <w:t>公司召开股权分置改革股东会议，审议通过了公司股权分置改革方案，并于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spacing w:line="384" w:lineRule="auto" w:before="167"/>
        <w:ind w:left="141" w:right="107" w:firstLine="0"/>
        <w:jc w:val="left"/>
        <w:rPr>
          <w:rFonts w:ascii="宋体" w:hAnsi="宋体" w:cs="宋体" w:eastAsia="宋体" w:hint="default"/>
          <w:sz w:val="21"/>
          <w:szCs w:val="21"/>
        </w:rPr>
      </w:pPr>
      <w:r>
        <w:rPr>
          <w:rFonts w:ascii="宋体" w:hAnsi="宋体" w:cs="宋体" w:eastAsia="宋体" w:hint="default"/>
          <w:sz w:val="21"/>
          <w:szCs w:val="21"/>
        </w:rPr>
        <w:t>实施。按照股权分置改革方案及相关合同约定，公司</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家法人股股东已分别与深国投签订了</w:t>
      </w:r>
      <w:r>
        <w:rPr>
          <w:rFonts w:ascii="宋体" w:hAnsi="宋体" w:cs="宋体" w:eastAsia="宋体" w:hint="default"/>
          <w:w w:val="100"/>
          <w:sz w:val="21"/>
          <w:szCs w:val="21"/>
        </w:rPr>
        <w:t> </w:t>
      </w:r>
      <w:r>
        <w:rPr>
          <w:rFonts w:ascii="宋体" w:hAnsi="宋体" w:cs="宋体" w:eastAsia="宋体" w:hint="default"/>
          <w:sz w:val="21"/>
          <w:szCs w:val="21"/>
        </w:rPr>
        <w:t>集合财产信托合同，并将其拥有的农产品股份的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部分（共计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26,204,253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股）划转到深圳</w:t>
      </w:r>
      <w:r>
        <w:rPr>
          <w:rFonts w:ascii="宋体" w:hAnsi="宋体" w:cs="宋体" w:eastAsia="宋体" w:hint="default"/>
          <w:spacing w:val="-94"/>
          <w:sz w:val="21"/>
          <w:szCs w:val="21"/>
        </w:rPr>
        <w:t> </w:t>
      </w:r>
      <w:r>
        <w:rPr>
          <w:rFonts w:ascii="宋体" w:hAnsi="宋体" w:cs="宋体" w:eastAsia="宋体" w:hint="default"/>
          <w:sz w:val="21"/>
          <w:szCs w:val="21"/>
        </w:rPr>
        <w:t>国际信托投资有限责任公司，于</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月按股权分置改革方案划转至公司经营管理人员。</w:t>
      </w:r>
      <w:r>
        <w:rPr>
          <w:rFonts w:ascii="宋体" w:hAnsi="宋体" w:cs="宋体" w:eastAsia="宋体" w:hint="default"/>
          <w:w w:val="100"/>
          <w:sz w:val="21"/>
          <w:szCs w:val="21"/>
        </w:rPr>
        <w:t> </w:t>
      </w:r>
      <w:r>
        <w:rPr>
          <w:rFonts w:ascii="宋体" w:hAnsi="宋体" w:cs="宋体" w:eastAsia="宋体" w:hint="default"/>
          <w:spacing w:val="-5"/>
          <w:sz w:val="21"/>
          <w:szCs w:val="21"/>
        </w:rPr>
        <w:t>实施股权分置改革方案后，公司总股本不变，所有股份均为流通股，其中有限售条件的流通股</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股数为</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150,843,431</w:t>
      </w:r>
      <w:r>
        <w:rPr>
          <w:rFonts w:ascii="Times New Roman" w:hAnsi="Times New Roman" w:cs="Times New Roman" w:eastAsia="Times New Roman" w:hint="default"/>
          <w:spacing w:val="18"/>
          <w:sz w:val="21"/>
          <w:szCs w:val="21"/>
        </w:rPr>
        <w:t> </w:t>
      </w:r>
      <w:r>
        <w:rPr>
          <w:rFonts w:ascii="宋体" w:hAnsi="宋体" w:cs="宋体" w:eastAsia="宋体" w:hint="default"/>
          <w:spacing w:val="7"/>
          <w:sz w:val="21"/>
          <w:szCs w:val="21"/>
        </w:rPr>
        <w:t>股</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含高管股</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，占公司总股本的</w:t>
      </w:r>
      <w:r>
        <w:rPr>
          <w:rFonts w:ascii="宋体" w:hAnsi="宋体" w:cs="宋体" w:eastAsia="宋体" w:hint="default"/>
          <w:spacing w:val="-20"/>
          <w:sz w:val="21"/>
          <w:szCs w:val="21"/>
        </w:rPr>
        <w:t> </w:t>
      </w:r>
      <w:r>
        <w:rPr>
          <w:rFonts w:ascii="Times New Roman" w:hAnsi="Times New Roman" w:cs="Times New Roman" w:eastAsia="Times New Roman" w:hint="default"/>
          <w:spacing w:val="5"/>
          <w:sz w:val="21"/>
          <w:szCs w:val="21"/>
        </w:rPr>
        <w:t>38.91%</w:t>
      </w:r>
      <w:r>
        <w:rPr>
          <w:rFonts w:ascii="宋体" w:hAnsi="宋体" w:cs="宋体" w:eastAsia="宋体" w:hint="default"/>
          <w:spacing w:val="5"/>
          <w:sz w:val="21"/>
          <w:szCs w:val="21"/>
        </w:rPr>
        <w:t>，无限售条件的流通股股数为</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Times New Roman" w:hAnsi="Times New Roman" w:cs="Times New Roman" w:eastAsia="Times New Roman" w:hint="default"/>
          <w:sz w:val="21"/>
          <w:szCs w:val="21"/>
        </w:rPr>
        <w:t>236,820,011 </w:t>
      </w:r>
      <w:r>
        <w:rPr>
          <w:rFonts w:ascii="宋体" w:hAnsi="宋体" w:cs="宋体" w:eastAsia="宋体" w:hint="default"/>
          <w:sz w:val="21"/>
          <w:szCs w:val="21"/>
        </w:rPr>
        <w:t>股，占公司总股本的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61.09%</w:t>
      </w:r>
      <w:r>
        <w:rPr>
          <w:rFonts w:ascii="宋体" w:hAnsi="宋体" w:cs="宋体" w:eastAsia="宋体" w:hint="default"/>
          <w:sz w:val="21"/>
          <w:szCs w:val="21"/>
        </w:rPr>
        <w:t>。</w:t>
      </w:r>
    </w:p>
    <w:p>
      <w:pPr>
        <w:spacing w:line="379" w:lineRule="auto" w:before="148"/>
        <w:ind w:left="141" w:right="17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日，根据深圳市国资委深国资委</w:t>
      </w:r>
      <w:r>
        <w:rPr>
          <w:rFonts w:ascii="Times New Roman" w:hAnsi="Times New Roman" w:cs="Times New Roman" w:eastAsia="Times New Roman" w:hint="default"/>
          <w:sz w:val="21"/>
          <w:szCs w:val="21"/>
        </w:rPr>
        <w:t>[2007]290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号文件《关于将深圳市投资管</w:t>
      </w:r>
      <w:r>
        <w:rPr>
          <w:rFonts w:ascii="宋体" w:hAnsi="宋体" w:cs="宋体" w:eastAsia="宋体" w:hint="default"/>
          <w:w w:val="100"/>
          <w:sz w:val="21"/>
          <w:szCs w:val="21"/>
        </w:rPr>
        <w:t> </w:t>
      </w:r>
      <w:r>
        <w:rPr>
          <w:rFonts w:ascii="宋体" w:hAnsi="宋体" w:cs="宋体" w:eastAsia="宋体" w:hint="default"/>
          <w:spacing w:val="-2"/>
          <w:w w:val="100"/>
          <w:sz w:val="21"/>
          <w:szCs w:val="21"/>
        </w:rPr>
        <w:t>理公司所持深圳市农产品股份有限公司</w:t>
      </w:r>
      <w:r>
        <w:rPr>
          <w:rFonts w:ascii="宋体" w:hAnsi="宋体" w:cs="宋体" w:eastAsia="宋体" w:hint="default"/>
          <w:spacing w:val="-43"/>
          <w:w w:val="100"/>
          <w:sz w:val="21"/>
          <w:szCs w:val="21"/>
        </w:rPr>
        <w:t> </w:t>
      </w:r>
      <w:r>
        <w:rPr>
          <w:rFonts w:ascii="Times New Roman" w:hAnsi="Times New Roman" w:cs="Times New Roman" w:eastAsia="Times New Roman" w:hint="default"/>
          <w:spacing w:val="-6"/>
          <w:w w:val="100"/>
          <w:sz w:val="21"/>
          <w:szCs w:val="21"/>
        </w:rPr>
        <w:t>2.21%</w:t>
      </w:r>
      <w:r>
        <w:rPr>
          <w:rFonts w:ascii="宋体" w:hAnsi="宋体" w:cs="宋体" w:eastAsia="宋体" w:hint="default"/>
          <w:spacing w:val="-6"/>
          <w:w w:val="100"/>
          <w:sz w:val="21"/>
          <w:szCs w:val="21"/>
        </w:rPr>
        <w:t>股份无偿划转我委的决定》，深圳市投资管理公</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司持有的公司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8,565,446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股股票（占公司总股本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2.21%</w:t>
      </w:r>
      <w:r>
        <w:rPr>
          <w:rFonts w:ascii="宋体" w:hAnsi="宋体" w:cs="宋体" w:eastAsia="宋体" w:hint="default"/>
          <w:sz w:val="21"/>
          <w:szCs w:val="21"/>
        </w:rPr>
        <w:t>）无偿划至深圳市国资委名下持有。本</w:t>
      </w:r>
      <w:r>
        <w:rPr>
          <w:rFonts w:ascii="宋体" w:hAnsi="宋体" w:cs="宋体" w:eastAsia="宋体" w:hint="default"/>
          <w:spacing w:val="-103"/>
          <w:sz w:val="21"/>
          <w:szCs w:val="21"/>
        </w:rPr>
        <w:t> </w:t>
      </w:r>
      <w:r>
        <w:rPr>
          <w:rFonts w:ascii="宋体" w:hAnsi="宋体" w:cs="宋体" w:eastAsia="宋体" w:hint="default"/>
          <w:spacing w:val="-5"/>
          <w:sz w:val="21"/>
          <w:szCs w:val="21"/>
        </w:rPr>
        <w:t>次国有法人股划转后，公司总股本仍为</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387,663,442</w:t>
      </w:r>
      <w:r>
        <w:rPr>
          <w:rFonts w:ascii="Times New Roman" w:hAnsi="Times New Roman" w:cs="Times New Roman" w:eastAsia="Times New Roman" w:hint="default"/>
          <w:spacing w:val="-15"/>
          <w:sz w:val="21"/>
          <w:szCs w:val="21"/>
        </w:rPr>
        <w:t> </w:t>
      </w:r>
      <w:r>
        <w:rPr>
          <w:rFonts w:ascii="宋体" w:hAnsi="宋体" w:cs="宋体" w:eastAsia="宋体" w:hint="default"/>
          <w:spacing w:val="-6"/>
          <w:sz w:val="21"/>
          <w:szCs w:val="21"/>
        </w:rPr>
        <w:t>股，深圳市国资委由原持有</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88,703,978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w:t>
      </w:r>
      <w:r>
        <w:rPr>
          <w:rFonts w:ascii="宋体" w:hAnsi="宋体" w:cs="宋体" w:eastAsia="宋体" w:hint="default"/>
          <w:w w:val="51"/>
          <w:sz w:val="21"/>
          <w:szCs w:val="21"/>
        </w:rPr>
        <w:t> </w:t>
      </w:r>
      <w:r>
        <w:rPr>
          <w:rFonts w:ascii="宋体" w:hAnsi="宋体" w:cs="宋体" w:eastAsia="宋体" w:hint="default"/>
          <w:sz w:val="21"/>
          <w:szCs w:val="21"/>
        </w:rPr>
        <w:t>占总股本的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22.88%</w:t>
      </w:r>
      <w:r>
        <w:rPr>
          <w:rFonts w:ascii="宋体" w:hAnsi="宋体" w:cs="宋体" w:eastAsia="宋体" w:hint="default"/>
          <w:sz w:val="21"/>
          <w:szCs w:val="21"/>
        </w:rPr>
        <w:t>，变为持有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97,269,424</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股，占总股本的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25.09%</w:t>
      </w:r>
      <w:r>
        <w:rPr>
          <w:rFonts w:ascii="宋体" w:hAnsi="宋体" w:cs="宋体" w:eastAsia="宋体" w:hint="default"/>
          <w:sz w:val="21"/>
          <w:szCs w:val="21"/>
        </w:rPr>
        <w:t>，深圳市国资委仍为公司第</w:t>
      </w:r>
      <w:r>
        <w:rPr>
          <w:rFonts w:ascii="宋体" w:hAnsi="宋体" w:cs="宋体" w:eastAsia="宋体" w:hint="default"/>
          <w:w w:val="100"/>
          <w:sz w:val="21"/>
          <w:szCs w:val="21"/>
        </w:rPr>
        <w:t> </w:t>
      </w:r>
      <w:r>
        <w:rPr>
          <w:rFonts w:ascii="宋体" w:hAnsi="宋体" w:cs="宋体" w:eastAsia="宋体" w:hint="default"/>
          <w:sz w:val="21"/>
          <w:szCs w:val="21"/>
        </w:rPr>
        <w:t>一大股东。本次股份无偿划转已经国务院国资委批准，已办理股权过户手续。</w:t>
      </w:r>
    </w:p>
    <w:p>
      <w:pPr>
        <w:spacing w:line="240" w:lineRule="auto" w:before="12"/>
        <w:rPr>
          <w:rFonts w:ascii="宋体" w:hAnsi="宋体" w:cs="宋体" w:eastAsia="宋体" w:hint="default"/>
          <w:sz w:val="13"/>
          <w:szCs w:val="13"/>
        </w:rPr>
      </w:pPr>
    </w:p>
    <w:p>
      <w:pPr>
        <w:spacing w:before="0"/>
        <w:ind w:left="561" w:right="107"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日第五届董事会第八次会议和</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第四次临时股东大会审</w:t>
      </w:r>
    </w:p>
    <w:p>
      <w:pPr>
        <w:spacing w:before="170"/>
        <w:ind w:left="141" w:right="107" w:firstLine="0"/>
        <w:jc w:val="left"/>
        <w:rPr>
          <w:rFonts w:ascii="宋体" w:hAnsi="宋体" w:cs="宋体" w:eastAsia="宋体" w:hint="default"/>
          <w:sz w:val="21"/>
          <w:szCs w:val="21"/>
        </w:rPr>
      </w:pPr>
      <w:r>
        <w:rPr>
          <w:rFonts w:ascii="宋体" w:hAnsi="宋体" w:cs="宋体" w:eastAsia="宋体" w:hint="default"/>
          <w:spacing w:val="-4"/>
          <w:sz w:val="21"/>
          <w:szCs w:val="21"/>
        </w:rPr>
        <w:t>议，同意本公司向深圳市远致投资有限公司等</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家特定机构投资者非公开发行</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9,200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万股人民</w:t>
      </w:r>
    </w:p>
    <w:p>
      <w:pPr>
        <w:spacing w:before="170"/>
        <w:ind w:left="141" w:right="107" w:firstLine="0"/>
        <w:jc w:val="left"/>
        <w:rPr>
          <w:rFonts w:ascii="宋体" w:hAnsi="宋体" w:cs="宋体" w:eastAsia="宋体" w:hint="default"/>
          <w:sz w:val="21"/>
          <w:szCs w:val="21"/>
        </w:rPr>
      </w:pPr>
      <w:r>
        <w:rPr>
          <w:rFonts w:ascii="宋体" w:hAnsi="宋体" w:cs="宋体" w:eastAsia="宋体" w:hint="default"/>
          <w:sz w:val="21"/>
          <w:szCs w:val="21"/>
        </w:rPr>
        <w:t>币普通股股票，每股面值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元，发行价为人民币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股。本次非公开发行于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spacing w:line="381" w:lineRule="auto" w:before="167"/>
        <w:ind w:left="141" w:right="177"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2"/>
          <w:sz w:val="21"/>
          <w:szCs w:val="21"/>
        </w:rPr>
        <w:t> </w:t>
      </w:r>
      <w:r>
        <w:rPr>
          <w:rFonts w:ascii="宋体" w:hAnsi="宋体" w:cs="宋体" w:eastAsia="宋体" w:hint="default"/>
          <w:spacing w:val="-3"/>
          <w:sz w:val="21"/>
          <w:szCs w:val="21"/>
        </w:rPr>
        <w:t>日获得中国证券监督管理委员会《关于核准深圳市农产品股份有限公司非公开发行股票的批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w w:val="91"/>
          <w:sz w:val="21"/>
          <w:szCs w:val="21"/>
        </w:rPr>
        <w:t>复</w:t>
      </w:r>
      <w:r>
        <w:rPr>
          <w:rFonts w:ascii="宋体" w:hAnsi="宋体" w:cs="宋体" w:eastAsia="宋体" w:hint="default"/>
          <w:spacing w:val="-77"/>
          <w:w w:val="91"/>
          <w:sz w:val="21"/>
          <w:szCs w:val="21"/>
        </w:rPr>
        <w:t> </w:t>
      </w:r>
      <w:r>
        <w:rPr>
          <w:rFonts w:ascii="宋体" w:hAnsi="宋体" w:cs="宋体" w:eastAsia="宋体" w:hint="default"/>
          <w:spacing w:val="-57"/>
          <w:w w:val="91"/>
          <w:sz w:val="21"/>
          <w:szCs w:val="21"/>
        </w:rPr>
        <w:t>》（</w:t>
      </w:r>
      <w:r>
        <w:rPr>
          <w:rFonts w:ascii="宋体" w:hAnsi="宋体" w:cs="宋体" w:eastAsia="宋体" w:hint="default"/>
          <w:spacing w:val="-79"/>
          <w:w w:val="91"/>
          <w:sz w:val="21"/>
          <w:szCs w:val="21"/>
        </w:rPr>
        <w:t> </w:t>
      </w:r>
      <w:r>
        <w:rPr>
          <w:rFonts w:ascii="宋体" w:hAnsi="宋体" w:cs="宋体" w:eastAsia="宋体" w:hint="default"/>
          <w:spacing w:val="4"/>
          <w:w w:val="96"/>
          <w:sz w:val="21"/>
          <w:szCs w:val="21"/>
        </w:rPr>
        <w:t>证监许可［</w:t>
      </w:r>
      <w:r>
        <w:rPr>
          <w:rFonts w:ascii="Times New Roman" w:hAnsi="Times New Roman" w:cs="Times New Roman" w:eastAsia="Times New Roman" w:hint="default"/>
          <w:spacing w:val="4"/>
          <w:w w:val="96"/>
          <w:sz w:val="21"/>
          <w:szCs w:val="21"/>
        </w:rPr>
        <w:t>2008</w:t>
      </w:r>
      <w:r>
        <w:rPr>
          <w:rFonts w:ascii="宋体" w:hAnsi="宋体" w:cs="宋体" w:eastAsia="宋体" w:hint="default"/>
          <w:spacing w:val="4"/>
          <w:w w:val="96"/>
          <w:sz w:val="21"/>
          <w:szCs w:val="21"/>
        </w:rPr>
        <w:t>］</w:t>
      </w:r>
      <w:r>
        <w:rPr>
          <w:rFonts w:ascii="Times New Roman" w:hAnsi="Times New Roman" w:cs="Times New Roman" w:eastAsia="Times New Roman" w:hint="default"/>
          <w:spacing w:val="4"/>
          <w:w w:val="96"/>
          <w:sz w:val="21"/>
          <w:szCs w:val="21"/>
        </w:rPr>
        <w:t>512</w:t>
      </w:r>
      <w:r>
        <w:rPr>
          <w:rFonts w:ascii="Times New Roman" w:hAnsi="Times New Roman" w:cs="Times New Roman" w:eastAsia="Times New Roman" w:hint="default"/>
          <w:w w:val="96"/>
          <w:sz w:val="21"/>
          <w:szCs w:val="21"/>
        </w:rPr>
        <w:t> </w:t>
      </w:r>
      <w:r>
        <w:rPr>
          <w:rFonts w:ascii="宋体" w:hAnsi="宋体" w:cs="宋体" w:eastAsia="宋体" w:hint="default"/>
          <w:spacing w:val="-4"/>
          <w:w w:val="100"/>
          <w:sz w:val="21"/>
          <w:szCs w:val="21"/>
        </w:rPr>
        <w:t>号）核准，同意本公司非公开发行新股不超过</w:t>
      </w:r>
      <w:r>
        <w:rPr>
          <w:rFonts w:ascii="宋体" w:hAnsi="宋体" w:cs="宋体" w:eastAsia="宋体" w:hint="default"/>
          <w:spacing w:val="-57"/>
          <w:w w:val="100"/>
          <w:sz w:val="21"/>
          <w:szCs w:val="21"/>
        </w:rPr>
        <w:t> </w:t>
      </w:r>
      <w:r>
        <w:rPr>
          <w:rFonts w:ascii="Times New Roman" w:hAnsi="Times New Roman" w:cs="Times New Roman" w:eastAsia="Times New Roman" w:hint="default"/>
          <w:w w:val="100"/>
          <w:sz w:val="21"/>
          <w:szCs w:val="21"/>
        </w:rPr>
        <w:t>9,200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4"/>
          <w:w w:val="100"/>
          <w:sz w:val="21"/>
          <w:szCs w:val="21"/>
        </w:rPr>
        <w:t>万股。本次非</w:t>
      </w:r>
      <w:r>
        <w:rPr>
          <w:rFonts w:ascii="宋体" w:hAnsi="宋体" w:cs="宋体" w:eastAsia="宋体" w:hint="default"/>
          <w:w w:val="100"/>
          <w:sz w:val="21"/>
          <w:szCs w:val="21"/>
        </w:rPr>
        <w:t> </w:t>
      </w:r>
      <w:r>
        <w:rPr>
          <w:rFonts w:ascii="宋体" w:hAnsi="宋体" w:cs="宋体" w:eastAsia="宋体" w:hint="default"/>
          <w:sz w:val="21"/>
          <w:szCs w:val="21"/>
        </w:rPr>
        <w:t>公开发行实际发行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6,440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w:t>
      </w:r>
    </w:p>
    <w:p>
      <w:pPr>
        <w:spacing w:before="150"/>
        <w:ind w:left="561" w:right="107"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年度股东大会审议通过的利润分配方案，以公</w:t>
      </w:r>
    </w:p>
    <w:p>
      <w:pPr>
        <w:spacing w:before="170"/>
        <w:ind w:left="141" w:right="107" w:firstLine="0"/>
        <w:jc w:val="left"/>
        <w:rPr>
          <w:rFonts w:ascii="宋体" w:hAnsi="宋体" w:cs="宋体" w:eastAsia="宋体" w:hint="default"/>
          <w:sz w:val="21"/>
          <w:szCs w:val="21"/>
        </w:rPr>
      </w:pPr>
      <w:r>
        <w:rPr>
          <w:rFonts w:ascii="宋体" w:hAnsi="宋体" w:cs="宋体" w:eastAsia="宋体" w:hint="default"/>
          <w:sz w:val="21"/>
          <w:szCs w:val="21"/>
        </w:rPr>
        <w:t>司总股本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452,063,442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元人民币现金股利；同时，以资</w:t>
      </w:r>
    </w:p>
    <w:p>
      <w:pPr>
        <w:spacing w:line="470" w:lineRule="auto" w:before="167"/>
        <w:ind w:left="561" w:right="107" w:hanging="420"/>
        <w:jc w:val="left"/>
        <w:rPr>
          <w:rFonts w:ascii="宋体" w:hAnsi="宋体" w:cs="宋体" w:eastAsia="宋体" w:hint="default"/>
          <w:sz w:val="21"/>
          <w:szCs w:val="21"/>
        </w:rPr>
      </w:pPr>
      <w:r>
        <w:rPr>
          <w:rFonts w:ascii="宋体" w:hAnsi="宋体" w:cs="宋体" w:eastAsia="宋体" w:hint="default"/>
          <w:sz w:val="21"/>
          <w:szCs w:val="21"/>
        </w:rPr>
        <w:t>本公积金向全体股东每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股。方案实施后，总股本增至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768,507,851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股。</w:t>
      </w:r>
      <w:r>
        <w:rPr>
          <w:rFonts w:ascii="宋体" w:hAnsi="宋体" w:cs="宋体" w:eastAsia="宋体" w:hint="default"/>
          <w:spacing w:val="-96"/>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公司的行业性质、经营范围及主要产品或提供的劳务</w:t>
      </w:r>
      <w:r>
        <w:rPr>
          <w:rFonts w:ascii="宋体" w:hAnsi="宋体" w:cs="宋体" w:eastAsia="宋体" w:hint="default"/>
          <w:w w:val="100"/>
          <w:sz w:val="21"/>
          <w:szCs w:val="21"/>
        </w:rPr>
        <w:t> </w:t>
      </w:r>
      <w:r>
        <w:rPr>
          <w:rFonts w:ascii="宋体" w:hAnsi="宋体" w:cs="宋体" w:eastAsia="宋体" w:hint="default"/>
          <w:spacing w:val="-5"/>
          <w:sz w:val="21"/>
          <w:szCs w:val="21"/>
        </w:rPr>
        <w:t>公司行业性质：本公司为一家从事农产品批发市场网络化经营、大宗农产品电子交易的大</w:t>
      </w:r>
    </w:p>
    <w:p>
      <w:pPr>
        <w:spacing w:line="257" w:lineRule="exact" w:before="0"/>
        <w:ind w:left="141" w:right="107" w:firstLine="0"/>
        <w:jc w:val="left"/>
        <w:rPr>
          <w:rFonts w:ascii="宋体" w:hAnsi="宋体" w:cs="宋体" w:eastAsia="宋体" w:hint="default"/>
          <w:sz w:val="21"/>
          <w:szCs w:val="21"/>
        </w:rPr>
      </w:pPr>
      <w:r>
        <w:rPr>
          <w:rFonts w:ascii="宋体" w:hAnsi="宋体" w:cs="宋体" w:eastAsia="宋体" w:hint="default"/>
          <w:sz w:val="21"/>
          <w:szCs w:val="21"/>
        </w:rPr>
        <w:t>型农产品流通企业。</w:t>
      </w:r>
    </w:p>
    <w:p>
      <w:pPr>
        <w:spacing w:line="240" w:lineRule="auto" w:before="3"/>
        <w:rPr>
          <w:rFonts w:ascii="宋体" w:hAnsi="宋体" w:cs="宋体" w:eastAsia="宋体" w:hint="default"/>
          <w:sz w:val="23"/>
          <w:szCs w:val="23"/>
        </w:rPr>
      </w:pPr>
    </w:p>
    <w:p>
      <w:pPr>
        <w:spacing w:before="0"/>
        <w:ind w:left="561" w:right="107" w:firstLine="0"/>
        <w:jc w:val="left"/>
        <w:rPr>
          <w:rFonts w:ascii="宋体" w:hAnsi="宋体" w:cs="宋体" w:eastAsia="宋体" w:hint="default"/>
          <w:sz w:val="21"/>
          <w:szCs w:val="21"/>
        </w:rPr>
      </w:pPr>
      <w:r>
        <w:rPr>
          <w:rFonts w:ascii="宋体" w:hAnsi="宋体" w:cs="宋体" w:eastAsia="宋体" w:hint="default"/>
          <w:spacing w:val="-5"/>
          <w:sz w:val="21"/>
          <w:szCs w:val="21"/>
        </w:rPr>
        <w:t>公司经营范围：开发、建设、经营、管理农产品批发市场，经营管理市场租售业务；国内</w:t>
      </w:r>
    </w:p>
    <w:p>
      <w:pPr>
        <w:spacing w:after="0"/>
        <w:jc w:val="left"/>
        <w:rPr>
          <w:rFonts w:ascii="宋体" w:hAnsi="宋体" w:cs="宋体" w:eastAsia="宋体" w:hint="default"/>
          <w:sz w:val="21"/>
          <w:szCs w:val="21"/>
        </w:rPr>
        <w:sectPr>
          <w:pgSz w:w="11910" w:h="16840"/>
          <w:pgMar w:header="943" w:footer="897" w:top="1640" w:bottom="1080" w:left="1560" w:right="1520"/>
        </w:sectPr>
      </w:pPr>
    </w:p>
    <w:p>
      <w:pPr>
        <w:spacing w:line="240" w:lineRule="auto" w:before="7"/>
        <w:rPr>
          <w:rFonts w:ascii="宋体" w:hAnsi="宋体" w:cs="宋体" w:eastAsia="宋体" w:hint="default"/>
          <w:sz w:val="22"/>
          <w:szCs w:val="22"/>
        </w:rPr>
      </w:pPr>
    </w:p>
    <w:p>
      <w:pPr>
        <w:spacing w:line="403" w:lineRule="auto" w:before="36"/>
        <w:ind w:left="141" w:right="215" w:firstLine="0"/>
        <w:jc w:val="both"/>
        <w:rPr>
          <w:rFonts w:ascii="宋体" w:hAnsi="宋体" w:cs="宋体" w:eastAsia="宋体" w:hint="default"/>
          <w:sz w:val="21"/>
          <w:szCs w:val="21"/>
        </w:rPr>
      </w:pPr>
      <w:r>
        <w:rPr>
          <w:rFonts w:ascii="宋体" w:hAnsi="宋体" w:cs="宋体" w:eastAsia="宋体" w:hint="default"/>
          <w:spacing w:val="-4"/>
          <w:w w:val="100"/>
          <w:sz w:val="21"/>
          <w:szCs w:val="21"/>
        </w:rPr>
        <w:t>商业、物资供销业（不含专营、专控、专卖商品）；经营农产品、水产品的批发、连锁经营和</w:t>
      </w:r>
      <w:r>
        <w:rPr>
          <w:rFonts w:ascii="宋体" w:hAnsi="宋体" w:cs="宋体" w:eastAsia="宋体" w:hint="default"/>
          <w:w w:val="100"/>
          <w:sz w:val="21"/>
          <w:szCs w:val="21"/>
        </w:rPr>
        <w:t> </w:t>
      </w:r>
      <w:r>
        <w:rPr>
          <w:rFonts w:ascii="宋体" w:hAnsi="宋体" w:cs="宋体" w:eastAsia="宋体" w:hint="default"/>
          <w:spacing w:val="-5"/>
          <w:sz w:val="21"/>
          <w:szCs w:val="21"/>
        </w:rPr>
        <w:t>进出口业务；为农产品批发市场提供配套的招待所、小卖部、食店、运输、装卸、仓储、包装</w:t>
      </w:r>
    </w:p>
    <w:p>
      <w:pPr>
        <w:spacing w:line="400" w:lineRule="auto" w:before="43"/>
        <w:ind w:left="141" w:right="215" w:firstLine="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具</w:t>
      </w:r>
      <w:r>
        <w:rPr>
          <w:rFonts w:ascii="宋体" w:hAnsi="宋体" w:cs="宋体" w:eastAsia="宋体" w:hint="default"/>
          <w:w w:val="100"/>
          <w:sz w:val="21"/>
          <w:szCs w:val="21"/>
        </w:rPr>
        <w:t>体</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另</w:t>
      </w:r>
      <w:r>
        <w:rPr>
          <w:rFonts w:ascii="宋体" w:hAnsi="宋体" w:cs="宋体" w:eastAsia="宋体" w:hint="default"/>
          <w:w w:val="100"/>
          <w:sz w:val="21"/>
          <w:szCs w:val="21"/>
        </w:rPr>
        <w:t>行</w:t>
      </w:r>
      <w:r>
        <w:rPr>
          <w:rFonts w:ascii="宋体" w:hAnsi="宋体" w:cs="宋体" w:eastAsia="宋体" w:hint="default"/>
          <w:spacing w:val="-3"/>
          <w:w w:val="100"/>
          <w:sz w:val="21"/>
          <w:szCs w:val="21"/>
        </w:rPr>
        <w:t>申</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从</w:t>
      </w:r>
      <w:r>
        <w:rPr>
          <w:rFonts w:ascii="宋体" w:hAnsi="宋体" w:cs="宋体" w:eastAsia="宋体" w:hint="default"/>
          <w:spacing w:val="-3"/>
          <w:w w:val="100"/>
          <w:sz w:val="21"/>
          <w:szCs w:val="21"/>
        </w:rPr>
        <w:t>事</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咨</w:t>
      </w:r>
      <w:r>
        <w:rPr>
          <w:rFonts w:ascii="宋体" w:hAnsi="宋体" w:cs="宋体" w:eastAsia="宋体" w:hint="default"/>
          <w:spacing w:val="-3"/>
          <w:w w:val="100"/>
          <w:sz w:val="21"/>
          <w:szCs w:val="21"/>
        </w:rPr>
        <w:t>询</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含</w:t>
      </w:r>
      <w:r>
        <w:rPr>
          <w:rFonts w:ascii="宋体" w:hAnsi="宋体" w:cs="宋体" w:eastAsia="宋体" w:hint="default"/>
          <w:spacing w:val="-3"/>
          <w:w w:val="100"/>
          <w:sz w:val="21"/>
          <w:szCs w:val="21"/>
        </w:rPr>
        <w:t>法</w:t>
      </w:r>
      <w:r>
        <w:rPr>
          <w:rFonts w:ascii="宋体" w:hAnsi="宋体" w:cs="宋体" w:eastAsia="宋体" w:hint="default"/>
          <w:w w:val="100"/>
          <w:sz w:val="21"/>
          <w:szCs w:val="21"/>
        </w:rPr>
        <w:t>律</w:t>
      </w:r>
      <w:r>
        <w:rPr>
          <w:rFonts w:ascii="宋体" w:hAnsi="宋体" w:cs="宋体" w:eastAsia="宋体" w:hint="default"/>
          <w:spacing w:val="-3"/>
          <w:w w:val="100"/>
          <w:sz w:val="21"/>
          <w:szCs w:val="21"/>
        </w:rPr>
        <w:t>、</w:t>
      </w:r>
      <w:r>
        <w:rPr>
          <w:rFonts w:ascii="宋体" w:hAnsi="宋体" w:cs="宋体" w:eastAsia="宋体" w:hint="default"/>
          <w:w w:val="100"/>
          <w:sz w:val="21"/>
          <w:szCs w:val="21"/>
        </w:rPr>
        <w:t>行</w:t>
      </w:r>
      <w:r>
        <w:rPr>
          <w:rFonts w:ascii="宋体" w:hAnsi="宋体" w:cs="宋体" w:eastAsia="宋体" w:hint="default"/>
          <w:spacing w:val="-3"/>
          <w:w w:val="100"/>
          <w:sz w:val="21"/>
          <w:szCs w:val="21"/>
        </w:rPr>
        <w:t>政</w:t>
      </w:r>
      <w:r>
        <w:rPr>
          <w:rFonts w:ascii="宋体" w:hAnsi="宋体" w:cs="宋体" w:eastAsia="宋体" w:hint="default"/>
          <w:w w:val="100"/>
          <w:sz w:val="21"/>
          <w:szCs w:val="21"/>
        </w:rPr>
        <w:t>法</w:t>
      </w:r>
      <w:r>
        <w:rPr>
          <w:rFonts w:ascii="宋体" w:hAnsi="宋体" w:cs="宋体" w:eastAsia="宋体" w:hint="default"/>
          <w:spacing w:val="-3"/>
          <w:w w:val="100"/>
          <w:sz w:val="21"/>
          <w:szCs w:val="21"/>
        </w:rPr>
        <w:t>规</w:t>
      </w:r>
      <w:r>
        <w:rPr>
          <w:rFonts w:ascii="宋体" w:hAnsi="宋体" w:cs="宋体" w:eastAsia="宋体" w:hint="default"/>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务</w:t>
      </w:r>
      <w:r>
        <w:rPr>
          <w:rFonts w:ascii="宋体" w:hAnsi="宋体" w:cs="宋体" w:eastAsia="宋体" w:hint="default"/>
          <w:spacing w:val="-3"/>
          <w:w w:val="100"/>
          <w:sz w:val="21"/>
          <w:szCs w:val="21"/>
        </w:rPr>
        <w:t>院</w:t>
      </w:r>
      <w:r>
        <w:rPr>
          <w:rFonts w:ascii="宋体" w:hAnsi="宋体" w:cs="宋体" w:eastAsia="宋体" w:hint="default"/>
          <w:w w:val="100"/>
          <w:sz w:val="21"/>
          <w:szCs w:val="21"/>
        </w:rPr>
        <w:t>决</w:t>
      </w:r>
      <w:r>
        <w:rPr>
          <w:rFonts w:ascii="宋体" w:hAnsi="宋体" w:cs="宋体" w:eastAsia="宋体" w:hint="default"/>
          <w:spacing w:val="-3"/>
          <w:w w:val="100"/>
          <w:sz w:val="21"/>
          <w:szCs w:val="21"/>
        </w:rPr>
        <w:t>定</w:t>
      </w:r>
      <w:r>
        <w:rPr>
          <w:rFonts w:ascii="宋体" w:hAnsi="宋体" w:cs="宋体" w:eastAsia="宋体" w:hint="default"/>
          <w:w w:val="100"/>
          <w:sz w:val="21"/>
          <w:szCs w:val="21"/>
        </w:rPr>
        <w:t>禁</w:t>
      </w:r>
      <w:r>
        <w:rPr>
          <w:rFonts w:ascii="宋体" w:hAnsi="宋体" w:cs="宋体" w:eastAsia="宋体" w:hint="default"/>
          <w:spacing w:val="-3"/>
          <w:w w:val="100"/>
          <w:sz w:val="21"/>
          <w:szCs w:val="21"/>
        </w:rPr>
        <w:t>止</w:t>
      </w:r>
      <w:r>
        <w:rPr>
          <w:rFonts w:ascii="宋体" w:hAnsi="宋体" w:cs="宋体" w:eastAsia="宋体" w:hint="default"/>
          <w:w w:val="100"/>
          <w:sz w:val="21"/>
          <w:szCs w:val="21"/>
        </w:rPr>
        <w:t>及</w:t>
      </w:r>
      <w:r>
        <w:rPr>
          <w:rFonts w:ascii="宋体" w:hAnsi="宋体" w:cs="宋体" w:eastAsia="宋体" w:hint="default"/>
          <w:spacing w:val="-3"/>
          <w:w w:val="100"/>
          <w:sz w:val="21"/>
          <w:szCs w:val="21"/>
        </w:rPr>
        <w:t>规</w:t>
      </w:r>
      <w:r>
        <w:rPr>
          <w:rFonts w:ascii="宋体" w:hAnsi="宋体" w:cs="宋体" w:eastAsia="宋体" w:hint="default"/>
          <w:w w:val="100"/>
          <w:sz w:val="21"/>
          <w:szCs w:val="21"/>
        </w:rPr>
        <w:t>定</w:t>
      </w:r>
      <w:r>
        <w:rPr>
          <w:rFonts w:ascii="宋体" w:hAnsi="宋体" w:cs="宋体" w:eastAsia="宋体" w:hint="default"/>
          <w:spacing w:val="-3"/>
          <w:w w:val="100"/>
          <w:sz w:val="21"/>
          <w:szCs w:val="21"/>
        </w:rPr>
        <w:t>需</w:t>
      </w:r>
      <w:r>
        <w:rPr>
          <w:rFonts w:ascii="宋体" w:hAnsi="宋体" w:cs="宋体" w:eastAsia="宋体" w:hint="default"/>
          <w:w w:val="100"/>
          <w:sz w:val="21"/>
          <w:szCs w:val="21"/>
        </w:rPr>
        <w:t>审批</w:t>
      </w:r>
      <w:r>
        <w:rPr>
          <w:rFonts w:ascii="宋体" w:hAnsi="宋体" w:cs="宋体" w:eastAsia="宋体" w:hint="default"/>
          <w:w w:val="100"/>
          <w:sz w:val="21"/>
          <w:szCs w:val="21"/>
        </w:rPr>
        <w:t> 的</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物</w:t>
      </w:r>
      <w:r>
        <w:rPr>
          <w:rFonts w:ascii="宋体" w:hAnsi="宋体" w:cs="宋体" w:eastAsia="宋体" w:hint="default"/>
          <w:spacing w:val="-3"/>
          <w:w w:val="100"/>
          <w:sz w:val="21"/>
          <w:szCs w:val="21"/>
        </w:rPr>
        <w:t>业</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酒</w:t>
      </w:r>
      <w:r>
        <w:rPr>
          <w:rFonts w:ascii="宋体" w:hAnsi="宋体" w:cs="宋体" w:eastAsia="宋体" w:hint="default"/>
          <w:w w:val="100"/>
          <w:sz w:val="21"/>
          <w:szCs w:val="21"/>
        </w:rPr>
        <w:t>店</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w:t>
      </w:r>
      <w:r>
        <w:rPr>
          <w:rFonts w:ascii="宋体" w:hAnsi="宋体" w:cs="宋体" w:eastAsia="宋体" w:hint="default"/>
          <w:w w:val="100"/>
          <w:sz w:val="21"/>
          <w:szCs w:val="21"/>
        </w:rPr>
        <w:t>自</w:t>
      </w:r>
      <w:r>
        <w:rPr>
          <w:rFonts w:ascii="宋体" w:hAnsi="宋体" w:cs="宋体" w:eastAsia="宋体" w:hint="default"/>
          <w:spacing w:val="-3"/>
          <w:w w:val="100"/>
          <w:sz w:val="21"/>
          <w:szCs w:val="21"/>
        </w:rPr>
        <w:t>有</w:t>
      </w:r>
      <w:r>
        <w:rPr>
          <w:rFonts w:ascii="宋体" w:hAnsi="宋体" w:cs="宋体" w:eastAsia="宋体" w:hint="default"/>
          <w:w w:val="100"/>
          <w:sz w:val="21"/>
          <w:szCs w:val="21"/>
        </w:rPr>
        <w:t>物</w:t>
      </w:r>
      <w:r>
        <w:rPr>
          <w:rFonts w:ascii="宋体" w:hAnsi="宋体" w:cs="宋体" w:eastAsia="宋体" w:hint="default"/>
          <w:spacing w:val="-3"/>
          <w:w w:val="100"/>
          <w:sz w:val="21"/>
          <w:szCs w:val="21"/>
        </w:rPr>
        <w:t>业</w:t>
      </w:r>
      <w:r>
        <w:rPr>
          <w:rFonts w:ascii="宋体" w:hAnsi="宋体" w:cs="宋体" w:eastAsia="宋体" w:hint="default"/>
          <w:w w:val="100"/>
          <w:sz w:val="21"/>
          <w:szCs w:val="21"/>
        </w:rPr>
        <w:t>租</w:t>
      </w:r>
      <w:r>
        <w:rPr>
          <w:rFonts w:ascii="宋体" w:hAnsi="宋体" w:cs="宋体" w:eastAsia="宋体" w:hint="default"/>
          <w:spacing w:val="-3"/>
          <w:w w:val="100"/>
          <w:sz w:val="21"/>
          <w:szCs w:val="21"/>
        </w:rPr>
        <w:t>赁</w:t>
      </w:r>
      <w:r>
        <w:rPr>
          <w:rFonts w:ascii="宋体" w:hAnsi="宋体" w:cs="宋体" w:eastAsia="宋体" w:hint="default"/>
          <w:w w:val="100"/>
          <w:sz w:val="21"/>
          <w:szCs w:val="21"/>
        </w:rPr>
        <w:t>；</w:t>
      </w:r>
      <w:r>
        <w:rPr>
          <w:rFonts w:ascii="宋体" w:hAnsi="宋体" w:cs="宋体" w:eastAsia="宋体" w:hint="default"/>
          <w:spacing w:val="-3"/>
          <w:w w:val="100"/>
          <w:sz w:val="21"/>
          <w:szCs w:val="21"/>
        </w:rPr>
        <w:t>市</w:t>
      </w:r>
      <w:r>
        <w:rPr>
          <w:rFonts w:ascii="宋体" w:hAnsi="宋体" w:cs="宋体" w:eastAsia="宋体" w:hint="default"/>
          <w:w w:val="100"/>
          <w:sz w:val="21"/>
          <w:szCs w:val="21"/>
        </w:rPr>
        <w:t>场</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兴</w:t>
      </w:r>
      <w:r>
        <w:rPr>
          <w:rFonts w:ascii="宋体" w:hAnsi="宋体" w:cs="宋体" w:eastAsia="宋体" w:hint="default"/>
          <w:spacing w:val="-3"/>
          <w:w w:val="100"/>
          <w:sz w:val="21"/>
          <w:szCs w:val="21"/>
        </w:rPr>
        <w:t>办</w:t>
      </w:r>
      <w:r>
        <w:rPr>
          <w:rFonts w:ascii="宋体" w:hAnsi="宋体" w:cs="宋体" w:eastAsia="宋体" w:hint="default"/>
          <w:w w:val="100"/>
          <w:sz w:val="21"/>
          <w:szCs w:val="21"/>
        </w:rPr>
        <w:t>实</w:t>
      </w:r>
      <w:r>
        <w:rPr>
          <w:rFonts w:ascii="宋体" w:hAnsi="宋体" w:cs="宋体" w:eastAsia="宋体" w:hint="default"/>
          <w:spacing w:val="-3"/>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具</w:t>
      </w:r>
      <w:r>
        <w:rPr>
          <w:rFonts w:ascii="宋体" w:hAnsi="宋体" w:cs="宋体" w:eastAsia="宋体" w:hint="default"/>
          <w:w w:val="100"/>
          <w:sz w:val="21"/>
          <w:szCs w:val="21"/>
        </w:rPr>
        <w:t>体</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另</w:t>
      </w:r>
      <w:r>
        <w:rPr>
          <w:rFonts w:ascii="宋体" w:hAnsi="宋体" w:cs="宋体" w:eastAsia="宋体" w:hint="default"/>
          <w:w w:val="100"/>
          <w:sz w:val="21"/>
          <w:szCs w:val="21"/>
        </w:rPr>
        <w:t>行申</w:t>
      </w:r>
      <w:r>
        <w:rPr>
          <w:rFonts w:ascii="宋体" w:hAnsi="宋体" w:cs="宋体" w:eastAsia="宋体" w:hint="default"/>
          <w:w w:val="100"/>
          <w:sz w:val="21"/>
          <w:szCs w:val="21"/>
        </w:rPr>
        <w:t> </w:t>
      </w:r>
      <w:r>
        <w:rPr>
          <w:rFonts w:ascii="宋体" w:hAnsi="宋体" w:cs="宋体" w:eastAsia="宋体" w:hint="default"/>
          <w:spacing w:val="13"/>
          <w:w w:val="94"/>
          <w:sz w:val="21"/>
          <w:szCs w:val="21"/>
        </w:rPr>
        <w:t>报</w:t>
      </w:r>
      <w:r>
        <w:rPr>
          <w:rFonts w:ascii="宋体" w:hAnsi="宋体" w:cs="宋体" w:eastAsia="宋体" w:hint="default"/>
          <w:spacing w:val="-93"/>
          <w:w w:val="94"/>
          <w:sz w:val="21"/>
          <w:szCs w:val="21"/>
        </w:rPr>
        <w:t>）</w:t>
      </w:r>
      <w:r>
        <w:rPr>
          <w:rFonts w:ascii="宋体" w:hAnsi="宋体" w:cs="宋体" w:eastAsia="宋体" w:hint="default"/>
          <w:spacing w:val="-14"/>
          <w:w w:val="94"/>
          <w:sz w:val="21"/>
          <w:szCs w:val="21"/>
        </w:rPr>
        <w:t>。</w:t>
      </w:r>
      <w:r>
        <w:rPr>
          <w:rFonts w:ascii="宋体" w:hAnsi="宋体" w:cs="宋体" w:eastAsia="宋体" w:hint="default"/>
          <w:spacing w:val="11"/>
          <w:w w:val="94"/>
          <w:sz w:val="21"/>
          <w:szCs w:val="21"/>
        </w:rPr>
        <w:t>在合</w:t>
      </w:r>
      <w:r>
        <w:rPr>
          <w:rFonts w:ascii="宋体" w:hAnsi="宋体" w:cs="宋体" w:eastAsia="宋体" w:hint="default"/>
          <w:spacing w:val="13"/>
          <w:w w:val="94"/>
          <w:sz w:val="21"/>
          <w:szCs w:val="21"/>
        </w:rPr>
        <w:t>法</w:t>
      </w:r>
      <w:r>
        <w:rPr>
          <w:rFonts w:ascii="宋体" w:hAnsi="宋体" w:cs="宋体" w:eastAsia="宋体" w:hint="default"/>
          <w:spacing w:val="11"/>
          <w:w w:val="94"/>
          <w:sz w:val="21"/>
          <w:szCs w:val="21"/>
        </w:rPr>
        <w:t>取</w:t>
      </w:r>
      <w:r>
        <w:rPr>
          <w:rFonts w:ascii="宋体" w:hAnsi="宋体" w:cs="宋体" w:eastAsia="宋体" w:hint="default"/>
          <w:spacing w:val="13"/>
          <w:w w:val="94"/>
          <w:sz w:val="21"/>
          <w:szCs w:val="21"/>
        </w:rPr>
        <w:t>得</w:t>
      </w:r>
      <w:r>
        <w:rPr>
          <w:rFonts w:ascii="宋体" w:hAnsi="宋体" w:cs="宋体" w:eastAsia="宋体" w:hint="default"/>
          <w:spacing w:val="11"/>
          <w:w w:val="94"/>
          <w:sz w:val="21"/>
          <w:szCs w:val="21"/>
        </w:rPr>
        <w:t>土</w:t>
      </w:r>
      <w:r>
        <w:rPr>
          <w:rFonts w:ascii="宋体" w:hAnsi="宋体" w:cs="宋体" w:eastAsia="宋体" w:hint="default"/>
          <w:spacing w:val="13"/>
          <w:w w:val="94"/>
          <w:sz w:val="21"/>
          <w:szCs w:val="21"/>
        </w:rPr>
        <w:t>地</w:t>
      </w:r>
      <w:r>
        <w:rPr>
          <w:rFonts w:ascii="宋体" w:hAnsi="宋体" w:cs="宋体" w:eastAsia="宋体" w:hint="default"/>
          <w:spacing w:val="11"/>
          <w:w w:val="94"/>
          <w:sz w:val="21"/>
          <w:szCs w:val="21"/>
        </w:rPr>
        <w:t>使</w:t>
      </w:r>
      <w:r>
        <w:rPr>
          <w:rFonts w:ascii="宋体" w:hAnsi="宋体" w:cs="宋体" w:eastAsia="宋体" w:hint="default"/>
          <w:spacing w:val="13"/>
          <w:w w:val="94"/>
          <w:sz w:val="21"/>
          <w:szCs w:val="21"/>
        </w:rPr>
        <w:t>用</w:t>
      </w:r>
      <w:r>
        <w:rPr>
          <w:rFonts w:ascii="宋体" w:hAnsi="宋体" w:cs="宋体" w:eastAsia="宋体" w:hint="default"/>
          <w:spacing w:val="11"/>
          <w:w w:val="94"/>
          <w:sz w:val="21"/>
          <w:szCs w:val="21"/>
        </w:rPr>
        <w:t>权</w:t>
      </w:r>
      <w:r>
        <w:rPr>
          <w:rFonts w:ascii="宋体" w:hAnsi="宋体" w:cs="宋体" w:eastAsia="宋体" w:hint="default"/>
          <w:spacing w:val="13"/>
          <w:w w:val="94"/>
          <w:sz w:val="21"/>
          <w:szCs w:val="21"/>
        </w:rPr>
        <w:t>的</w:t>
      </w:r>
      <w:r>
        <w:rPr>
          <w:rFonts w:ascii="宋体" w:hAnsi="宋体" w:cs="宋体" w:eastAsia="宋体" w:hint="default"/>
          <w:spacing w:val="11"/>
          <w:w w:val="94"/>
          <w:sz w:val="21"/>
          <w:szCs w:val="21"/>
        </w:rPr>
        <w:t>地</w:t>
      </w:r>
      <w:r>
        <w:rPr>
          <w:rFonts w:ascii="宋体" w:hAnsi="宋体" w:cs="宋体" w:eastAsia="宋体" w:hint="default"/>
          <w:spacing w:val="13"/>
          <w:w w:val="94"/>
          <w:sz w:val="21"/>
          <w:szCs w:val="21"/>
        </w:rPr>
        <w:t>块</w:t>
      </w:r>
      <w:r>
        <w:rPr>
          <w:rFonts w:ascii="宋体" w:hAnsi="宋体" w:cs="宋体" w:eastAsia="宋体" w:hint="default"/>
          <w:spacing w:val="11"/>
          <w:w w:val="94"/>
          <w:sz w:val="21"/>
          <w:szCs w:val="21"/>
        </w:rPr>
        <w:t>上</w:t>
      </w:r>
      <w:r>
        <w:rPr>
          <w:rFonts w:ascii="宋体" w:hAnsi="宋体" w:cs="宋体" w:eastAsia="宋体" w:hint="default"/>
          <w:spacing w:val="13"/>
          <w:w w:val="94"/>
          <w:sz w:val="21"/>
          <w:szCs w:val="21"/>
        </w:rPr>
        <w:t>从</w:t>
      </w:r>
      <w:r>
        <w:rPr>
          <w:rFonts w:ascii="宋体" w:hAnsi="宋体" w:cs="宋体" w:eastAsia="宋体" w:hint="default"/>
          <w:spacing w:val="11"/>
          <w:w w:val="94"/>
          <w:sz w:val="21"/>
          <w:szCs w:val="21"/>
        </w:rPr>
        <w:t>事</w:t>
      </w:r>
      <w:r>
        <w:rPr>
          <w:rFonts w:ascii="宋体" w:hAnsi="宋体" w:cs="宋体" w:eastAsia="宋体" w:hint="default"/>
          <w:spacing w:val="13"/>
          <w:w w:val="94"/>
          <w:sz w:val="21"/>
          <w:szCs w:val="21"/>
        </w:rPr>
        <w:t>房</w:t>
      </w:r>
      <w:r>
        <w:rPr>
          <w:rFonts w:ascii="宋体" w:hAnsi="宋体" w:cs="宋体" w:eastAsia="宋体" w:hint="default"/>
          <w:spacing w:val="11"/>
          <w:w w:val="94"/>
          <w:sz w:val="21"/>
          <w:szCs w:val="21"/>
        </w:rPr>
        <w:t>地</w:t>
      </w:r>
      <w:r>
        <w:rPr>
          <w:rFonts w:ascii="宋体" w:hAnsi="宋体" w:cs="宋体" w:eastAsia="宋体" w:hint="default"/>
          <w:spacing w:val="13"/>
          <w:w w:val="94"/>
          <w:sz w:val="21"/>
          <w:szCs w:val="21"/>
        </w:rPr>
        <w:t>产</w:t>
      </w:r>
      <w:r>
        <w:rPr>
          <w:rFonts w:ascii="宋体" w:hAnsi="宋体" w:cs="宋体" w:eastAsia="宋体" w:hint="default"/>
          <w:spacing w:val="11"/>
          <w:w w:val="94"/>
          <w:sz w:val="21"/>
          <w:szCs w:val="21"/>
        </w:rPr>
        <w:t>开</w:t>
      </w:r>
      <w:r>
        <w:rPr>
          <w:rFonts w:ascii="宋体" w:hAnsi="宋体" w:cs="宋体" w:eastAsia="宋体" w:hint="default"/>
          <w:spacing w:val="13"/>
          <w:w w:val="94"/>
          <w:sz w:val="21"/>
          <w:szCs w:val="21"/>
        </w:rPr>
        <w:t>发</w:t>
      </w:r>
      <w:r>
        <w:rPr>
          <w:rFonts w:ascii="宋体" w:hAnsi="宋体" w:cs="宋体" w:eastAsia="宋体" w:hint="default"/>
          <w:spacing w:val="-146"/>
          <w:w w:val="94"/>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上</w:t>
      </w:r>
      <w:r>
        <w:rPr>
          <w:rFonts w:ascii="宋体" w:hAnsi="宋体" w:cs="宋体" w:eastAsia="宋体" w:hint="default"/>
          <w:spacing w:val="-3"/>
          <w:w w:val="100"/>
          <w:sz w:val="21"/>
          <w:szCs w:val="21"/>
        </w:rPr>
        <w:t>涉</w:t>
      </w:r>
      <w:r>
        <w:rPr>
          <w:rFonts w:ascii="宋体" w:hAnsi="宋体" w:cs="宋体" w:eastAsia="宋体" w:hint="default"/>
          <w:w w:val="100"/>
          <w:sz w:val="21"/>
          <w:szCs w:val="21"/>
        </w:rPr>
        <w:t>及</w:t>
      </w:r>
      <w:r>
        <w:rPr>
          <w:rFonts w:ascii="宋体" w:hAnsi="宋体" w:cs="宋体" w:eastAsia="宋体" w:hint="default"/>
          <w:spacing w:val="-3"/>
          <w:w w:val="100"/>
          <w:sz w:val="21"/>
          <w:szCs w:val="21"/>
        </w:rPr>
        <w:t>国</w:t>
      </w:r>
      <w:r>
        <w:rPr>
          <w:rFonts w:ascii="宋体" w:hAnsi="宋体" w:cs="宋体" w:eastAsia="宋体" w:hint="default"/>
          <w:w w:val="100"/>
          <w:sz w:val="21"/>
          <w:szCs w:val="21"/>
        </w:rPr>
        <w:t>家</w:t>
      </w:r>
      <w:r>
        <w:rPr>
          <w:rFonts w:ascii="宋体" w:hAnsi="宋体" w:cs="宋体" w:eastAsia="宋体" w:hint="default"/>
          <w:spacing w:val="-3"/>
          <w:w w:val="100"/>
          <w:sz w:val="21"/>
          <w:szCs w:val="21"/>
        </w:rPr>
        <w:t>法</w:t>
      </w:r>
      <w:r>
        <w:rPr>
          <w:rFonts w:ascii="宋体" w:hAnsi="宋体" w:cs="宋体" w:eastAsia="宋体" w:hint="default"/>
          <w:w w:val="100"/>
          <w:sz w:val="21"/>
          <w:szCs w:val="21"/>
        </w:rPr>
        <w:t>律</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行政</w:t>
      </w:r>
      <w:r>
        <w:rPr>
          <w:rFonts w:ascii="宋体" w:hAnsi="宋体" w:cs="宋体" w:eastAsia="宋体" w:hint="default"/>
          <w:w w:val="100"/>
          <w:sz w:val="21"/>
          <w:szCs w:val="21"/>
        </w:rPr>
        <w:t>法</w:t>
      </w:r>
      <w:r>
        <w:rPr>
          <w:rFonts w:ascii="宋体" w:hAnsi="宋体" w:cs="宋体" w:eastAsia="宋体" w:hint="default"/>
          <w:spacing w:val="-3"/>
          <w:w w:val="100"/>
          <w:sz w:val="21"/>
          <w:szCs w:val="21"/>
        </w:rPr>
        <w:t>规</w:t>
      </w:r>
      <w:r>
        <w:rPr>
          <w:rFonts w:ascii="宋体" w:hAnsi="宋体" w:cs="宋体" w:eastAsia="宋体" w:hint="default"/>
          <w:spacing w:val="-22"/>
          <w:w w:val="100"/>
          <w:sz w:val="21"/>
          <w:szCs w:val="21"/>
        </w:rPr>
        <w:t>、</w:t>
      </w:r>
      <w:r>
        <w:rPr>
          <w:rFonts w:ascii="宋体" w:hAnsi="宋体" w:cs="宋体" w:eastAsia="宋体" w:hint="default"/>
          <w:spacing w:val="-5"/>
          <w:w w:val="100"/>
          <w:sz w:val="21"/>
          <w:szCs w:val="21"/>
        </w:rPr>
        <w:t>国</w:t>
      </w:r>
      <w:r>
        <w:rPr>
          <w:rFonts w:ascii="宋体" w:hAnsi="宋体" w:cs="宋体" w:eastAsia="宋体" w:hint="default"/>
          <w:w w:val="100"/>
          <w:sz w:val="21"/>
          <w:szCs w:val="21"/>
        </w:rPr>
        <w:t>务</w:t>
      </w:r>
      <w:r>
        <w:rPr>
          <w:rFonts w:ascii="宋体" w:hAnsi="宋体" w:cs="宋体" w:eastAsia="宋体" w:hint="default"/>
          <w:w w:val="100"/>
          <w:sz w:val="21"/>
          <w:szCs w:val="21"/>
        </w:rPr>
        <w:t> 院</w:t>
      </w:r>
      <w:r>
        <w:rPr>
          <w:rFonts w:ascii="宋体" w:hAnsi="宋体" w:cs="宋体" w:eastAsia="宋体" w:hint="default"/>
          <w:spacing w:val="-3"/>
          <w:w w:val="100"/>
          <w:sz w:val="21"/>
          <w:szCs w:val="21"/>
        </w:rPr>
        <w:t>决</w:t>
      </w:r>
      <w:r>
        <w:rPr>
          <w:rFonts w:ascii="宋体" w:hAnsi="宋体" w:cs="宋体" w:eastAsia="宋体" w:hint="default"/>
          <w:w w:val="100"/>
          <w:sz w:val="21"/>
          <w:szCs w:val="21"/>
        </w:rPr>
        <w:t>定</w:t>
      </w:r>
      <w:r>
        <w:rPr>
          <w:rFonts w:ascii="宋体" w:hAnsi="宋体" w:cs="宋体" w:eastAsia="宋体" w:hint="default"/>
          <w:spacing w:val="-3"/>
          <w:w w:val="100"/>
          <w:sz w:val="21"/>
          <w:szCs w:val="21"/>
        </w:rPr>
        <w:t>规</w:t>
      </w:r>
      <w:r>
        <w:rPr>
          <w:rFonts w:ascii="宋体" w:hAnsi="宋体" w:cs="宋体" w:eastAsia="宋体" w:hint="default"/>
          <w:w w:val="100"/>
          <w:sz w:val="21"/>
          <w:szCs w:val="21"/>
        </w:rPr>
        <w:t>定</w:t>
      </w:r>
      <w:r>
        <w:rPr>
          <w:rFonts w:ascii="宋体" w:hAnsi="宋体" w:cs="宋体" w:eastAsia="宋体" w:hint="default"/>
          <w:spacing w:val="-3"/>
          <w:w w:val="100"/>
          <w:sz w:val="21"/>
          <w:szCs w:val="21"/>
        </w:rPr>
        <w:t>需</w:t>
      </w:r>
      <w:r>
        <w:rPr>
          <w:rFonts w:ascii="宋体" w:hAnsi="宋体" w:cs="宋体" w:eastAsia="宋体" w:hint="default"/>
          <w:w w:val="100"/>
          <w:sz w:val="21"/>
          <w:szCs w:val="21"/>
        </w:rPr>
        <w:t>报</w:t>
      </w:r>
      <w:r>
        <w:rPr>
          <w:rFonts w:ascii="宋体" w:hAnsi="宋体" w:cs="宋体" w:eastAsia="宋体" w:hint="default"/>
          <w:spacing w:val="-3"/>
          <w:w w:val="100"/>
          <w:sz w:val="21"/>
          <w:szCs w:val="21"/>
        </w:rPr>
        <w:t>经</w:t>
      </w:r>
      <w:r>
        <w:rPr>
          <w:rFonts w:ascii="宋体" w:hAnsi="宋体" w:cs="宋体" w:eastAsia="宋体" w:hint="default"/>
          <w:w w:val="100"/>
          <w:sz w:val="21"/>
          <w:szCs w:val="21"/>
        </w:rPr>
        <w:t>审</w:t>
      </w:r>
      <w:r>
        <w:rPr>
          <w:rFonts w:ascii="宋体" w:hAnsi="宋体" w:cs="宋体" w:eastAsia="宋体" w:hint="default"/>
          <w:spacing w:val="-3"/>
          <w:w w:val="100"/>
          <w:sz w:val="21"/>
          <w:szCs w:val="21"/>
        </w:rPr>
        <w:t>批</w:t>
      </w:r>
      <w:r>
        <w:rPr>
          <w:rFonts w:ascii="宋体" w:hAnsi="宋体" w:cs="宋体" w:eastAsia="宋体" w:hint="default"/>
          <w:w w:val="100"/>
          <w:sz w:val="21"/>
          <w:szCs w:val="21"/>
        </w:rPr>
        <w:t>的</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w:t>
      </w:r>
      <w:r>
        <w:rPr>
          <w:rFonts w:ascii="宋体" w:hAnsi="宋体" w:cs="宋体" w:eastAsia="宋体" w:hint="default"/>
          <w:w w:val="100"/>
          <w:sz w:val="21"/>
          <w:szCs w:val="21"/>
        </w:rPr>
        <w:t>需</w:t>
      </w:r>
      <w:r>
        <w:rPr>
          <w:rFonts w:ascii="宋体" w:hAnsi="宋体" w:cs="宋体" w:eastAsia="宋体" w:hint="default"/>
          <w:spacing w:val="-3"/>
          <w:w w:val="100"/>
          <w:sz w:val="21"/>
          <w:szCs w:val="21"/>
        </w:rPr>
        <w:t>经</w:t>
      </w:r>
      <w:r>
        <w:rPr>
          <w:rFonts w:ascii="宋体" w:hAnsi="宋体" w:cs="宋体" w:eastAsia="宋体" w:hint="default"/>
          <w:w w:val="100"/>
          <w:sz w:val="21"/>
          <w:szCs w:val="21"/>
        </w:rPr>
        <w:t>审</w:t>
      </w:r>
      <w:r>
        <w:rPr>
          <w:rFonts w:ascii="宋体" w:hAnsi="宋体" w:cs="宋体" w:eastAsia="宋体" w:hint="default"/>
          <w:spacing w:val="-3"/>
          <w:w w:val="100"/>
          <w:sz w:val="21"/>
          <w:szCs w:val="21"/>
        </w:rPr>
        <w:t>批</w:t>
      </w:r>
      <w:r>
        <w:rPr>
          <w:rFonts w:ascii="宋体" w:hAnsi="宋体" w:cs="宋体" w:eastAsia="宋体" w:hint="default"/>
          <w:w w:val="100"/>
          <w:sz w:val="21"/>
          <w:szCs w:val="21"/>
        </w:rPr>
        <w:t>后</w:t>
      </w:r>
      <w:r>
        <w:rPr>
          <w:rFonts w:ascii="宋体" w:hAnsi="宋体" w:cs="宋体" w:eastAsia="宋体" w:hint="default"/>
          <w:spacing w:val="-3"/>
          <w:w w:val="100"/>
          <w:sz w:val="21"/>
          <w:szCs w:val="21"/>
        </w:rPr>
        <w:t>方</w:t>
      </w:r>
      <w:r>
        <w:rPr>
          <w:rFonts w:ascii="宋体" w:hAnsi="宋体" w:cs="宋体" w:eastAsia="宋体" w:hint="default"/>
          <w:w w:val="100"/>
          <w:sz w:val="21"/>
          <w:szCs w:val="21"/>
        </w:rPr>
        <w:t>可</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384" w:lineRule="auto" w:before="175"/>
        <w:ind w:left="141" w:right="0" w:firstLine="420"/>
        <w:jc w:val="left"/>
        <w:rPr>
          <w:rFonts w:ascii="宋体" w:hAnsi="宋体" w:cs="宋体" w:eastAsia="宋体" w:hint="default"/>
          <w:sz w:val="21"/>
          <w:szCs w:val="21"/>
        </w:rPr>
      </w:pPr>
      <w:r>
        <w:rPr>
          <w:rFonts w:ascii="宋体" w:hAnsi="宋体" w:cs="宋体" w:eastAsia="宋体" w:hint="default"/>
          <w:spacing w:val="-5"/>
          <w:sz w:val="21"/>
          <w:szCs w:val="21"/>
        </w:rPr>
        <w:t>主要产品或提供的劳务：公司主要业务为农产品批发市场的开发、建设、经营和管理，业</w:t>
      </w:r>
      <w:r>
        <w:rPr>
          <w:rFonts w:ascii="宋体" w:hAnsi="宋体" w:cs="宋体" w:eastAsia="宋体" w:hint="default"/>
          <w:w w:val="100"/>
          <w:sz w:val="21"/>
          <w:szCs w:val="21"/>
        </w:rPr>
        <w:t> </w:t>
      </w:r>
      <w:r>
        <w:rPr>
          <w:rFonts w:ascii="宋体" w:hAnsi="宋体" w:cs="宋体" w:eastAsia="宋体" w:hint="default"/>
          <w:sz w:val="21"/>
          <w:szCs w:val="21"/>
        </w:rPr>
        <w:t>务范围涉及农产品流通、大宗农产品电子交易和蔬菜种植、牲畜养殖、屠宰加工等。</w:t>
      </w:r>
    </w:p>
    <w:p>
      <w:pPr>
        <w:spacing w:line="240" w:lineRule="auto" w:before="9"/>
        <w:rPr>
          <w:rFonts w:ascii="宋体" w:hAnsi="宋体" w:cs="宋体" w:eastAsia="宋体" w:hint="default"/>
          <w:sz w:val="16"/>
          <w:szCs w:val="16"/>
        </w:rPr>
      </w:pPr>
    </w:p>
    <w:p>
      <w:pPr>
        <w:spacing w:before="0"/>
        <w:ind w:left="5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宋体" w:hAnsi="宋体" w:cs="宋体" w:eastAsia="宋体" w:hint="default"/>
          <w:sz w:val="21"/>
          <w:szCs w:val="21"/>
        </w:rPr>
        <w:t>报告批准报出日</w:t>
      </w:r>
    </w:p>
    <w:p>
      <w:pPr>
        <w:spacing w:line="240" w:lineRule="auto" w:before="1"/>
        <w:rPr>
          <w:rFonts w:ascii="宋体" w:hAnsi="宋体" w:cs="宋体" w:eastAsia="宋体" w:hint="default"/>
          <w:sz w:val="25"/>
          <w:szCs w:val="25"/>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本公司财务报告由本公司董事会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日批准报出。</w:t>
      </w:r>
    </w:p>
    <w:p>
      <w:pPr>
        <w:spacing w:line="240" w:lineRule="auto" w:before="1"/>
        <w:rPr>
          <w:rFonts w:ascii="宋体" w:hAnsi="宋体" w:cs="宋体" w:eastAsia="宋体" w:hint="default"/>
          <w:sz w:val="25"/>
          <w:szCs w:val="25"/>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附注二、公司主要会计政策、会计估计和前期差错</w:t>
      </w:r>
    </w:p>
    <w:p>
      <w:pPr>
        <w:spacing w:line="240" w:lineRule="auto" w:before="4"/>
        <w:rPr>
          <w:rFonts w:ascii="宋体" w:hAnsi="宋体" w:cs="宋体" w:eastAsia="宋体" w:hint="default"/>
          <w:sz w:val="26"/>
          <w:szCs w:val="2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8"/>
          <w:sz w:val="21"/>
          <w:szCs w:val="21"/>
        </w:rPr>
        <w:t> </w:t>
      </w:r>
      <w:r>
        <w:rPr>
          <w:rFonts w:ascii="宋体" w:hAnsi="宋体" w:cs="宋体" w:eastAsia="宋体" w:hint="default"/>
          <w:sz w:val="21"/>
          <w:szCs w:val="21"/>
        </w:rPr>
        <w:t>财务报表的编制基础</w:t>
      </w:r>
    </w:p>
    <w:p>
      <w:pPr>
        <w:spacing w:line="240" w:lineRule="auto" w:before="2"/>
        <w:rPr>
          <w:rFonts w:ascii="宋体" w:hAnsi="宋体" w:cs="宋体" w:eastAsia="宋体" w:hint="default"/>
          <w:sz w:val="26"/>
          <w:szCs w:val="2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本公司以持续经营为基础，根据实际发生的交易和事项，按照权责发生制编制财务报表。</w:t>
      </w:r>
    </w:p>
    <w:p>
      <w:pPr>
        <w:spacing w:line="240" w:lineRule="auto" w:before="4"/>
        <w:rPr>
          <w:rFonts w:ascii="宋体" w:hAnsi="宋体" w:cs="宋体" w:eastAsia="宋体" w:hint="default"/>
          <w:sz w:val="26"/>
          <w:szCs w:val="2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9"/>
          <w:sz w:val="21"/>
          <w:szCs w:val="21"/>
        </w:rPr>
        <w:t> </w:t>
      </w:r>
      <w:r>
        <w:rPr>
          <w:rFonts w:ascii="宋体" w:hAnsi="宋体" w:cs="宋体" w:eastAsia="宋体" w:hint="default"/>
          <w:sz w:val="21"/>
          <w:szCs w:val="21"/>
        </w:rPr>
        <w:t>遵循企业会计准则的声明</w:t>
      </w:r>
    </w:p>
    <w:p>
      <w:pPr>
        <w:spacing w:line="240" w:lineRule="auto" w:before="4"/>
        <w:rPr>
          <w:rFonts w:ascii="宋体" w:hAnsi="宋体" w:cs="宋体" w:eastAsia="宋体" w:hint="default"/>
          <w:sz w:val="26"/>
          <w:szCs w:val="26"/>
        </w:rPr>
      </w:pPr>
    </w:p>
    <w:p>
      <w:pPr>
        <w:spacing w:line="362" w:lineRule="auto" w:before="0"/>
        <w:ind w:left="141" w:right="287" w:firstLine="420"/>
        <w:jc w:val="both"/>
        <w:rPr>
          <w:rFonts w:ascii="宋体" w:hAnsi="宋体" w:cs="宋体" w:eastAsia="宋体" w:hint="default"/>
          <w:sz w:val="21"/>
          <w:szCs w:val="21"/>
        </w:rPr>
      </w:pPr>
      <w:r>
        <w:rPr>
          <w:rFonts w:ascii="宋体" w:hAnsi="宋体" w:cs="宋体" w:eastAsia="宋体" w:hint="default"/>
          <w:sz w:val="21"/>
          <w:szCs w:val="21"/>
        </w:rPr>
        <w:t>本公司编制的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年度财务报表符合中华人民共和国财政部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颁布的</w:t>
      </w:r>
      <w:r>
        <w:rPr>
          <w:rFonts w:ascii="宋体" w:hAnsi="宋体" w:cs="宋体" w:eastAsia="宋体" w:hint="default"/>
          <w:w w:val="100"/>
          <w:sz w:val="21"/>
          <w:szCs w:val="21"/>
        </w:rPr>
        <w:t> </w:t>
      </w:r>
      <w:r>
        <w:rPr>
          <w:rFonts w:ascii="宋体" w:hAnsi="宋体" w:cs="宋体" w:eastAsia="宋体" w:hint="default"/>
          <w:sz w:val="21"/>
          <w:szCs w:val="21"/>
        </w:rPr>
        <w:t>企业会计准则</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的要求，真实、完整地反映了本公司财务状况、经营成果和现金流量等</w:t>
      </w:r>
      <w:r>
        <w:rPr>
          <w:rFonts w:ascii="宋体" w:hAnsi="宋体" w:cs="宋体" w:eastAsia="宋体" w:hint="default"/>
          <w:w w:val="100"/>
          <w:sz w:val="21"/>
          <w:szCs w:val="21"/>
        </w:rPr>
        <w:t> </w:t>
      </w:r>
      <w:r>
        <w:rPr>
          <w:rFonts w:ascii="宋体" w:hAnsi="宋体" w:cs="宋体" w:eastAsia="宋体" w:hint="default"/>
          <w:sz w:val="21"/>
          <w:szCs w:val="21"/>
        </w:rPr>
        <w:t>有关信息。</w:t>
      </w:r>
    </w:p>
    <w:p>
      <w:pPr>
        <w:spacing w:line="240" w:lineRule="auto" w:before="2"/>
        <w:rPr>
          <w:rFonts w:ascii="宋体" w:hAnsi="宋体" w:cs="宋体" w:eastAsia="宋体" w:hint="default"/>
          <w:sz w:val="18"/>
          <w:szCs w:val="18"/>
        </w:rPr>
      </w:pPr>
    </w:p>
    <w:p>
      <w:pPr>
        <w:spacing w:line="362" w:lineRule="auto" w:before="0"/>
        <w:ind w:left="141" w:right="217" w:firstLine="420"/>
        <w:jc w:val="both"/>
        <w:rPr>
          <w:rFonts w:ascii="宋体" w:hAnsi="宋体" w:cs="宋体" w:eastAsia="宋体" w:hint="default"/>
          <w:sz w:val="21"/>
          <w:szCs w:val="21"/>
        </w:rPr>
      </w:pP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司的</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w:t>
      </w:r>
      <w:r>
        <w:rPr>
          <w:rFonts w:ascii="宋体" w:hAnsi="宋体" w:cs="宋体" w:eastAsia="宋体" w:hint="default"/>
          <w:spacing w:val="-3"/>
          <w:w w:val="100"/>
          <w:sz w:val="21"/>
          <w:szCs w:val="21"/>
        </w:rPr>
        <w:t>表</w:t>
      </w:r>
      <w:r>
        <w:rPr>
          <w:rFonts w:ascii="宋体" w:hAnsi="宋体" w:cs="宋体" w:eastAsia="宋体" w:hint="default"/>
          <w:w w:val="100"/>
          <w:sz w:val="21"/>
          <w:szCs w:val="21"/>
        </w:rPr>
        <w:t>同</w:t>
      </w:r>
      <w:r>
        <w:rPr>
          <w:rFonts w:ascii="宋体" w:hAnsi="宋体" w:cs="宋体" w:eastAsia="宋体" w:hint="default"/>
          <w:spacing w:val="-3"/>
          <w:w w:val="100"/>
          <w:sz w:val="21"/>
          <w:szCs w:val="21"/>
        </w:rPr>
        <w:t>时</w:t>
      </w:r>
      <w:r>
        <w:rPr>
          <w:rFonts w:ascii="宋体" w:hAnsi="宋体" w:cs="宋体" w:eastAsia="宋体" w:hint="default"/>
          <w:w w:val="100"/>
          <w:sz w:val="21"/>
          <w:szCs w:val="21"/>
        </w:rPr>
        <w:t>符</w:t>
      </w:r>
      <w:r>
        <w:rPr>
          <w:rFonts w:ascii="宋体" w:hAnsi="宋体" w:cs="宋体" w:eastAsia="宋体" w:hint="default"/>
          <w:spacing w:val="-106"/>
          <w:w w:val="100"/>
          <w:sz w:val="21"/>
          <w:szCs w:val="21"/>
        </w:rPr>
        <w:t>合</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的</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编</w:t>
      </w:r>
      <w:r>
        <w:rPr>
          <w:rFonts w:ascii="宋体" w:hAnsi="宋体" w:cs="宋体" w:eastAsia="宋体" w:hint="default"/>
          <w:w w:val="100"/>
          <w:sz w:val="21"/>
          <w:szCs w:val="21"/>
        </w:rPr>
        <w:t>报</w:t>
      </w:r>
      <w:r>
        <w:rPr>
          <w:rFonts w:ascii="宋体" w:hAnsi="宋体" w:cs="宋体" w:eastAsia="宋体" w:hint="default"/>
          <w:spacing w:val="-3"/>
          <w:w w:val="100"/>
          <w:sz w:val="21"/>
          <w:szCs w:val="21"/>
        </w:rPr>
        <w:t>规</w:t>
      </w:r>
      <w:r>
        <w:rPr>
          <w:rFonts w:ascii="宋体" w:hAnsi="宋体" w:cs="宋体" w:eastAsia="宋体" w:hint="default"/>
          <w:w w:val="100"/>
          <w:sz w:val="21"/>
          <w:szCs w:val="21"/>
        </w:rPr>
        <w:t>则第</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号</w:t>
      </w:r>
      <w:r>
        <w:rPr>
          <w:rFonts w:ascii="Times New Roman" w:hAnsi="Times New Roman" w:cs="Times New Roman" w:eastAsia="Times New Roman" w:hint="default"/>
          <w:w w:val="100"/>
          <w:sz w:val="21"/>
          <w:szCs w:val="21"/>
        </w:rPr>
        <w:t>— </w:t>
      </w:r>
      <w:r>
        <w:rPr>
          <w:rFonts w:ascii="宋体" w:hAnsi="宋体" w:cs="宋体" w:eastAsia="宋体" w:hint="default"/>
          <w:spacing w:val="13"/>
          <w:w w:val="94"/>
          <w:sz w:val="21"/>
          <w:szCs w:val="21"/>
        </w:rPr>
        <w:t>财</w:t>
      </w:r>
      <w:r>
        <w:rPr>
          <w:rFonts w:ascii="宋体" w:hAnsi="宋体" w:cs="宋体" w:eastAsia="宋体" w:hint="default"/>
          <w:spacing w:val="11"/>
          <w:w w:val="94"/>
          <w:sz w:val="21"/>
          <w:szCs w:val="21"/>
        </w:rPr>
        <w:t>务</w:t>
      </w:r>
      <w:r>
        <w:rPr>
          <w:rFonts w:ascii="宋体" w:hAnsi="宋体" w:cs="宋体" w:eastAsia="宋体" w:hint="default"/>
          <w:spacing w:val="13"/>
          <w:w w:val="94"/>
          <w:sz w:val="21"/>
          <w:szCs w:val="21"/>
        </w:rPr>
        <w:t>报</w:t>
      </w:r>
      <w:r>
        <w:rPr>
          <w:rFonts w:ascii="宋体" w:hAnsi="宋体" w:cs="宋体" w:eastAsia="宋体" w:hint="default"/>
          <w:spacing w:val="11"/>
          <w:w w:val="94"/>
          <w:sz w:val="21"/>
          <w:szCs w:val="21"/>
        </w:rPr>
        <w:t>告</w:t>
      </w:r>
      <w:r>
        <w:rPr>
          <w:rFonts w:ascii="宋体" w:hAnsi="宋体" w:cs="宋体" w:eastAsia="宋体" w:hint="default"/>
          <w:spacing w:val="13"/>
          <w:w w:val="94"/>
          <w:sz w:val="21"/>
          <w:szCs w:val="21"/>
        </w:rPr>
        <w:t>的</w:t>
      </w:r>
      <w:r>
        <w:rPr>
          <w:rFonts w:ascii="宋体" w:hAnsi="宋体" w:cs="宋体" w:eastAsia="宋体" w:hint="default"/>
          <w:spacing w:val="11"/>
          <w:w w:val="94"/>
          <w:sz w:val="21"/>
          <w:szCs w:val="21"/>
        </w:rPr>
        <w:t>一</w:t>
      </w:r>
      <w:r>
        <w:rPr>
          <w:rFonts w:ascii="宋体" w:hAnsi="宋体" w:cs="宋体" w:eastAsia="宋体" w:hint="default"/>
          <w:spacing w:val="13"/>
          <w:w w:val="94"/>
          <w:sz w:val="21"/>
          <w:szCs w:val="21"/>
        </w:rPr>
        <w:t>般</w:t>
      </w:r>
      <w:r>
        <w:rPr>
          <w:rFonts w:ascii="宋体" w:hAnsi="宋体" w:cs="宋体" w:eastAsia="宋体" w:hint="default"/>
          <w:spacing w:val="11"/>
          <w:w w:val="94"/>
          <w:sz w:val="21"/>
          <w:szCs w:val="21"/>
        </w:rPr>
        <w:t>规</w:t>
      </w:r>
      <w:r>
        <w:rPr>
          <w:rFonts w:ascii="宋体" w:hAnsi="宋体" w:cs="宋体" w:eastAsia="宋体" w:hint="default"/>
          <w:spacing w:val="13"/>
          <w:w w:val="94"/>
          <w:sz w:val="21"/>
          <w:szCs w:val="21"/>
        </w:rPr>
        <w:t>定</w:t>
      </w:r>
      <w:r>
        <w:rPr>
          <w:rFonts w:ascii="宋体" w:hAnsi="宋体" w:cs="宋体" w:eastAsia="宋体" w:hint="default"/>
          <w:spacing w:val="-111"/>
          <w:w w:val="94"/>
          <w:sz w:val="21"/>
          <w:szCs w:val="21"/>
        </w:rPr>
        <w:t>》</w:t>
      </w:r>
      <w:r>
        <w:rPr>
          <w:rFonts w:ascii="宋体" w:hAnsi="宋体" w:cs="宋体" w:eastAsia="宋体" w:hint="default"/>
          <w:w w:val="94"/>
          <w:sz w:val="21"/>
          <w:szCs w:val="21"/>
        </w:rPr>
        <w:t>（</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17"/>
          <w:w w:val="100"/>
          <w:sz w:val="21"/>
          <w:szCs w:val="21"/>
        </w:rPr>
        <w:t>）和</w:t>
      </w:r>
      <w:r>
        <w:rPr>
          <w:rFonts w:ascii="宋体" w:hAnsi="宋体" w:cs="宋体" w:eastAsia="宋体" w:hint="default"/>
          <w:spacing w:val="-3"/>
          <w:w w:val="100"/>
          <w:sz w:val="21"/>
          <w:szCs w:val="21"/>
        </w:rPr>
        <w:t>《公</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披</w:t>
      </w:r>
      <w:r>
        <w:rPr>
          <w:rFonts w:ascii="宋体" w:hAnsi="宋体" w:cs="宋体" w:eastAsia="宋体" w:hint="default"/>
          <w:spacing w:val="-3"/>
          <w:w w:val="100"/>
          <w:sz w:val="21"/>
          <w:szCs w:val="21"/>
        </w:rPr>
        <w:t>露</w:t>
      </w:r>
      <w:r>
        <w:rPr>
          <w:rFonts w:ascii="宋体" w:hAnsi="宋体" w:cs="宋体" w:eastAsia="宋体" w:hint="default"/>
          <w:w w:val="100"/>
          <w:sz w:val="21"/>
          <w:szCs w:val="21"/>
        </w:rPr>
        <w:t>编</w:t>
      </w:r>
      <w:r>
        <w:rPr>
          <w:rFonts w:ascii="宋体" w:hAnsi="宋体" w:cs="宋体" w:eastAsia="宋体" w:hint="default"/>
          <w:spacing w:val="-3"/>
          <w:w w:val="100"/>
          <w:sz w:val="21"/>
          <w:szCs w:val="21"/>
        </w:rPr>
        <w:t>报</w:t>
      </w:r>
      <w:r>
        <w:rPr>
          <w:rFonts w:ascii="宋体" w:hAnsi="宋体" w:cs="宋体" w:eastAsia="宋体" w:hint="default"/>
          <w:w w:val="100"/>
          <w:sz w:val="21"/>
          <w:szCs w:val="21"/>
        </w:rPr>
        <w:t>规则第</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净 资</w:t>
      </w:r>
      <w:r>
        <w:rPr>
          <w:rFonts w:ascii="宋体" w:hAnsi="宋体" w:cs="宋体" w:eastAsia="宋体" w:hint="default"/>
          <w:spacing w:val="-3"/>
          <w:w w:val="100"/>
          <w:sz w:val="21"/>
          <w:szCs w:val="21"/>
        </w:rPr>
        <w:t>产</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率</w:t>
      </w:r>
      <w:r>
        <w:rPr>
          <w:rFonts w:ascii="宋体" w:hAnsi="宋体" w:cs="宋体" w:eastAsia="宋体" w:hint="default"/>
          <w:spacing w:val="-3"/>
          <w:w w:val="100"/>
          <w:sz w:val="21"/>
          <w:szCs w:val="21"/>
        </w:rPr>
        <w:t>和</w:t>
      </w:r>
      <w:r>
        <w:rPr>
          <w:rFonts w:ascii="宋体" w:hAnsi="宋体" w:cs="宋体" w:eastAsia="宋体" w:hint="default"/>
          <w:w w:val="100"/>
          <w:sz w:val="21"/>
          <w:szCs w:val="21"/>
        </w:rPr>
        <w:t>每</w:t>
      </w:r>
      <w:r>
        <w:rPr>
          <w:rFonts w:ascii="宋体" w:hAnsi="宋体" w:cs="宋体" w:eastAsia="宋体" w:hint="default"/>
          <w:spacing w:val="-3"/>
          <w:w w:val="100"/>
          <w:sz w:val="21"/>
          <w:szCs w:val="21"/>
        </w:rPr>
        <w:t>股</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的</w:t>
      </w:r>
      <w:r>
        <w:rPr>
          <w:rFonts w:ascii="宋体" w:hAnsi="宋体" w:cs="宋体" w:eastAsia="宋体" w:hint="default"/>
          <w:spacing w:val="-3"/>
          <w:w w:val="100"/>
          <w:sz w:val="21"/>
          <w:szCs w:val="21"/>
        </w:rPr>
        <w:t>计</w:t>
      </w:r>
      <w:r>
        <w:rPr>
          <w:rFonts w:ascii="宋体" w:hAnsi="宋体" w:cs="宋体" w:eastAsia="宋体" w:hint="default"/>
          <w:w w:val="100"/>
          <w:sz w:val="21"/>
          <w:szCs w:val="21"/>
        </w:rPr>
        <w:t>算</w:t>
      </w:r>
      <w:r>
        <w:rPr>
          <w:rFonts w:ascii="宋体" w:hAnsi="宋体" w:cs="宋体" w:eastAsia="宋体" w:hint="default"/>
          <w:spacing w:val="-3"/>
          <w:w w:val="100"/>
          <w:sz w:val="21"/>
          <w:szCs w:val="21"/>
        </w:rPr>
        <w:t>及</w:t>
      </w:r>
      <w:r>
        <w:rPr>
          <w:rFonts w:ascii="宋体" w:hAnsi="宋体" w:cs="宋体" w:eastAsia="宋体" w:hint="default"/>
          <w:w w:val="100"/>
          <w:sz w:val="21"/>
          <w:szCs w:val="21"/>
        </w:rPr>
        <w:t>披</w:t>
      </w:r>
      <w:r>
        <w:rPr>
          <w:rFonts w:ascii="宋体" w:hAnsi="宋体" w:cs="宋体" w:eastAsia="宋体" w:hint="default"/>
          <w:spacing w:val="-3"/>
          <w:w w:val="100"/>
          <w:sz w:val="21"/>
          <w:szCs w:val="21"/>
        </w:rPr>
        <w:t>露</w:t>
      </w:r>
      <w:r>
        <w:rPr>
          <w:rFonts w:ascii="宋体" w:hAnsi="宋体" w:cs="宋体" w:eastAsia="宋体" w:hint="default"/>
          <w:spacing w:val="-104"/>
          <w:w w:val="100"/>
          <w:sz w:val="21"/>
          <w:szCs w:val="21"/>
        </w:rPr>
        <w:t>》</w:t>
      </w:r>
      <w:r>
        <w:rPr>
          <w:rFonts w:ascii="宋体" w:hAnsi="宋体" w:cs="宋体" w:eastAsia="宋体" w:hint="default"/>
          <w:spacing w:val="-5"/>
          <w:w w:val="100"/>
          <w:sz w:val="21"/>
          <w:szCs w:val="21"/>
        </w:rPr>
        <w:t>（</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3"/>
          <w:w w:val="100"/>
          <w:sz w:val="21"/>
          <w:szCs w:val="21"/>
        </w:rPr>
        <w:t>）</w:t>
      </w:r>
      <w:r>
        <w:rPr>
          <w:rFonts w:ascii="宋体" w:hAnsi="宋体" w:cs="宋体" w:eastAsia="宋体" w:hint="default"/>
          <w:w w:val="100"/>
          <w:sz w:val="21"/>
          <w:szCs w:val="21"/>
        </w:rPr>
        <w:t>有</w:t>
      </w:r>
      <w:r>
        <w:rPr>
          <w:rFonts w:ascii="宋体" w:hAnsi="宋体" w:cs="宋体" w:eastAsia="宋体" w:hint="default"/>
          <w:spacing w:val="-3"/>
          <w:w w:val="100"/>
          <w:sz w:val="21"/>
          <w:szCs w:val="21"/>
        </w:rPr>
        <w:t>关</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w:t>
      </w:r>
      <w:r>
        <w:rPr>
          <w:rFonts w:ascii="宋体" w:hAnsi="宋体" w:cs="宋体" w:eastAsia="宋体" w:hint="default"/>
          <w:spacing w:val="-3"/>
          <w:w w:val="100"/>
          <w:sz w:val="21"/>
          <w:szCs w:val="21"/>
        </w:rPr>
        <w:t>表</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的</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要</w:t>
      </w:r>
      <w:r>
        <w:rPr>
          <w:rFonts w:ascii="宋体" w:hAnsi="宋体" w:cs="宋体" w:eastAsia="宋体" w:hint="default"/>
          <w:w w:val="100"/>
          <w:sz w:val="21"/>
          <w:szCs w:val="21"/>
        </w:rPr>
        <w:t>求。</w:t>
      </w:r>
    </w:p>
    <w:p>
      <w:pPr>
        <w:spacing w:line="240" w:lineRule="auto" w:before="1"/>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5"/>
          <w:sz w:val="21"/>
          <w:szCs w:val="21"/>
        </w:rPr>
        <w:t> </w:t>
      </w:r>
      <w:r>
        <w:rPr>
          <w:rFonts w:ascii="宋体" w:hAnsi="宋体" w:cs="宋体" w:eastAsia="宋体" w:hint="default"/>
          <w:sz w:val="21"/>
          <w:szCs w:val="21"/>
        </w:rPr>
        <w:t>会计期间</w:t>
      </w:r>
    </w:p>
    <w:p>
      <w:pPr>
        <w:spacing w:line="240" w:lineRule="auto" w:before="2"/>
        <w:rPr>
          <w:rFonts w:ascii="宋体" w:hAnsi="宋体" w:cs="宋体" w:eastAsia="宋体" w:hint="default"/>
          <w:sz w:val="26"/>
          <w:szCs w:val="2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会计年度为公历</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240" w:lineRule="auto" w:before="1"/>
        <w:rPr>
          <w:rFonts w:ascii="宋体" w:hAnsi="宋体" w:cs="宋体" w:eastAsia="宋体" w:hint="default"/>
          <w:sz w:val="25"/>
          <w:szCs w:val="25"/>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7"/>
          <w:sz w:val="21"/>
          <w:szCs w:val="21"/>
        </w:rPr>
        <w:t> </w:t>
      </w:r>
      <w:r>
        <w:rPr>
          <w:rFonts w:ascii="宋体" w:hAnsi="宋体" w:cs="宋体" w:eastAsia="宋体" w:hint="default"/>
          <w:sz w:val="21"/>
          <w:szCs w:val="21"/>
        </w:rPr>
        <w:t>记账本位币</w:t>
      </w:r>
    </w:p>
    <w:p>
      <w:pPr>
        <w:spacing w:line="240" w:lineRule="auto" w:before="4"/>
        <w:rPr>
          <w:rFonts w:ascii="宋体" w:hAnsi="宋体" w:cs="宋体" w:eastAsia="宋体" w:hint="default"/>
          <w:sz w:val="26"/>
          <w:szCs w:val="2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12"/>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22"/>
          <w:sz w:val="21"/>
          <w:szCs w:val="21"/>
        </w:rPr>
        <w:t> </w:t>
      </w:r>
      <w:r>
        <w:rPr>
          <w:rFonts w:ascii="宋体" w:hAnsi="宋体" w:cs="宋体" w:eastAsia="宋体" w:hint="default"/>
          <w:sz w:val="21"/>
          <w:szCs w:val="21"/>
        </w:rPr>
        <w:t>同一控制下和非同一控制下企业合并的会计处理方法</w:t>
      </w:r>
    </w:p>
    <w:p>
      <w:pPr>
        <w:spacing w:after="0"/>
        <w:jc w:val="left"/>
        <w:rPr>
          <w:rFonts w:ascii="宋体" w:hAnsi="宋体" w:cs="宋体" w:eastAsia="宋体" w:hint="default"/>
          <w:sz w:val="21"/>
          <w:szCs w:val="21"/>
        </w:rPr>
        <w:sectPr>
          <w:pgSz w:w="11910" w:h="16840"/>
          <w:pgMar w:header="943" w:footer="897" w:top="1640" w:bottom="1080" w:left="1560" w:right="1480"/>
        </w:sectPr>
      </w:pPr>
    </w:p>
    <w:p>
      <w:pPr>
        <w:spacing w:line="240" w:lineRule="auto" w:before="11"/>
        <w:rPr>
          <w:rFonts w:ascii="宋体" w:hAnsi="宋体" w:cs="宋体" w:eastAsia="宋体" w:hint="default"/>
          <w:sz w:val="18"/>
          <w:szCs w:val="18"/>
        </w:rPr>
      </w:pPr>
    </w:p>
    <w:p>
      <w:pPr>
        <w:spacing w:line="350" w:lineRule="auto" w:before="36"/>
        <w:ind w:left="141" w:right="0" w:firstLine="420"/>
        <w:jc w:val="left"/>
        <w:rPr>
          <w:rFonts w:ascii="宋体" w:hAnsi="宋体" w:cs="宋体" w:eastAsia="宋体" w:hint="default"/>
          <w:sz w:val="21"/>
          <w:szCs w:val="21"/>
        </w:rPr>
      </w:pPr>
      <w:r>
        <w:rPr>
          <w:rFonts w:ascii="宋体" w:hAnsi="宋体" w:cs="宋体" w:eastAsia="宋体" w:hint="default"/>
          <w:spacing w:val="-5"/>
          <w:sz w:val="21"/>
          <w:szCs w:val="21"/>
        </w:rPr>
        <w:t>企业合并，是指将两个或者两个以上单独的企业合并形成一个报告主体的交易或事项。企</w:t>
      </w:r>
      <w:r>
        <w:rPr>
          <w:rFonts w:ascii="宋体" w:hAnsi="宋体" w:cs="宋体" w:eastAsia="宋体" w:hint="default"/>
          <w:w w:val="100"/>
          <w:sz w:val="21"/>
          <w:szCs w:val="21"/>
        </w:rPr>
        <w:t> </w:t>
      </w:r>
      <w:r>
        <w:rPr>
          <w:rFonts w:ascii="宋体" w:hAnsi="宋体" w:cs="宋体" w:eastAsia="宋体" w:hint="default"/>
          <w:sz w:val="21"/>
          <w:szCs w:val="21"/>
        </w:rPr>
        <w:t>业合并包括同一控制下的企业合并和非同一控制下的企业合并两种类型。</w:t>
      </w:r>
    </w:p>
    <w:p>
      <w:pPr>
        <w:spacing w:line="240" w:lineRule="auto" w:before="11"/>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．同一控制下的企业合并</w:t>
      </w:r>
    </w:p>
    <w:p>
      <w:pPr>
        <w:spacing w:line="240" w:lineRule="auto" w:before="2"/>
        <w:rPr>
          <w:rFonts w:ascii="宋体" w:hAnsi="宋体" w:cs="宋体" w:eastAsia="宋体" w:hint="default"/>
          <w:sz w:val="22"/>
          <w:szCs w:val="22"/>
        </w:rPr>
      </w:pPr>
    </w:p>
    <w:p>
      <w:pPr>
        <w:spacing w:line="348"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w w:val="100"/>
          <w:sz w:val="21"/>
          <w:szCs w:val="21"/>
        </w:rPr>
        <w:t>参与合并的企业合并前后均受同一方或相同多方最终控制且该控制并非暂时性的，为同一</w:t>
      </w:r>
      <w:r>
        <w:rPr>
          <w:rFonts w:ascii="宋体" w:hAnsi="宋体" w:cs="宋体" w:eastAsia="宋体" w:hint="default"/>
          <w:w w:val="100"/>
          <w:sz w:val="21"/>
          <w:szCs w:val="21"/>
        </w:rPr>
        <w:t> </w:t>
      </w:r>
      <w:r>
        <w:rPr>
          <w:rFonts w:ascii="宋体" w:hAnsi="宋体" w:cs="宋体" w:eastAsia="宋体" w:hint="default"/>
          <w:spacing w:val="-5"/>
          <w:sz w:val="21"/>
          <w:szCs w:val="21"/>
        </w:rPr>
        <w:t>控制下的企业合并。合并方在企业合并中取得的资产和负债，按照合并日在被合并方的账面价</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值计量。合并方取得的净资产账面价值与支付的合并对价账面价值（或发行股份面值总额）的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sz w:val="21"/>
          <w:szCs w:val="21"/>
        </w:rPr>
        <w:t>差额，调整资本公积中的股本溢价（或资本溢价）；资本公积中的股本溢价（或资本溢价）不</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足冲减的，调整留存收益。</w:t>
      </w:r>
    </w:p>
    <w:p>
      <w:pPr>
        <w:spacing w:line="240" w:lineRule="auto" w:before="13"/>
        <w:rPr>
          <w:rFonts w:ascii="宋体" w:hAnsi="宋体" w:cs="宋体" w:eastAsia="宋体" w:hint="default"/>
          <w:sz w:val="15"/>
          <w:szCs w:val="15"/>
        </w:rPr>
      </w:pPr>
    </w:p>
    <w:p>
      <w:pPr>
        <w:spacing w:line="350" w:lineRule="auto" w:before="0"/>
        <w:ind w:left="141" w:right="0" w:firstLine="420"/>
        <w:jc w:val="left"/>
        <w:rPr>
          <w:rFonts w:ascii="宋体" w:hAnsi="宋体" w:cs="宋体" w:eastAsia="宋体" w:hint="default"/>
          <w:sz w:val="21"/>
          <w:szCs w:val="21"/>
        </w:rPr>
      </w:pPr>
      <w:r>
        <w:rPr>
          <w:rFonts w:ascii="宋体" w:hAnsi="宋体" w:cs="宋体" w:eastAsia="宋体" w:hint="default"/>
          <w:sz w:val="21"/>
          <w:szCs w:val="21"/>
        </w:rPr>
        <w:t>合并方为进行企业合并发生的各项直接相关费用，包括为进行企业合并而支付的审计费</w:t>
      </w:r>
      <w:r>
        <w:rPr>
          <w:rFonts w:ascii="宋体" w:hAnsi="宋体" w:cs="宋体" w:eastAsia="宋体" w:hint="default"/>
          <w:w w:val="100"/>
          <w:sz w:val="21"/>
          <w:szCs w:val="21"/>
        </w:rPr>
        <w:t> </w:t>
      </w:r>
      <w:r>
        <w:rPr>
          <w:rFonts w:ascii="宋体" w:hAnsi="宋体" w:cs="宋体" w:eastAsia="宋体" w:hint="default"/>
          <w:spacing w:val="-5"/>
          <w:sz w:val="21"/>
          <w:szCs w:val="21"/>
        </w:rPr>
        <w:t>用、评估费用、法律服务费用等，于发生时计入当期损益。为企业合并发行的债券或承担其他</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债务支付的手续费、佣金等，计入所发行债券及其他债务的初始计量金额。企业合并中发行权</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益性证券发生的手续费、佣金等费用，抵减权益性证券溢价收入，溢价收入不足冲减的，冲减</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留存收益。合并日为合并方实际取得对被合并方控制权的日期。</w:t>
      </w:r>
    </w:p>
    <w:p>
      <w:pPr>
        <w:spacing w:line="240" w:lineRule="auto" w:before="11"/>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．非同一控制下企业合并</w:t>
      </w:r>
    </w:p>
    <w:p>
      <w:pPr>
        <w:spacing w:line="240" w:lineRule="auto" w:before="2"/>
        <w:rPr>
          <w:rFonts w:ascii="宋体" w:hAnsi="宋体" w:cs="宋体" w:eastAsia="宋体" w:hint="default"/>
          <w:sz w:val="22"/>
          <w:szCs w:val="22"/>
        </w:rPr>
      </w:pPr>
    </w:p>
    <w:p>
      <w:pPr>
        <w:spacing w:line="350" w:lineRule="auto" w:before="0"/>
        <w:ind w:left="141" w:right="0" w:firstLine="420"/>
        <w:jc w:val="left"/>
        <w:rPr>
          <w:rFonts w:ascii="宋体" w:hAnsi="宋体" w:cs="宋体" w:eastAsia="宋体" w:hint="default"/>
          <w:sz w:val="21"/>
          <w:szCs w:val="21"/>
        </w:rPr>
      </w:pPr>
      <w:r>
        <w:rPr>
          <w:rFonts w:ascii="宋体" w:hAnsi="宋体" w:cs="宋体" w:eastAsia="宋体" w:hint="default"/>
          <w:sz w:val="21"/>
          <w:szCs w:val="21"/>
        </w:rPr>
        <w:t>参与合并的各方在合并前后不受同一方或相同的多方最终控制，为非同一控制下企业合</w:t>
      </w:r>
      <w:r>
        <w:rPr>
          <w:rFonts w:ascii="宋体" w:hAnsi="宋体" w:cs="宋体" w:eastAsia="宋体" w:hint="default"/>
          <w:w w:val="100"/>
          <w:sz w:val="21"/>
          <w:szCs w:val="21"/>
        </w:rPr>
        <w:t> </w:t>
      </w:r>
      <w:r>
        <w:rPr>
          <w:rFonts w:ascii="宋体" w:hAnsi="宋体" w:cs="宋体" w:eastAsia="宋体" w:hint="default"/>
          <w:spacing w:val="-4"/>
          <w:sz w:val="21"/>
          <w:szCs w:val="21"/>
        </w:rPr>
        <w:t>并。购买方支付的合并成本为进行企业合并支付的现金或非现金资产、发生或承担的负债、发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w w:val="100"/>
          <w:sz w:val="21"/>
          <w:szCs w:val="21"/>
        </w:rPr>
        <w:t>行的权益性证券等在购买日的公允价值以及企业合并中发生的各项直接相关的费用之和。支付</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的非现金资产的公允价值与其账面价值的差额，计入当期损益。</w:t>
      </w:r>
    </w:p>
    <w:p>
      <w:pPr>
        <w:spacing w:line="240" w:lineRule="auto" w:before="11"/>
        <w:rPr>
          <w:rFonts w:ascii="宋体" w:hAnsi="宋体" w:cs="宋体" w:eastAsia="宋体" w:hint="default"/>
          <w:sz w:val="15"/>
          <w:szCs w:val="15"/>
        </w:rPr>
      </w:pPr>
    </w:p>
    <w:p>
      <w:pPr>
        <w:spacing w:line="350" w:lineRule="auto" w:before="0"/>
        <w:ind w:left="141" w:right="112" w:firstLine="420"/>
        <w:jc w:val="both"/>
        <w:rPr>
          <w:rFonts w:ascii="宋体" w:hAnsi="宋体" w:cs="宋体" w:eastAsia="宋体" w:hint="default"/>
          <w:sz w:val="21"/>
          <w:szCs w:val="21"/>
        </w:rPr>
      </w:pPr>
      <w:r>
        <w:rPr>
          <w:rFonts w:ascii="宋体" w:hAnsi="宋体" w:cs="宋体" w:eastAsia="宋体" w:hint="default"/>
          <w:spacing w:val="-5"/>
          <w:w w:val="100"/>
          <w:sz w:val="21"/>
          <w:szCs w:val="21"/>
        </w:rPr>
        <w:t>合并成本大于合并中取得的被购买方于购买日可辨认净资产公允价值份额的差额，确认为</w:t>
      </w:r>
      <w:r>
        <w:rPr>
          <w:rFonts w:ascii="宋体" w:hAnsi="宋体" w:cs="宋体" w:eastAsia="宋体" w:hint="default"/>
          <w:w w:val="100"/>
          <w:sz w:val="21"/>
          <w:szCs w:val="21"/>
        </w:rPr>
        <w:t> </w:t>
      </w:r>
      <w:r>
        <w:rPr>
          <w:rFonts w:ascii="宋体" w:hAnsi="宋体" w:cs="宋体" w:eastAsia="宋体" w:hint="default"/>
          <w:spacing w:val="-5"/>
          <w:sz w:val="21"/>
          <w:szCs w:val="21"/>
        </w:rPr>
        <w:t>商誉；合并成本小于合并中取得的被购买方可辨认净资产公允价值份额的差额时，对取得的被</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sz w:val="21"/>
          <w:szCs w:val="21"/>
        </w:rPr>
        <w:t>购买方各项可辨认资产、负债及或有负债的公允价值以及合并成本的计量进行复核；经复核后</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合并成本仍小于合并中取得的被购买方可辨认净资产公允价值份额的，其差额计入当期损益。</w:t>
      </w:r>
    </w:p>
    <w:p>
      <w:pPr>
        <w:spacing w:line="240" w:lineRule="auto" w:before="11"/>
        <w:rPr>
          <w:rFonts w:ascii="宋体" w:hAnsi="宋体" w:cs="宋体" w:eastAsia="宋体" w:hint="default"/>
          <w:sz w:val="15"/>
          <w:szCs w:val="15"/>
        </w:rPr>
      </w:pPr>
    </w:p>
    <w:p>
      <w:pPr>
        <w:spacing w:line="350" w:lineRule="auto" w:before="0"/>
        <w:ind w:left="141" w:right="0" w:firstLine="420"/>
        <w:jc w:val="left"/>
        <w:rPr>
          <w:rFonts w:ascii="宋体" w:hAnsi="宋体" w:cs="宋体" w:eastAsia="宋体" w:hint="default"/>
          <w:sz w:val="21"/>
          <w:szCs w:val="21"/>
        </w:rPr>
      </w:pPr>
      <w:r>
        <w:rPr>
          <w:rFonts w:ascii="宋体" w:hAnsi="宋体" w:cs="宋体" w:eastAsia="宋体" w:hint="default"/>
          <w:spacing w:val="-2"/>
          <w:sz w:val="21"/>
          <w:szCs w:val="21"/>
        </w:rPr>
        <w:t>购买日为购买方实际取得对被购买方控制权的日期。购买方在购买日对合并成本进行分</w:t>
      </w:r>
      <w:r>
        <w:rPr>
          <w:rFonts w:ascii="宋体" w:hAnsi="宋体" w:cs="宋体" w:eastAsia="宋体" w:hint="default"/>
          <w:w w:val="100"/>
          <w:sz w:val="21"/>
          <w:szCs w:val="21"/>
        </w:rPr>
        <w:t> </w:t>
      </w:r>
      <w:r>
        <w:rPr>
          <w:rFonts w:ascii="宋体" w:hAnsi="宋体" w:cs="宋体" w:eastAsia="宋体" w:hint="default"/>
          <w:sz w:val="21"/>
          <w:szCs w:val="21"/>
        </w:rPr>
        <w:t>配，确认所取得的被购买方各项可辨认资产、负债及或有负债。</w:t>
      </w:r>
    </w:p>
    <w:p>
      <w:pPr>
        <w:spacing w:line="240" w:lineRule="auto" w:before="11"/>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业务合并按相同的方法处理。</w:t>
      </w:r>
    </w:p>
    <w:p>
      <w:pPr>
        <w:spacing w:line="240" w:lineRule="auto" w:before="3"/>
        <w:rPr>
          <w:rFonts w:ascii="宋体" w:hAnsi="宋体" w:cs="宋体" w:eastAsia="宋体" w:hint="default"/>
          <w:sz w:val="23"/>
          <w:szCs w:val="23"/>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9"/>
          <w:sz w:val="21"/>
          <w:szCs w:val="21"/>
        </w:rPr>
        <w:t> </w:t>
      </w:r>
      <w:r>
        <w:rPr>
          <w:rFonts w:ascii="宋体" w:hAnsi="宋体" w:cs="宋体" w:eastAsia="宋体" w:hint="default"/>
          <w:sz w:val="21"/>
          <w:szCs w:val="21"/>
        </w:rPr>
        <w:t>合并财务报表的编制方法</w:t>
      </w:r>
    </w:p>
    <w:p>
      <w:pPr>
        <w:spacing w:line="240" w:lineRule="auto" w:before="5"/>
        <w:rPr>
          <w:rFonts w:ascii="宋体" w:hAnsi="宋体" w:cs="宋体" w:eastAsia="宋体" w:hint="default"/>
          <w:sz w:val="23"/>
          <w:szCs w:val="23"/>
        </w:rPr>
      </w:pPr>
    </w:p>
    <w:p>
      <w:pPr>
        <w:spacing w:line="348" w:lineRule="auto" w:before="0"/>
        <w:ind w:left="141" w:right="0" w:firstLine="357"/>
        <w:jc w:val="left"/>
        <w:rPr>
          <w:rFonts w:ascii="宋体" w:hAnsi="宋体" w:cs="宋体" w:eastAsia="宋体" w:hint="default"/>
          <w:sz w:val="21"/>
          <w:szCs w:val="21"/>
        </w:rPr>
      </w:pPr>
      <w:r>
        <w:rPr>
          <w:rFonts w:ascii="宋体" w:hAnsi="宋体" w:cs="宋体" w:eastAsia="宋体" w:hint="default"/>
          <w:sz w:val="21"/>
          <w:szCs w:val="21"/>
        </w:rPr>
        <w:t>合并财务报表的合并范围包括本公司及子公司。控制是指有权决定一个公司的财务和经</w:t>
      </w:r>
      <w:r>
        <w:rPr>
          <w:rFonts w:ascii="宋体" w:hAnsi="宋体" w:cs="宋体" w:eastAsia="宋体" w:hint="default"/>
          <w:w w:val="100"/>
          <w:sz w:val="21"/>
          <w:szCs w:val="21"/>
        </w:rPr>
        <w:t> </w:t>
      </w:r>
      <w:r>
        <w:rPr>
          <w:rFonts w:ascii="宋体" w:hAnsi="宋体" w:cs="宋体" w:eastAsia="宋体" w:hint="default"/>
          <w:sz w:val="21"/>
          <w:szCs w:val="21"/>
        </w:rPr>
        <w:t>营政策，并能据以从该公司的经营活动中获取利益。</w:t>
      </w:r>
    </w:p>
    <w:p>
      <w:pPr>
        <w:spacing w:after="0" w:line="348" w:lineRule="auto"/>
        <w:jc w:val="left"/>
        <w:rPr>
          <w:rFonts w:ascii="宋体" w:hAnsi="宋体" w:cs="宋体" w:eastAsia="宋体" w:hint="default"/>
          <w:sz w:val="21"/>
          <w:szCs w:val="21"/>
        </w:rPr>
        <w:sectPr>
          <w:pgSz w:w="11910" w:h="16840"/>
          <w:pgMar w:header="943" w:footer="897" w:top="1640" w:bottom="1080" w:left="1560" w:right="1480"/>
        </w:sectPr>
      </w:pPr>
    </w:p>
    <w:p>
      <w:pPr>
        <w:spacing w:line="240" w:lineRule="auto" w:before="11"/>
        <w:rPr>
          <w:rFonts w:ascii="宋体" w:hAnsi="宋体" w:cs="宋体" w:eastAsia="宋体" w:hint="default"/>
          <w:sz w:val="18"/>
          <w:szCs w:val="18"/>
        </w:rPr>
      </w:pPr>
    </w:p>
    <w:p>
      <w:pPr>
        <w:spacing w:line="350" w:lineRule="auto" w:before="36"/>
        <w:ind w:left="141" w:right="241" w:firstLine="357"/>
        <w:jc w:val="both"/>
        <w:rPr>
          <w:rFonts w:ascii="宋体" w:hAnsi="宋体" w:cs="宋体" w:eastAsia="宋体" w:hint="default"/>
          <w:sz w:val="21"/>
          <w:szCs w:val="21"/>
        </w:rPr>
      </w:pPr>
      <w:r>
        <w:rPr>
          <w:rFonts w:ascii="宋体" w:hAnsi="宋体" w:cs="宋体" w:eastAsia="宋体" w:hint="default"/>
          <w:sz w:val="21"/>
          <w:szCs w:val="21"/>
        </w:rPr>
        <w:t>本公司通过同一控制下企业合并取得的子公司，在编制合并当期财务报表时，视同被合</w:t>
      </w:r>
      <w:r>
        <w:rPr>
          <w:rFonts w:ascii="宋体" w:hAnsi="宋体" w:cs="宋体" w:eastAsia="宋体" w:hint="default"/>
          <w:w w:val="100"/>
          <w:sz w:val="21"/>
          <w:szCs w:val="21"/>
        </w:rPr>
        <w:t> </w:t>
      </w:r>
      <w:r>
        <w:rPr>
          <w:rFonts w:ascii="宋体" w:hAnsi="宋体" w:cs="宋体" w:eastAsia="宋体" w:hint="default"/>
          <w:spacing w:val="-2"/>
          <w:sz w:val="21"/>
          <w:szCs w:val="21"/>
        </w:rPr>
        <w:t>并子公司在本公司最终控制方对其开始实施控制时纳入本公司合并范围。因此本公司在编制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合并当期财务报表时，将被合并子公司的经营成果自本公司最终控制方开始实施控制时起纳</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入本公司合并利润表中，并对合并财务报表的年初数以及前期比较报表进行相应调整。</w:t>
      </w:r>
    </w:p>
    <w:p>
      <w:pPr>
        <w:spacing w:line="240" w:lineRule="auto" w:before="0"/>
        <w:rPr>
          <w:rFonts w:ascii="宋体" w:hAnsi="宋体" w:cs="宋体" w:eastAsia="宋体" w:hint="default"/>
          <w:sz w:val="16"/>
          <w:szCs w:val="16"/>
        </w:rPr>
      </w:pPr>
    </w:p>
    <w:p>
      <w:pPr>
        <w:spacing w:line="350" w:lineRule="auto" w:before="0"/>
        <w:ind w:left="141" w:right="241" w:firstLine="357"/>
        <w:jc w:val="both"/>
        <w:rPr>
          <w:rFonts w:ascii="宋体" w:hAnsi="宋体" w:cs="宋体" w:eastAsia="宋体" w:hint="default"/>
          <w:sz w:val="21"/>
          <w:szCs w:val="21"/>
        </w:rPr>
      </w:pPr>
      <w:r>
        <w:rPr>
          <w:rFonts w:ascii="宋体" w:hAnsi="宋体" w:cs="宋体" w:eastAsia="宋体" w:hint="default"/>
          <w:sz w:val="21"/>
          <w:szCs w:val="21"/>
        </w:rPr>
        <w:t>本公司通过非同一控制下企业合并取得的子公司，在编制合并当期财务报表时，以购买</w:t>
      </w:r>
      <w:r>
        <w:rPr>
          <w:rFonts w:ascii="宋体" w:hAnsi="宋体" w:cs="宋体" w:eastAsia="宋体" w:hint="default"/>
          <w:w w:val="100"/>
          <w:sz w:val="21"/>
          <w:szCs w:val="21"/>
        </w:rPr>
        <w:t> </w:t>
      </w:r>
      <w:r>
        <w:rPr>
          <w:rFonts w:ascii="宋体" w:hAnsi="宋体" w:cs="宋体" w:eastAsia="宋体" w:hint="default"/>
          <w:spacing w:val="-2"/>
          <w:sz w:val="21"/>
          <w:szCs w:val="21"/>
        </w:rPr>
        <w:t>日确定的各项可辨认资产、负债的公允价值为基础对子公司的财务报表进行调整，并自购买</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日起将被购买子公司的资产、负债及经营成果纳入本公司合并财务报表中，并不调整合并财</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务报表年初数以及前期比较报表。</w:t>
      </w:r>
    </w:p>
    <w:p>
      <w:pPr>
        <w:spacing w:line="240" w:lineRule="auto" w:before="11"/>
        <w:rPr>
          <w:rFonts w:ascii="宋体" w:hAnsi="宋体" w:cs="宋体" w:eastAsia="宋体" w:hint="default"/>
          <w:sz w:val="15"/>
          <w:szCs w:val="15"/>
        </w:rPr>
      </w:pPr>
    </w:p>
    <w:p>
      <w:pPr>
        <w:spacing w:line="350" w:lineRule="auto" w:before="0"/>
        <w:ind w:left="141" w:right="260" w:firstLine="357"/>
        <w:jc w:val="both"/>
        <w:rPr>
          <w:rFonts w:ascii="宋体" w:hAnsi="宋体" w:cs="宋体" w:eastAsia="宋体" w:hint="default"/>
          <w:sz w:val="21"/>
          <w:szCs w:val="21"/>
        </w:rPr>
      </w:pPr>
      <w:r>
        <w:rPr>
          <w:rFonts w:ascii="宋体" w:hAnsi="宋体" w:cs="宋体" w:eastAsia="宋体" w:hint="default"/>
          <w:sz w:val="21"/>
          <w:szCs w:val="21"/>
        </w:rPr>
        <w:t>子公司少数股东应占的权益和损益分别在合并资产负债表中股东权益项目下和合并利润</w:t>
      </w:r>
      <w:r>
        <w:rPr>
          <w:rFonts w:ascii="宋体" w:hAnsi="宋体" w:cs="宋体" w:eastAsia="宋体" w:hint="default"/>
          <w:w w:val="100"/>
          <w:sz w:val="21"/>
          <w:szCs w:val="21"/>
        </w:rPr>
        <w:t> </w:t>
      </w:r>
      <w:r>
        <w:rPr>
          <w:rFonts w:ascii="宋体" w:hAnsi="宋体" w:cs="宋体" w:eastAsia="宋体" w:hint="default"/>
          <w:sz w:val="21"/>
          <w:szCs w:val="21"/>
        </w:rPr>
        <w:t>表中净利润项目下单独列示。</w:t>
      </w:r>
    </w:p>
    <w:p>
      <w:pPr>
        <w:spacing w:line="343" w:lineRule="auto" w:before="147"/>
        <w:ind w:left="141" w:right="236" w:firstLine="357"/>
        <w:jc w:val="right"/>
        <w:rPr>
          <w:rFonts w:ascii="宋体" w:hAnsi="宋体" w:cs="宋体" w:eastAsia="宋体" w:hint="default"/>
          <w:sz w:val="21"/>
          <w:szCs w:val="21"/>
        </w:rPr>
      </w:pPr>
      <w:r>
        <w:rPr>
          <w:rFonts w:ascii="宋体" w:hAnsi="宋体" w:cs="宋体" w:eastAsia="宋体" w:hint="default"/>
          <w:sz w:val="21"/>
          <w:szCs w:val="21"/>
        </w:rPr>
        <w:t>如果归属少数股东的亏损超过少数股东在该子公司所有者权益中所享有的份额，除公司</w:t>
      </w:r>
      <w:r>
        <w:rPr>
          <w:rFonts w:ascii="宋体" w:hAnsi="宋体" w:cs="宋体" w:eastAsia="宋体" w:hint="default"/>
          <w:w w:val="100"/>
          <w:sz w:val="21"/>
          <w:szCs w:val="21"/>
        </w:rPr>
        <w:t> </w:t>
      </w:r>
      <w:r>
        <w:rPr>
          <w:rFonts w:ascii="宋体" w:hAnsi="宋体" w:cs="宋体" w:eastAsia="宋体" w:hint="default"/>
          <w:spacing w:val="-2"/>
          <w:sz w:val="21"/>
          <w:szCs w:val="21"/>
        </w:rPr>
        <w:t>章程或协议规定少数股东有义务承担并且少数股东有能力予以弥补的部分外，其余部分冲减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本集团权益</w:t>
      </w:r>
      <w:r>
        <w:rPr>
          <w:rFonts w:ascii="宋体" w:hAnsi="宋体" w:cs="宋体" w:eastAsia="宋体" w:hint="default"/>
          <w:spacing w:val="68"/>
          <w:sz w:val="21"/>
          <w:szCs w:val="21"/>
        </w:rPr>
        <w:t> </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即本财务报表中的归属于母公司股东权益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。如果子公司以后期间实现利润，在</w:t>
      </w:r>
      <w:r>
        <w:rPr>
          <w:rFonts w:ascii="宋体" w:hAnsi="宋体" w:cs="宋体" w:eastAsia="宋体" w:hint="default"/>
          <w:w w:val="100"/>
          <w:sz w:val="21"/>
          <w:szCs w:val="21"/>
        </w:rPr>
        <w:t> </w:t>
      </w:r>
      <w:r>
        <w:rPr>
          <w:rFonts w:ascii="宋体" w:hAnsi="宋体" w:cs="宋体" w:eastAsia="宋体" w:hint="default"/>
          <w:spacing w:val="-2"/>
          <w:sz w:val="21"/>
          <w:szCs w:val="21"/>
        </w:rPr>
        <w:t>弥补了由本集团权益所承担的属于少数股东的损失之前，所有利润全部归属于本集团权益。</w:t>
      </w:r>
    </w:p>
    <w:p>
      <w:pPr>
        <w:spacing w:line="348" w:lineRule="auto" w:before="153"/>
        <w:ind w:left="141" w:right="241" w:firstLine="357"/>
        <w:jc w:val="both"/>
        <w:rPr>
          <w:rFonts w:ascii="宋体" w:hAnsi="宋体" w:cs="宋体" w:eastAsia="宋体" w:hint="default"/>
          <w:sz w:val="21"/>
          <w:szCs w:val="21"/>
        </w:rPr>
      </w:pPr>
      <w:r>
        <w:rPr>
          <w:rFonts w:ascii="宋体" w:hAnsi="宋体" w:cs="宋体" w:eastAsia="宋体" w:hint="default"/>
          <w:sz w:val="21"/>
          <w:szCs w:val="21"/>
        </w:rPr>
        <w:t>当子公司所采用的会计期间或会计政策与本公司不一致时，合并时已按照本公司的会计</w:t>
      </w:r>
      <w:r>
        <w:rPr>
          <w:rFonts w:ascii="宋体" w:hAnsi="宋体" w:cs="宋体" w:eastAsia="宋体" w:hint="default"/>
          <w:w w:val="100"/>
          <w:sz w:val="21"/>
          <w:szCs w:val="21"/>
        </w:rPr>
        <w:t> </w:t>
      </w:r>
      <w:r>
        <w:rPr>
          <w:rFonts w:ascii="宋体" w:hAnsi="宋体" w:cs="宋体" w:eastAsia="宋体" w:hint="default"/>
          <w:spacing w:val="-2"/>
          <w:sz w:val="21"/>
          <w:szCs w:val="21"/>
        </w:rPr>
        <w:t>期间或会计政策对子公司财务报表进行必要的调整。合并时所有公司内重大交易，包括内部</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实现利润及往来余额均已抵销。</w:t>
      </w:r>
    </w:p>
    <w:p>
      <w:pPr>
        <w:spacing w:before="151"/>
        <w:ind w:left="561" w:right="129"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9"/>
          <w:sz w:val="21"/>
          <w:szCs w:val="21"/>
        </w:rPr>
        <w:t> </w:t>
      </w:r>
      <w:r>
        <w:rPr>
          <w:rFonts w:ascii="宋体" w:hAnsi="宋体" w:cs="宋体" w:eastAsia="宋体" w:hint="default"/>
          <w:sz w:val="21"/>
          <w:szCs w:val="21"/>
        </w:rPr>
        <w:t>现金及现金等价物的确定标准</w:t>
      </w:r>
    </w:p>
    <w:p>
      <w:pPr>
        <w:spacing w:line="240" w:lineRule="auto" w:before="8"/>
        <w:rPr>
          <w:rFonts w:ascii="宋体" w:hAnsi="宋体" w:cs="宋体" w:eastAsia="宋体" w:hint="default"/>
          <w:sz w:val="18"/>
          <w:szCs w:val="18"/>
        </w:rPr>
      </w:pPr>
    </w:p>
    <w:p>
      <w:pPr>
        <w:spacing w:line="350" w:lineRule="auto" w:before="0"/>
        <w:ind w:left="141" w:right="241" w:firstLine="420"/>
        <w:jc w:val="both"/>
        <w:rPr>
          <w:rFonts w:ascii="宋体" w:hAnsi="宋体" w:cs="宋体" w:eastAsia="宋体" w:hint="default"/>
          <w:sz w:val="21"/>
          <w:szCs w:val="21"/>
        </w:rPr>
      </w:pPr>
      <w:r>
        <w:rPr>
          <w:rFonts w:ascii="宋体" w:hAnsi="宋体" w:cs="宋体" w:eastAsia="宋体" w:hint="default"/>
          <w:spacing w:val="-2"/>
          <w:sz w:val="21"/>
          <w:szCs w:val="21"/>
        </w:rPr>
        <w:t>现金是指公司库存现金以及可以随时用于支付的存款。现金等价物是指公司持有的期限</w:t>
      </w:r>
      <w:r>
        <w:rPr>
          <w:rFonts w:ascii="宋体" w:hAnsi="宋体" w:cs="宋体" w:eastAsia="宋体" w:hint="default"/>
          <w:w w:val="100"/>
          <w:sz w:val="21"/>
          <w:szCs w:val="21"/>
        </w:rPr>
        <w:t> </w:t>
      </w:r>
      <w:r>
        <w:rPr>
          <w:rFonts w:ascii="宋体" w:hAnsi="宋体" w:cs="宋体" w:eastAsia="宋体" w:hint="default"/>
          <w:sz w:val="21"/>
          <w:szCs w:val="21"/>
        </w:rPr>
        <w:t>短、流动性强、易于转换为已知金额现金、价值变动风险很小的投资。</w:t>
      </w:r>
    </w:p>
    <w:p>
      <w:pPr>
        <w:spacing w:before="147"/>
        <w:ind w:left="561" w:right="129" w:firstLine="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19"/>
          <w:sz w:val="21"/>
          <w:szCs w:val="21"/>
        </w:rPr>
        <w:t> </w:t>
      </w:r>
      <w:r>
        <w:rPr>
          <w:rFonts w:ascii="宋体" w:hAnsi="宋体" w:cs="宋体" w:eastAsia="宋体" w:hint="default"/>
          <w:sz w:val="21"/>
          <w:szCs w:val="21"/>
        </w:rPr>
        <w:t>外币业务和外币报表折算</w:t>
      </w:r>
    </w:p>
    <w:p>
      <w:pPr>
        <w:spacing w:line="240" w:lineRule="auto" w:before="8"/>
        <w:rPr>
          <w:rFonts w:ascii="宋体" w:hAnsi="宋体" w:cs="宋体" w:eastAsia="宋体" w:hint="default"/>
          <w:sz w:val="18"/>
          <w:szCs w:val="18"/>
        </w:rPr>
      </w:pPr>
    </w:p>
    <w:p>
      <w:pPr>
        <w:spacing w:before="0"/>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．外币交易</w:t>
      </w:r>
    </w:p>
    <w:p>
      <w:pPr>
        <w:spacing w:line="520" w:lineRule="exact" w:before="57"/>
        <w:ind w:left="561" w:right="129" w:firstLine="0"/>
        <w:jc w:val="left"/>
        <w:rPr>
          <w:rFonts w:ascii="宋体" w:hAnsi="宋体" w:cs="宋体" w:eastAsia="宋体" w:hint="default"/>
          <w:sz w:val="21"/>
          <w:szCs w:val="21"/>
        </w:rPr>
      </w:pPr>
      <w:r>
        <w:rPr>
          <w:rFonts w:ascii="宋体" w:hAnsi="宋体" w:cs="宋体" w:eastAsia="宋体" w:hint="default"/>
          <w:sz w:val="21"/>
          <w:szCs w:val="21"/>
        </w:rPr>
        <w:t>外币交易按交易发生当日的即期汇率折合为人民币入帐。</w:t>
      </w:r>
      <w:r>
        <w:rPr>
          <w:rFonts w:ascii="宋体" w:hAnsi="宋体" w:cs="宋体" w:eastAsia="宋体" w:hint="default"/>
          <w:w w:val="100"/>
          <w:sz w:val="21"/>
          <w:szCs w:val="21"/>
        </w:rPr>
        <w:t> </w:t>
      </w:r>
      <w:r>
        <w:rPr>
          <w:rFonts w:ascii="宋体" w:hAnsi="宋体" w:cs="宋体" w:eastAsia="宋体" w:hint="default"/>
          <w:spacing w:val="-2"/>
          <w:sz w:val="21"/>
          <w:szCs w:val="21"/>
        </w:rPr>
        <w:t>于资产负债表日，外币货币性项目采用资产负债表日的即期汇率折算为人民币，所产生</w:t>
      </w:r>
    </w:p>
    <w:p>
      <w:pPr>
        <w:spacing w:line="350" w:lineRule="auto" w:before="49"/>
        <w:ind w:left="141" w:right="241" w:firstLine="0"/>
        <w:jc w:val="both"/>
        <w:rPr>
          <w:rFonts w:ascii="宋体" w:hAnsi="宋体" w:cs="宋体" w:eastAsia="宋体" w:hint="default"/>
          <w:sz w:val="21"/>
          <w:szCs w:val="21"/>
        </w:rPr>
      </w:pPr>
      <w:r>
        <w:rPr>
          <w:rFonts w:ascii="宋体" w:hAnsi="宋体" w:cs="宋体" w:eastAsia="宋体" w:hint="default"/>
          <w:spacing w:val="-2"/>
          <w:sz w:val="21"/>
          <w:szCs w:val="21"/>
        </w:rPr>
        <w:t>的汇兑差额除与购建或者生产符合资本化条件的资产而借入的外币专门借款产生的汇兑差额</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按借款费用的原则处理外，计入当期损益。以历史成本计量的外币非货币性项目，以资产负</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债表日采用交易发生日的即期汇率折算。</w:t>
      </w:r>
    </w:p>
    <w:p>
      <w:pPr>
        <w:spacing w:before="147"/>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w:t>
      </w:r>
    </w:p>
    <w:p>
      <w:pPr>
        <w:spacing w:line="240" w:lineRule="auto" w:before="5"/>
        <w:rPr>
          <w:rFonts w:ascii="宋体" w:hAnsi="宋体" w:cs="宋体" w:eastAsia="宋体" w:hint="default"/>
          <w:sz w:val="17"/>
          <w:szCs w:val="17"/>
        </w:rPr>
      </w:pPr>
    </w:p>
    <w:p>
      <w:pPr>
        <w:spacing w:line="350" w:lineRule="auto" w:before="0"/>
        <w:ind w:left="141" w:right="129" w:firstLine="420"/>
        <w:jc w:val="left"/>
        <w:rPr>
          <w:rFonts w:ascii="宋体" w:hAnsi="宋体" w:cs="宋体" w:eastAsia="宋体" w:hint="default"/>
          <w:sz w:val="21"/>
          <w:szCs w:val="21"/>
        </w:rPr>
      </w:pPr>
      <w:r>
        <w:rPr>
          <w:rFonts w:ascii="宋体" w:hAnsi="宋体" w:cs="宋体" w:eastAsia="宋体" w:hint="default"/>
          <w:spacing w:val="-5"/>
          <w:sz w:val="21"/>
          <w:szCs w:val="21"/>
        </w:rPr>
        <w:t>境外经营的资产负债表中的资产和负债项目，采用资产负债表日的即期汇率折算，所有者</w:t>
      </w:r>
      <w:r>
        <w:rPr>
          <w:rFonts w:ascii="宋体" w:hAnsi="宋体" w:cs="宋体" w:eastAsia="宋体" w:hint="default"/>
          <w:w w:val="100"/>
          <w:sz w:val="21"/>
          <w:szCs w:val="21"/>
        </w:rPr>
        <w:t> </w:t>
      </w:r>
      <w:r>
        <w:rPr>
          <w:rFonts w:ascii="宋体" w:hAnsi="宋体" w:cs="宋体" w:eastAsia="宋体" w:hint="default"/>
          <w:spacing w:val="-5"/>
          <w:sz w:val="21"/>
          <w:szCs w:val="21"/>
        </w:rPr>
        <w:t>权益中除未分配利润项目外，其他项目采用发生时的即期汇率折算。境外经营的利润表中的收</w:t>
      </w:r>
    </w:p>
    <w:p>
      <w:pPr>
        <w:spacing w:after="0" w:line="350" w:lineRule="auto"/>
        <w:jc w:val="left"/>
        <w:rPr>
          <w:rFonts w:ascii="宋体" w:hAnsi="宋体" w:cs="宋体" w:eastAsia="宋体" w:hint="default"/>
          <w:sz w:val="21"/>
          <w:szCs w:val="21"/>
        </w:rPr>
        <w:sectPr>
          <w:footerReference w:type="default" r:id="rId155"/>
          <w:pgSz w:w="11910" w:h="16840"/>
          <w:pgMar w:footer="897" w:header="943" w:top="1640" w:bottom="1080" w:left="1560" w:right="1560"/>
          <w:pgNumType w:start="120"/>
        </w:sectPr>
      </w:pPr>
    </w:p>
    <w:p>
      <w:pPr>
        <w:spacing w:line="240" w:lineRule="auto" w:before="11"/>
        <w:rPr>
          <w:rFonts w:ascii="宋体" w:hAnsi="宋体" w:cs="宋体" w:eastAsia="宋体" w:hint="default"/>
          <w:sz w:val="18"/>
          <w:szCs w:val="18"/>
        </w:rPr>
      </w:pPr>
    </w:p>
    <w:p>
      <w:pPr>
        <w:spacing w:line="350" w:lineRule="auto" w:before="36"/>
        <w:ind w:left="141" w:right="137" w:firstLine="0"/>
        <w:jc w:val="both"/>
        <w:rPr>
          <w:rFonts w:ascii="宋体" w:hAnsi="宋体" w:cs="宋体" w:eastAsia="宋体" w:hint="default"/>
          <w:sz w:val="21"/>
          <w:szCs w:val="21"/>
        </w:rPr>
      </w:pPr>
      <w:r>
        <w:rPr>
          <w:rFonts w:ascii="宋体" w:hAnsi="宋体" w:cs="宋体" w:eastAsia="宋体" w:hint="default"/>
          <w:spacing w:val="-5"/>
          <w:sz w:val="21"/>
          <w:szCs w:val="21"/>
        </w:rPr>
        <w:t>入和费用项目，采用交易发生日的即期汇率。上述折算产生的外币报表折算差额，在资产负债</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表中所有者权益中项目下单独列示。境外经营的现金流量项目，采用现金流量发生日的即期汇</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率折算。汇率变动对现金的影响额，在现金流量表中单独列示。</w:t>
      </w:r>
    </w:p>
    <w:p>
      <w:pPr>
        <w:spacing w:line="240" w:lineRule="auto" w:before="11"/>
        <w:rPr>
          <w:rFonts w:ascii="宋体" w:hAnsi="宋体" w:cs="宋体" w:eastAsia="宋体" w:hint="default"/>
          <w:sz w:val="15"/>
          <w:szCs w:val="15"/>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pacing w:val="-15"/>
          <w:sz w:val="21"/>
          <w:szCs w:val="21"/>
        </w:rPr>
        <w:t> </w:t>
      </w:r>
      <w:r>
        <w:rPr>
          <w:rFonts w:ascii="宋体" w:hAnsi="宋体" w:cs="宋体" w:eastAsia="宋体" w:hint="default"/>
          <w:sz w:val="21"/>
          <w:szCs w:val="21"/>
        </w:rPr>
        <w:t>金融工具</w:t>
      </w:r>
    </w:p>
    <w:p>
      <w:pPr>
        <w:spacing w:line="240" w:lineRule="auto" w:before="7"/>
        <w:rPr>
          <w:rFonts w:ascii="宋体" w:hAnsi="宋体" w:cs="宋体" w:eastAsia="宋体" w:hint="default"/>
          <w:sz w:val="21"/>
          <w:szCs w:val="21"/>
        </w:rPr>
      </w:pPr>
    </w:p>
    <w:p>
      <w:pPr>
        <w:spacing w:before="0"/>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．金融资产和金融负债的分类</w:t>
      </w:r>
    </w:p>
    <w:p>
      <w:pPr>
        <w:spacing w:line="240" w:lineRule="auto" w:before="7"/>
        <w:rPr>
          <w:rFonts w:ascii="宋体" w:hAnsi="宋体" w:cs="宋体" w:eastAsia="宋体" w:hint="default"/>
          <w:sz w:val="20"/>
          <w:szCs w:val="20"/>
        </w:rPr>
      </w:pPr>
    </w:p>
    <w:p>
      <w:pPr>
        <w:spacing w:line="384"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w w:val="100"/>
          <w:sz w:val="21"/>
          <w:szCs w:val="21"/>
        </w:rPr>
        <w:t>金融资产和金融负债在初始确认时划分为以下几类：以公允价值计量且其变动计入当期损</w:t>
      </w:r>
      <w:r>
        <w:rPr>
          <w:rFonts w:ascii="宋体" w:hAnsi="宋体" w:cs="宋体" w:eastAsia="宋体" w:hint="default"/>
          <w:w w:val="100"/>
          <w:sz w:val="21"/>
          <w:szCs w:val="21"/>
        </w:rPr>
        <w:t> </w:t>
      </w:r>
      <w:r>
        <w:rPr>
          <w:rFonts w:ascii="宋体" w:hAnsi="宋体" w:cs="宋体" w:eastAsia="宋体" w:hint="default"/>
          <w:spacing w:val="-5"/>
          <w:sz w:val="21"/>
          <w:szCs w:val="21"/>
        </w:rPr>
        <w:t>益的金融资产或金融负债；持有至到期投资；贷款及应收款项；可供出售金融资产；其它金融</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负债。</w:t>
      </w:r>
    </w:p>
    <w:p>
      <w:pPr>
        <w:spacing w:before="158"/>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金融资产和金融负债的确认</w:t>
      </w:r>
    </w:p>
    <w:p>
      <w:pPr>
        <w:spacing w:line="240" w:lineRule="auto" w:before="7"/>
        <w:rPr>
          <w:rFonts w:ascii="宋体" w:hAnsi="宋体" w:cs="宋体" w:eastAsia="宋体" w:hint="default"/>
          <w:sz w:val="20"/>
          <w:szCs w:val="20"/>
        </w:rPr>
      </w:pPr>
    </w:p>
    <w:p>
      <w:pPr>
        <w:spacing w:line="384" w:lineRule="auto" w:before="0"/>
        <w:ind w:left="141" w:right="137" w:firstLine="420"/>
        <w:jc w:val="both"/>
        <w:rPr>
          <w:rFonts w:ascii="宋体" w:hAnsi="宋体" w:cs="宋体" w:eastAsia="宋体" w:hint="default"/>
          <w:sz w:val="21"/>
          <w:szCs w:val="21"/>
        </w:rPr>
      </w:pPr>
      <w:r>
        <w:rPr>
          <w:rFonts w:ascii="宋体" w:hAnsi="宋体" w:cs="宋体" w:eastAsia="宋体" w:hint="default"/>
          <w:sz w:val="21"/>
          <w:szCs w:val="21"/>
        </w:rPr>
        <w:t>金融资产的确认是指将符合金融资产定义和金融资产确认条件的项目记入资产负债表的</w:t>
      </w:r>
      <w:r>
        <w:rPr>
          <w:rFonts w:ascii="宋体" w:hAnsi="宋体" w:cs="宋体" w:eastAsia="宋体" w:hint="default"/>
          <w:w w:val="100"/>
          <w:sz w:val="21"/>
          <w:szCs w:val="21"/>
        </w:rPr>
        <w:t> </w:t>
      </w:r>
      <w:r>
        <w:rPr>
          <w:rFonts w:ascii="宋体" w:hAnsi="宋体" w:cs="宋体" w:eastAsia="宋体" w:hint="default"/>
          <w:spacing w:val="-5"/>
          <w:w w:val="100"/>
          <w:sz w:val="21"/>
          <w:szCs w:val="21"/>
        </w:rPr>
        <w:t>过程。金融负债的确认是指将符合金融负债定义和金融负债确认条件的项目记入资产负债表的</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过程。</w:t>
      </w:r>
    </w:p>
    <w:p>
      <w:pPr>
        <w:spacing w:before="156"/>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金融资产和金融负债的计量</w:t>
      </w:r>
    </w:p>
    <w:p>
      <w:pPr>
        <w:spacing w:line="240" w:lineRule="auto" w:before="7"/>
        <w:rPr>
          <w:rFonts w:ascii="宋体" w:hAnsi="宋体" w:cs="宋体" w:eastAsia="宋体" w:hint="default"/>
          <w:sz w:val="20"/>
          <w:szCs w:val="20"/>
        </w:rPr>
      </w:pPr>
    </w:p>
    <w:p>
      <w:pPr>
        <w:spacing w:line="384"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sz w:val="21"/>
          <w:szCs w:val="21"/>
        </w:rPr>
        <w:t>初始确认时，金融资产及金融负债均以公允价值计量。对于以公允价值计量且其变动计入</w:t>
      </w:r>
      <w:r>
        <w:rPr>
          <w:rFonts w:ascii="宋体" w:hAnsi="宋体" w:cs="宋体" w:eastAsia="宋体" w:hint="default"/>
          <w:w w:val="100"/>
          <w:sz w:val="21"/>
          <w:szCs w:val="21"/>
        </w:rPr>
        <w:t> </w:t>
      </w:r>
      <w:r>
        <w:rPr>
          <w:rFonts w:ascii="宋体" w:hAnsi="宋体" w:cs="宋体" w:eastAsia="宋体" w:hint="default"/>
          <w:spacing w:val="-5"/>
          <w:sz w:val="21"/>
          <w:szCs w:val="21"/>
        </w:rPr>
        <w:t>当期损益的金融资产或金融负债，相关交易费用直接计入当期损益；对于其他类别的金融资产</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或金融负债，相关交易费用计入初始确认金额。</w:t>
      </w:r>
    </w:p>
    <w:p>
      <w:pPr>
        <w:spacing w:line="384" w:lineRule="auto" w:before="158"/>
        <w:ind w:left="141" w:right="137" w:firstLine="420"/>
        <w:jc w:val="both"/>
        <w:rPr>
          <w:rFonts w:ascii="宋体" w:hAnsi="宋体" w:cs="宋体" w:eastAsia="宋体" w:hint="default"/>
          <w:sz w:val="21"/>
          <w:szCs w:val="21"/>
        </w:rPr>
      </w:pPr>
      <w:r>
        <w:rPr>
          <w:rFonts w:ascii="宋体" w:hAnsi="宋体" w:cs="宋体" w:eastAsia="宋体" w:hint="default"/>
          <w:spacing w:val="-5"/>
          <w:sz w:val="21"/>
          <w:szCs w:val="21"/>
        </w:rPr>
        <w:t>除贷款和应收款项、持有至到期投资和其他金融负债外，金融资产和金融负债均以公允价</w:t>
      </w:r>
      <w:r>
        <w:rPr>
          <w:rFonts w:ascii="宋体" w:hAnsi="宋体" w:cs="宋体" w:eastAsia="宋体" w:hint="default"/>
          <w:w w:val="100"/>
          <w:sz w:val="21"/>
          <w:szCs w:val="21"/>
        </w:rPr>
        <w:t> </w:t>
      </w:r>
      <w:r>
        <w:rPr>
          <w:rFonts w:ascii="宋体" w:hAnsi="宋体" w:cs="宋体" w:eastAsia="宋体" w:hint="default"/>
          <w:sz w:val="21"/>
          <w:szCs w:val="21"/>
        </w:rPr>
        <w:t>值进行后续计量，其他金融负债采用实际利率法按摊余成本进行后续计量。</w:t>
      </w:r>
    </w:p>
    <w:p>
      <w:pPr>
        <w:spacing w:line="386" w:lineRule="auto" w:before="158"/>
        <w:ind w:left="141" w:right="197" w:firstLine="42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以公允价值计量且其变动计入当期损益的金融资产或金融负债公允价值变动形成的损益</w:t>
      </w:r>
      <w:r>
        <w:rPr>
          <w:rFonts w:ascii="宋体" w:hAnsi="宋体" w:cs="宋体" w:eastAsia="宋体" w:hint="default"/>
          <w:w w:val="100"/>
          <w:sz w:val="21"/>
          <w:szCs w:val="21"/>
        </w:rPr>
        <w:t> </w:t>
      </w:r>
      <w:r>
        <w:rPr>
          <w:rFonts w:ascii="宋体" w:hAnsi="宋体" w:cs="宋体" w:eastAsia="宋体" w:hint="default"/>
          <w:sz w:val="21"/>
          <w:szCs w:val="21"/>
        </w:rPr>
        <w:t>计入当期损益。</w:t>
      </w:r>
    </w:p>
    <w:p>
      <w:pPr>
        <w:spacing w:line="386" w:lineRule="auto" w:before="154"/>
        <w:ind w:left="141" w:right="137" w:firstLine="420"/>
        <w:jc w:val="both"/>
        <w:rPr>
          <w:rFonts w:ascii="宋体" w:hAnsi="宋体" w:cs="宋体" w:eastAsia="宋体" w:hint="default"/>
          <w:sz w:val="21"/>
          <w:szCs w:val="21"/>
        </w:rPr>
      </w:pPr>
      <w:r>
        <w:rPr>
          <w:rFonts w:ascii="宋体" w:hAnsi="宋体" w:cs="宋体" w:eastAsia="宋体" w:hint="default"/>
          <w:spacing w:val="-5"/>
          <w:w w:val="100"/>
          <w:sz w:val="21"/>
          <w:szCs w:val="21"/>
        </w:rPr>
        <w:t>可供出售的金融资产公允价值变动形成的利得或损失，除减值损失和外币货币性金融资产</w:t>
      </w:r>
      <w:r>
        <w:rPr>
          <w:rFonts w:ascii="宋体" w:hAnsi="宋体" w:cs="宋体" w:eastAsia="宋体" w:hint="default"/>
          <w:w w:val="100"/>
          <w:sz w:val="21"/>
          <w:szCs w:val="21"/>
        </w:rPr>
        <w:t> </w:t>
      </w:r>
      <w:r>
        <w:rPr>
          <w:rFonts w:ascii="宋体" w:hAnsi="宋体" w:cs="宋体" w:eastAsia="宋体" w:hint="default"/>
          <w:sz w:val="21"/>
          <w:szCs w:val="21"/>
        </w:rPr>
        <w:t>形成的汇兑差额外，直接计入资本公积，在该金融资产终止确认时转出，计入当期损益。</w:t>
      </w:r>
    </w:p>
    <w:p>
      <w:pPr>
        <w:spacing w:line="384" w:lineRule="auto" w:before="156"/>
        <w:ind w:left="141" w:right="137" w:firstLine="420"/>
        <w:jc w:val="both"/>
        <w:rPr>
          <w:rFonts w:ascii="宋体" w:hAnsi="宋体" w:cs="宋体" w:eastAsia="宋体" w:hint="default"/>
          <w:sz w:val="21"/>
          <w:szCs w:val="21"/>
        </w:rPr>
      </w:pPr>
      <w:r>
        <w:rPr>
          <w:rFonts w:ascii="宋体" w:hAnsi="宋体" w:cs="宋体" w:eastAsia="宋体" w:hint="default"/>
          <w:spacing w:val="-5"/>
          <w:sz w:val="21"/>
          <w:szCs w:val="21"/>
        </w:rPr>
        <w:t>可供出售外币货币性金融资产形成的汇兑差额，计入当期损益。采用实际利率法计算的可</w:t>
      </w:r>
      <w:r>
        <w:rPr>
          <w:rFonts w:ascii="宋体" w:hAnsi="宋体" w:cs="宋体" w:eastAsia="宋体" w:hint="default"/>
          <w:w w:val="100"/>
          <w:sz w:val="21"/>
          <w:szCs w:val="21"/>
        </w:rPr>
        <w:t> </w:t>
      </w:r>
      <w:r>
        <w:rPr>
          <w:rFonts w:ascii="宋体" w:hAnsi="宋体" w:cs="宋体" w:eastAsia="宋体" w:hint="default"/>
          <w:spacing w:val="-5"/>
          <w:sz w:val="21"/>
          <w:szCs w:val="21"/>
        </w:rPr>
        <w:t>供出售金融资产的利息，计入当期损益。可供出售权益工具投资的现金股利，在被投资单位宣</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告发放股利时计入当期损益。</w:t>
      </w:r>
    </w:p>
    <w:p>
      <w:pPr>
        <w:spacing w:line="386" w:lineRule="auto" w:before="158"/>
        <w:ind w:left="141" w:right="137" w:firstLine="420"/>
        <w:jc w:val="both"/>
        <w:rPr>
          <w:rFonts w:ascii="宋体" w:hAnsi="宋体" w:cs="宋体" w:eastAsia="宋体" w:hint="default"/>
          <w:sz w:val="21"/>
          <w:szCs w:val="21"/>
        </w:rPr>
      </w:pPr>
      <w:r>
        <w:rPr>
          <w:rFonts w:ascii="宋体" w:hAnsi="宋体" w:cs="宋体" w:eastAsia="宋体" w:hint="default"/>
          <w:spacing w:val="-5"/>
          <w:sz w:val="21"/>
          <w:szCs w:val="21"/>
        </w:rPr>
        <w:t>以摊余成本计量的金融资产或金融负债，在发生减值、摊销或终止确认时产生的利得或损</w:t>
      </w:r>
      <w:r>
        <w:rPr>
          <w:rFonts w:ascii="宋体" w:hAnsi="宋体" w:cs="宋体" w:eastAsia="宋体" w:hint="default"/>
          <w:w w:val="100"/>
          <w:sz w:val="21"/>
          <w:szCs w:val="21"/>
        </w:rPr>
        <w:t> </w:t>
      </w:r>
      <w:r>
        <w:rPr>
          <w:rFonts w:ascii="宋体" w:hAnsi="宋体" w:cs="宋体" w:eastAsia="宋体" w:hint="default"/>
          <w:sz w:val="21"/>
          <w:szCs w:val="21"/>
        </w:rPr>
        <w:t>失计入当期损益。</w:t>
      </w:r>
    </w:p>
    <w:p>
      <w:pPr>
        <w:spacing w:after="0" w:line="386" w:lineRule="auto"/>
        <w:jc w:val="both"/>
        <w:rPr>
          <w:rFonts w:ascii="宋体" w:hAnsi="宋体" w:cs="宋体" w:eastAsia="宋体" w:hint="default"/>
          <w:sz w:val="21"/>
          <w:szCs w:val="21"/>
        </w:rPr>
        <w:sectPr>
          <w:pgSz w:w="11910" w:h="16840"/>
          <w:pgMar w:header="943" w:footer="897" w:top="1640" w:bottom="1080" w:left="1560" w:right="1560"/>
        </w:sectPr>
      </w:pPr>
    </w:p>
    <w:p>
      <w:pPr>
        <w:spacing w:line="240" w:lineRule="auto" w:before="12"/>
        <w:rPr>
          <w:rFonts w:ascii="宋体" w:hAnsi="宋体" w:cs="宋体" w:eastAsia="宋体" w:hint="default"/>
          <w:sz w:val="21"/>
          <w:szCs w:val="21"/>
        </w:rPr>
      </w:pPr>
    </w:p>
    <w:p>
      <w:pPr>
        <w:spacing w:before="36"/>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金融资产和金融负债的终止</w:t>
      </w:r>
    </w:p>
    <w:p>
      <w:pPr>
        <w:spacing w:line="240" w:lineRule="auto" w:before="11"/>
        <w:rPr>
          <w:rFonts w:ascii="宋体" w:hAnsi="宋体" w:cs="宋体" w:eastAsia="宋体" w:hint="default"/>
          <w:sz w:val="18"/>
          <w:szCs w:val="18"/>
        </w:rPr>
      </w:pPr>
    </w:p>
    <w:p>
      <w:pPr>
        <w:spacing w:line="357"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sz w:val="21"/>
          <w:szCs w:val="21"/>
        </w:rPr>
        <w:t>金融资产终止确认，是指将金融资产从企业的账户和资产负债表内予以转销。当收取金融</w:t>
      </w:r>
      <w:r>
        <w:rPr>
          <w:rFonts w:ascii="宋体" w:hAnsi="宋体" w:cs="宋体" w:eastAsia="宋体" w:hint="default"/>
          <w:w w:val="100"/>
          <w:sz w:val="21"/>
          <w:szCs w:val="21"/>
        </w:rPr>
        <w:t> </w:t>
      </w:r>
      <w:r>
        <w:rPr>
          <w:rFonts w:ascii="宋体" w:hAnsi="宋体" w:cs="宋体" w:eastAsia="宋体" w:hint="default"/>
          <w:sz w:val="21"/>
          <w:szCs w:val="21"/>
        </w:rPr>
        <w:t>资产现金流量的合同权利终止，或金融资产已经转移，且符合《企业会计准则第</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融资产转移》规定的金融资产终止确认条件的，终止确认该金融资产。</w:t>
      </w:r>
    </w:p>
    <w:p>
      <w:pPr>
        <w:spacing w:line="367" w:lineRule="auto" w:before="162"/>
        <w:ind w:left="141" w:right="129" w:firstLine="357"/>
        <w:jc w:val="left"/>
        <w:rPr>
          <w:rFonts w:ascii="宋体" w:hAnsi="宋体" w:cs="宋体" w:eastAsia="宋体" w:hint="default"/>
          <w:sz w:val="21"/>
          <w:szCs w:val="21"/>
        </w:rPr>
      </w:pPr>
      <w:r>
        <w:rPr>
          <w:rFonts w:ascii="宋体" w:hAnsi="宋体" w:cs="宋体" w:eastAsia="宋体" w:hint="default"/>
          <w:spacing w:val="-3"/>
          <w:sz w:val="21"/>
          <w:szCs w:val="21"/>
        </w:rPr>
        <w:t>金融负债终止确认，是指将金融负债从企业的账户和资产负债表内予以转销。当金融负债</w:t>
      </w:r>
      <w:r>
        <w:rPr>
          <w:rFonts w:ascii="宋体" w:hAnsi="宋体" w:cs="宋体" w:eastAsia="宋体" w:hint="default"/>
          <w:w w:val="100"/>
          <w:sz w:val="21"/>
          <w:szCs w:val="21"/>
        </w:rPr>
        <w:t> </w:t>
      </w:r>
      <w:r>
        <w:rPr>
          <w:rFonts w:ascii="宋体" w:hAnsi="宋体" w:cs="宋体" w:eastAsia="宋体" w:hint="default"/>
          <w:sz w:val="21"/>
          <w:szCs w:val="21"/>
        </w:rPr>
        <w:t>的现时义务全部或部分已经解除的，才能终止确认该金融负债或其一部分。</w:t>
      </w:r>
    </w:p>
    <w:p>
      <w:pPr>
        <w:spacing w:before="151"/>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 </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主要金融资产和金融负债的公允价值确定方法</w:t>
      </w:r>
    </w:p>
    <w:p>
      <w:pPr>
        <w:spacing w:line="240" w:lineRule="auto" w:before="1"/>
        <w:rPr>
          <w:rFonts w:ascii="宋体" w:hAnsi="宋体" w:cs="宋体" w:eastAsia="宋体" w:hint="default"/>
          <w:sz w:val="19"/>
          <w:szCs w:val="19"/>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）存在活跃市场的金融资产和金融负债，活跃市场中的报价用于确定其公允价值；</w:t>
      </w:r>
    </w:p>
    <w:p>
      <w:pPr>
        <w:spacing w:line="240" w:lineRule="auto" w:before="1"/>
        <w:rPr>
          <w:rFonts w:ascii="宋体" w:hAnsi="宋体" w:cs="宋体" w:eastAsia="宋体" w:hint="default"/>
          <w:sz w:val="19"/>
          <w:szCs w:val="19"/>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）金融工具不存在活跃市场的，采用估值技术确定其公允价值；</w:t>
      </w:r>
    </w:p>
    <w:p>
      <w:pPr>
        <w:spacing w:line="240" w:lineRule="auto" w:before="11"/>
        <w:rPr>
          <w:rFonts w:ascii="宋体" w:hAnsi="宋体" w:cs="宋体" w:eastAsia="宋体" w:hint="default"/>
          <w:sz w:val="18"/>
          <w:szCs w:val="18"/>
        </w:rPr>
      </w:pPr>
    </w:p>
    <w:p>
      <w:pPr>
        <w:spacing w:line="345" w:lineRule="auto" w:before="0"/>
        <w:ind w:left="141" w:right="129"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）初始取得或衍生的金融资产或承担的金融负债，以市场交易价格作为确定其公允价</w:t>
      </w:r>
      <w:r>
        <w:rPr>
          <w:rFonts w:ascii="宋体" w:hAnsi="宋体" w:cs="宋体" w:eastAsia="宋体" w:hint="default"/>
          <w:w w:val="100"/>
          <w:sz w:val="21"/>
          <w:szCs w:val="21"/>
        </w:rPr>
        <w:t> </w:t>
      </w:r>
      <w:r>
        <w:rPr>
          <w:rFonts w:ascii="宋体" w:hAnsi="宋体" w:cs="宋体" w:eastAsia="宋体" w:hint="default"/>
          <w:sz w:val="21"/>
          <w:szCs w:val="21"/>
        </w:rPr>
        <w:t>值的基础；</w:t>
      </w:r>
    </w:p>
    <w:p>
      <w:pPr>
        <w:spacing w:line="357" w:lineRule="auto" w:before="172"/>
        <w:ind w:left="141" w:right="13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）采用未来现金流量折现法确定金融工具公允价值的，使用合同条款和特征在实质上</w:t>
      </w:r>
      <w:r>
        <w:rPr>
          <w:rFonts w:ascii="宋体" w:hAnsi="宋体" w:cs="宋体" w:eastAsia="宋体" w:hint="default"/>
          <w:w w:val="100"/>
          <w:sz w:val="21"/>
          <w:szCs w:val="21"/>
        </w:rPr>
        <w:t> </w:t>
      </w:r>
      <w:r>
        <w:rPr>
          <w:rFonts w:ascii="宋体" w:hAnsi="宋体" w:cs="宋体" w:eastAsia="宋体" w:hint="default"/>
          <w:spacing w:val="-5"/>
          <w:w w:val="100"/>
          <w:sz w:val="21"/>
          <w:szCs w:val="21"/>
        </w:rPr>
        <w:t>相同的其他金融工具的市场收益率作为折现率。没有表明利率的短期应收款项和应付款项的现</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值与实际交易价格相差很小的，按照实际交易价格计量。</w:t>
      </w:r>
    </w:p>
    <w:p>
      <w:pPr>
        <w:spacing w:before="162"/>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金融资产的减值</w:t>
      </w:r>
    </w:p>
    <w:p>
      <w:pPr>
        <w:spacing w:line="240" w:lineRule="auto" w:before="11"/>
        <w:rPr>
          <w:rFonts w:ascii="宋体" w:hAnsi="宋体" w:cs="宋体" w:eastAsia="宋体" w:hint="default"/>
          <w:sz w:val="18"/>
          <w:szCs w:val="18"/>
        </w:rPr>
      </w:pPr>
    </w:p>
    <w:p>
      <w:pPr>
        <w:spacing w:line="367" w:lineRule="auto" w:before="0"/>
        <w:ind w:left="141" w:right="129" w:firstLine="420"/>
        <w:jc w:val="left"/>
        <w:rPr>
          <w:rFonts w:ascii="宋体" w:hAnsi="宋体" w:cs="宋体" w:eastAsia="宋体" w:hint="default"/>
          <w:sz w:val="21"/>
          <w:szCs w:val="21"/>
        </w:rPr>
      </w:pPr>
      <w:r>
        <w:rPr>
          <w:rFonts w:ascii="宋体" w:hAnsi="宋体" w:cs="宋体" w:eastAsia="宋体" w:hint="default"/>
          <w:sz w:val="21"/>
          <w:szCs w:val="21"/>
        </w:rPr>
        <w:t>资产负债表日对以公允价值计量且变动计入当期损益金融资产以外的的金融资产的帐面</w:t>
      </w:r>
      <w:r>
        <w:rPr>
          <w:rFonts w:ascii="宋体" w:hAnsi="宋体" w:cs="宋体" w:eastAsia="宋体" w:hint="default"/>
          <w:w w:val="100"/>
          <w:sz w:val="21"/>
          <w:szCs w:val="21"/>
        </w:rPr>
        <w:t> </w:t>
      </w:r>
      <w:r>
        <w:rPr>
          <w:rFonts w:ascii="宋体" w:hAnsi="宋体" w:cs="宋体" w:eastAsia="宋体" w:hint="default"/>
          <w:sz w:val="21"/>
          <w:szCs w:val="21"/>
        </w:rPr>
        <w:t>价值进行检查，有客观证据表明该金融资产其发生了减值的，计提减值准备。</w:t>
      </w:r>
    </w:p>
    <w:p>
      <w:pPr>
        <w:spacing w:before="151"/>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）持有至到期投资</w:t>
      </w:r>
    </w:p>
    <w:p>
      <w:pPr>
        <w:spacing w:line="240" w:lineRule="auto" w:before="1"/>
        <w:rPr>
          <w:rFonts w:ascii="宋体" w:hAnsi="宋体" w:cs="宋体" w:eastAsia="宋体" w:hint="default"/>
          <w:sz w:val="19"/>
          <w:szCs w:val="19"/>
        </w:rPr>
      </w:pPr>
    </w:p>
    <w:p>
      <w:pPr>
        <w:spacing w:line="367" w:lineRule="auto" w:before="0"/>
        <w:ind w:left="141" w:right="129" w:firstLine="420"/>
        <w:jc w:val="left"/>
        <w:rPr>
          <w:rFonts w:ascii="宋体" w:hAnsi="宋体" w:cs="宋体" w:eastAsia="宋体" w:hint="default"/>
          <w:sz w:val="21"/>
          <w:szCs w:val="21"/>
        </w:rPr>
      </w:pPr>
      <w:r>
        <w:rPr>
          <w:rFonts w:ascii="宋体" w:hAnsi="宋体" w:cs="宋体" w:eastAsia="宋体" w:hint="default"/>
          <w:spacing w:val="-5"/>
          <w:w w:val="100"/>
          <w:sz w:val="21"/>
          <w:szCs w:val="21"/>
        </w:rPr>
        <w:t>资产负债表日有客观证据表明其发生了减值，根据期账面价值与预计未来现金流量现值之</w:t>
      </w:r>
      <w:r>
        <w:rPr>
          <w:rFonts w:ascii="宋体" w:hAnsi="宋体" w:cs="宋体" w:eastAsia="宋体" w:hint="default"/>
          <w:w w:val="100"/>
          <w:sz w:val="21"/>
          <w:szCs w:val="21"/>
        </w:rPr>
        <w:t> </w:t>
      </w:r>
      <w:r>
        <w:rPr>
          <w:rFonts w:ascii="宋体" w:hAnsi="宋体" w:cs="宋体" w:eastAsia="宋体" w:hint="default"/>
          <w:sz w:val="21"/>
          <w:szCs w:val="21"/>
        </w:rPr>
        <w:t>间的差额确认为减值损失，计入当期损益。</w:t>
      </w:r>
    </w:p>
    <w:p>
      <w:pPr>
        <w:spacing w:before="154"/>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p>
    <w:p>
      <w:pPr>
        <w:spacing w:line="240" w:lineRule="auto" w:before="11"/>
        <w:rPr>
          <w:rFonts w:ascii="宋体" w:hAnsi="宋体" w:cs="宋体" w:eastAsia="宋体" w:hint="default"/>
          <w:sz w:val="18"/>
          <w:szCs w:val="18"/>
        </w:rPr>
      </w:pPr>
    </w:p>
    <w:p>
      <w:pPr>
        <w:spacing w:line="352" w:lineRule="auto" w:before="0"/>
        <w:ind w:left="141" w:right="129" w:firstLine="420"/>
        <w:jc w:val="left"/>
        <w:rPr>
          <w:rFonts w:ascii="宋体" w:hAnsi="宋体" w:cs="宋体" w:eastAsia="宋体" w:hint="default"/>
          <w:sz w:val="21"/>
          <w:szCs w:val="21"/>
        </w:rPr>
      </w:pPr>
      <w:r>
        <w:rPr>
          <w:rFonts w:ascii="宋体" w:hAnsi="宋体" w:cs="宋体" w:eastAsia="宋体" w:hint="default"/>
          <w:spacing w:val="-5"/>
          <w:sz w:val="21"/>
          <w:szCs w:val="21"/>
        </w:rPr>
        <w:t>资产负债表日，公司对可供出售金融资产的减值情况进行分析，如果可供出售金融资产的</w:t>
      </w:r>
      <w:r>
        <w:rPr>
          <w:rFonts w:ascii="宋体" w:hAnsi="宋体" w:cs="宋体" w:eastAsia="宋体" w:hint="default"/>
          <w:w w:val="100"/>
          <w:sz w:val="21"/>
          <w:szCs w:val="21"/>
        </w:rPr>
        <w:t> </w:t>
      </w:r>
      <w:r>
        <w:rPr>
          <w:rFonts w:ascii="宋体" w:hAnsi="宋体" w:cs="宋体" w:eastAsia="宋体" w:hint="default"/>
          <w:sz w:val="21"/>
          <w:szCs w:val="21"/>
        </w:rPr>
        <w:t>公允价值发生较大幅度下降超过初始成本的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，或在综合考虑各种相关因素后，预期这种</w:t>
      </w:r>
      <w:r>
        <w:rPr>
          <w:rFonts w:ascii="宋体" w:hAnsi="宋体" w:cs="宋体" w:eastAsia="宋体" w:hint="default"/>
          <w:w w:val="100"/>
          <w:sz w:val="21"/>
          <w:szCs w:val="21"/>
        </w:rPr>
        <w:t> </w:t>
      </w:r>
      <w:r>
        <w:rPr>
          <w:rFonts w:ascii="宋体" w:hAnsi="宋体" w:cs="宋体" w:eastAsia="宋体" w:hint="default"/>
          <w:sz w:val="21"/>
          <w:szCs w:val="21"/>
        </w:rPr>
        <w:t>下降趋势属于非暂时性的，且下降持续时间超过</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个月的，则按其预计未来现金流量现值低</w:t>
      </w:r>
      <w:r>
        <w:rPr>
          <w:rFonts w:ascii="宋体" w:hAnsi="宋体" w:cs="宋体" w:eastAsia="宋体" w:hint="default"/>
          <w:w w:val="100"/>
          <w:sz w:val="21"/>
          <w:szCs w:val="21"/>
        </w:rPr>
        <w:t> </w:t>
      </w:r>
      <w:r>
        <w:rPr>
          <w:rFonts w:ascii="宋体" w:hAnsi="宋体" w:cs="宋体" w:eastAsia="宋体" w:hint="default"/>
          <w:sz w:val="21"/>
          <w:szCs w:val="21"/>
        </w:rPr>
        <w:t>于其账面价值的差额，计提减值准备。</w:t>
      </w:r>
    </w:p>
    <w:p>
      <w:pPr>
        <w:spacing w:line="240" w:lineRule="auto" w:before="4"/>
        <w:rPr>
          <w:rFonts w:ascii="宋体" w:hAnsi="宋体" w:cs="宋体" w:eastAsia="宋体" w:hint="default"/>
          <w:sz w:val="17"/>
          <w:szCs w:val="17"/>
        </w:rPr>
      </w:pPr>
    </w:p>
    <w:p>
      <w:pPr>
        <w:spacing w:line="420" w:lineRule="auto" w:before="0"/>
        <w:ind w:left="141" w:right="129" w:firstLine="420"/>
        <w:jc w:val="left"/>
        <w:rPr>
          <w:rFonts w:ascii="宋体" w:hAnsi="宋体" w:cs="宋体" w:eastAsia="宋体" w:hint="default"/>
          <w:sz w:val="21"/>
          <w:szCs w:val="21"/>
        </w:rPr>
      </w:pPr>
      <w:r>
        <w:rPr>
          <w:rFonts w:ascii="宋体" w:hAnsi="宋体" w:cs="宋体" w:eastAsia="宋体" w:hint="default"/>
          <w:spacing w:val="-5"/>
          <w:w w:val="100"/>
          <w:sz w:val="21"/>
          <w:szCs w:val="21"/>
        </w:rPr>
        <w:t>可供出售金融资产发生减值时，将原直接计入所有者权益的公允价值下降形成的的累计损</w:t>
      </w:r>
      <w:r>
        <w:rPr>
          <w:rFonts w:ascii="宋体" w:hAnsi="宋体" w:cs="宋体" w:eastAsia="宋体" w:hint="default"/>
          <w:w w:val="100"/>
          <w:sz w:val="21"/>
          <w:szCs w:val="21"/>
        </w:rPr>
        <w:t> </w:t>
      </w:r>
      <w:r>
        <w:rPr>
          <w:rFonts w:ascii="宋体" w:hAnsi="宋体" w:cs="宋体" w:eastAsia="宋体" w:hint="default"/>
          <w:sz w:val="21"/>
          <w:szCs w:val="21"/>
        </w:rPr>
        <w:t>失一并转出，确认减值损失，计提减值准备。</w:t>
      </w:r>
    </w:p>
    <w:p>
      <w:pPr>
        <w:spacing w:after="0" w:line="420" w:lineRule="auto"/>
        <w:jc w:val="left"/>
        <w:rPr>
          <w:rFonts w:ascii="宋体" w:hAnsi="宋体" w:cs="宋体" w:eastAsia="宋体" w:hint="default"/>
          <w:sz w:val="21"/>
          <w:szCs w:val="21"/>
        </w:rPr>
        <w:sectPr>
          <w:pgSz w:w="11910" w:h="16840"/>
          <w:pgMar w:header="943" w:footer="897" w:top="1640" w:bottom="1080" w:left="1560" w:right="1560"/>
        </w:sectPr>
      </w:pPr>
    </w:p>
    <w:p>
      <w:pPr>
        <w:spacing w:line="240" w:lineRule="auto" w:before="7"/>
        <w:rPr>
          <w:rFonts w:ascii="宋体" w:hAnsi="宋体" w:cs="宋体" w:eastAsia="宋体" w:hint="default"/>
          <w:sz w:val="26"/>
          <w:szCs w:val="26"/>
        </w:rPr>
      </w:pPr>
    </w:p>
    <w:p>
      <w:pPr>
        <w:spacing w:before="36"/>
        <w:ind w:left="561" w:right="0" w:firstLine="0"/>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spacing w:val="-15"/>
          <w:sz w:val="21"/>
          <w:szCs w:val="21"/>
        </w:rPr>
        <w:t> </w:t>
      </w:r>
      <w:r>
        <w:rPr>
          <w:rFonts w:ascii="宋体" w:hAnsi="宋体" w:cs="宋体" w:eastAsia="宋体" w:hint="default"/>
          <w:sz w:val="21"/>
          <w:szCs w:val="21"/>
        </w:rPr>
        <w:t>应收款项</w:t>
      </w:r>
    </w:p>
    <w:p>
      <w:pPr>
        <w:spacing w:line="240" w:lineRule="auto" w:before="9"/>
        <w:rPr>
          <w:rFonts w:ascii="宋体" w:hAnsi="宋体" w:cs="宋体" w:eastAsia="宋体" w:hint="default"/>
          <w:sz w:val="24"/>
          <w:szCs w:val="24"/>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．单项金额重大的应收款项的确认标准及坏账准备的计提方法</w:t>
      </w:r>
    </w:p>
    <w:p>
      <w:pPr>
        <w:spacing w:line="240" w:lineRule="auto" w:before="8"/>
        <w:rPr>
          <w:rFonts w:ascii="宋体" w:hAnsi="宋体" w:cs="宋体" w:eastAsia="宋体" w:hint="default"/>
          <w:sz w:val="23"/>
          <w:szCs w:val="23"/>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w w:val="100"/>
          <w:sz w:val="21"/>
          <w:szCs w:val="21"/>
        </w:rPr>
        <w:t>单</w:t>
      </w:r>
      <w:r>
        <w:rPr>
          <w:rFonts w:ascii="宋体" w:hAnsi="宋体" w:cs="宋体" w:eastAsia="宋体" w:hint="default"/>
          <w:spacing w:val="-3"/>
          <w:w w:val="100"/>
          <w:sz w:val="21"/>
          <w:szCs w:val="21"/>
        </w:rPr>
        <w:t>项</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重</w:t>
      </w:r>
      <w:r>
        <w:rPr>
          <w:rFonts w:ascii="宋体" w:hAnsi="宋体" w:cs="宋体" w:eastAsia="宋体" w:hint="default"/>
          <w:spacing w:val="-3"/>
          <w:w w:val="100"/>
          <w:sz w:val="21"/>
          <w:szCs w:val="21"/>
        </w:rPr>
        <w:t>大</w:t>
      </w:r>
      <w:r>
        <w:rPr>
          <w:rFonts w:ascii="宋体" w:hAnsi="宋体" w:cs="宋体" w:eastAsia="宋体" w:hint="default"/>
          <w:w w:val="100"/>
          <w:sz w:val="21"/>
          <w:szCs w:val="21"/>
        </w:rPr>
        <w:t>的</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账</w:t>
      </w:r>
      <w:r>
        <w:rPr>
          <w:rFonts w:ascii="宋体" w:hAnsi="宋体" w:cs="宋体" w:eastAsia="宋体" w:hint="default"/>
          <w:w w:val="100"/>
          <w:sz w:val="21"/>
          <w:szCs w:val="21"/>
        </w:rPr>
        <w:t>款</w:t>
      </w:r>
      <w:r>
        <w:rPr>
          <w:rFonts w:ascii="宋体" w:hAnsi="宋体" w:cs="宋体" w:eastAsia="宋体" w:hint="default"/>
          <w:spacing w:val="-3"/>
          <w:w w:val="100"/>
          <w:sz w:val="21"/>
          <w:szCs w:val="21"/>
        </w:rPr>
        <w:t>是</w:t>
      </w:r>
      <w:r>
        <w:rPr>
          <w:rFonts w:ascii="宋体" w:hAnsi="宋体" w:cs="宋体" w:eastAsia="宋体" w:hint="default"/>
          <w:w w:val="100"/>
          <w:sz w:val="21"/>
          <w:szCs w:val="21"/>
        </w:rPr>
        <w:t>指</w:t>
      </w:r>
      <w:r>
        <w:rPr>
          <w:rFonts w:ascii="宋体" w:hAnsi="宋体" w:cs="宋体" w:eastAsia="宋体" w:hint="default"/>
          <w:spacing w:val="-3"/>
          <w:w w:val="100"/>
          <w:sz w:val="21"/>
          <w:szCs w:val="21"/>
        </w:rPr>
        <w:t>期</w:t>
      </w:r>
      <w:r>
        <w:rPr>
          <w:rFonts w:ascii="宋体" w:hAnsi="宋体" w:cs="宋体" w:eastAsia="宋体" w:hint="default"/>
          <w:w w:val="100"/>
          <w:sz w:val="21"/>
          <w:szCs w:val="21"/>
        </w:rPr>
        <w:t>末余额</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100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及</w:t>
      </w:r>
      <w:r>
        <w:rPr>
          <w:rFonts w:ascii="宋体" w:hAnsi="宋体" w:cs="宋体" w:eastAsia="宋体" w:hint="default"/>
          <w:spacing w:val="-3"/>
          <w:w w:val="100"/>
          <w:sz w:val="21"/>
          <w:szCs w:val="21"/>
        </w:rPr>
        <w:t>以</w:t>
      </w:r>
      <w:r>
        <w:rPr>
          <w:rFonts w:ascii="宋体" w:hAnsi="宋体" w:cs="宋体" w:eastAsia="宋体" w:hint="default"/>
          <w:w w:val="100"/>
          <w:sz w:val="21"/>
          <w:szCs w:val="21"/>
        </w:rPr>
        <w:t>上</w:t>
      </w:r>
      <w:r>
        <w:rPr>
          <w:rFonts w:ascii="宋体" w:hAnsi="宋体" w:cs="宋体" w:eastAsia="宋体" w:hint="default"/>
          <w:spacing w:val="-3"/>
          <w:w w:val="100"/>
          <w:sz w:val="21"/>
          <w:szCs w:val="21"/>
        </w:rPr>
        <w:t>的</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单项</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重</w:t>
      </w:r>
      <w:r>
        <w:rPr>
          <w:rFonts w:ascii="宋体" w:hAnsi="宋体" w:cs="宋体" w:eastAsia="宋体" w:hint="default"/>
          <w:spacing w:val="-3"/>
          <w:w w:val="100"/>
          <w:sz w:val="21"/>
          <w:szCs w:val="21"/>
        </w:rPr>
        <w:t>大</w:t>
      </w:r>
      <w:r>
        <w:rPr>
          <w:rFonts w:ascii="宋体" w:hAnsi="宋体" w:cs="宋体" w:eastAsia="宋体" w:hint="default"/>
          <w:w w:val="100"/>
          <w:sz w:val="21"/>
          <w:szCs w:val="21"/>
        </w:rPr>
        <w:t>的</w:t>
      </w:r>
      <w:r>
        <w:rPr>
          <w:rFonts w:ascii="宋体" w:hAnsi="宋体" w:cs="宋体" w:eastAsia="宋体" w:hint="default"/>
          <w:spacing w:val="-5"/>
          <w:w w:val="100"/>
          <w:sz w:val="21"/>
          <w:szCs w:val="21"/>
        </w:rPr>
        <w:t>其</w:t>
      </w:r>
      <w:r>
        <w:rPr>
          <w:rFonts w:ascii="宋体" w:hAnsi="宋体" w:cs="宋体" w:eastAsia="宋体" w:hint="default"/>
          <w:w w:val="100"/>
          <w:sz w:val="21"/>
          <w:szCs w:val="21"/>
        </w:rPr>
        <w:t>他</w:t>
      </w:r>
    </w:p>
    <w:p>
      <w:pPr>
        <w:spacing w:line="408" w:lineRule="auto" w:before="189"/>
        <w:ind w:left="0" w:right="185" w:firstLine="0"/>
        <w:jc w:val="right"/>
        <w:rPr>
          <w:rFonts w:ascii="宋体" w:hAnsi="宋体" w:cs="宋体" w:eastAsia="宋体" w:hint="default"/>
          <w:sz w:val="21"/>
          <w:szCs w:val="21"/>
        </w:rPr>
      </w:pPr>
      <w:r>
        <w:rPr>
          <w:rFonts w:ascii="宋体" w:hAnsi="宋体" w:cs="宋体" w:eastAsia="宋体" w:hint="default"/>
          <w:sz w:val="21"/>
          <w:szCs w:val="21"/>
        </w:rPr>
        <w:t>应收款是指期末余额</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万元及以上的其他应收款。对单项金额重大的应收款项单独进行减值</w:t>
      </w:r>
      <w:r>
        <w:rPr>
          <w:rFonts w:ascii="宋体" w:hAnsi="宋体" w:cs="宋体" w:eastAsia="宋体" w:hint="default"/>
          <w:w w:val="100"/>
          <w:sz w:val="21"/>
          <w:szCs w:val="21"/>
        </w:rPr>
        <w:t> </w:t>
      </w:r>
      <w:r>
        <w:rPr>
          <w:rFonts w:ascii="宋体" w:hAnsi="宋体" w:cs="宋体" w:eastAsia="宋体" w:hint="default"/>
          <w:spacing w:val="-5"/>
          <w:sz w:val="21"/>
          <w:szCs w:val="21"/>
        </w:rPr>
        <w:t>测试，如有客观证据表明其发生了减值的，根据其预计未来现金流量（不包括尚未发生的未来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w w:val="95"/>
          <w:sz w:val="21"/>
          <w:szCs w:val="21"/>
        </w:rPr>
        <w:t>信用损失）按原实际利率折现的现值低于其账面价值的差额，确认为减值损失，计入当期损益   </w:t>
      </w:r>
      <w:r>
        <w:rPr>
          <w:rFonts w:ascii="宋体" w:hAnsi="宋体" w:cs="宋体" w:eastAsia="宋体" w:hint="default"/>
          <w:spacing w:val="75"/>
          <w:w w:val="95"/>
          <w:sz w:val="21"/>
          <w:szCs w:val="21"/>
        </w:rPr>
        <w:t> </w:t>
      </w:r>
      <w:r>
        <w:rPr>
          <w:rFonts w:ascii="宋体" w:hAnsi="宋体" w:cs="宋体" w:eastAsia="宋体" w:hint="default"/>
          <w:w w:val="95"/>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18"/>
          <w:szCs w:val="18"/>
        </w:rPr>
      </w:pPr>
    </w:p>
    <w:p>
      <w:pPr>
        <w:spacing w:line="396" w:lineRule="auto" w:before="0"/>
        <w:ind w:left="141" w:right="132" w:firstLine="420"/>
        <w:jc w:val="both"/>
        <w:rPr>
          <w:rFonts w:ascii="宋体" w:hAnsi="宋体" w:cs="宋体" w:eastAsia="宋体" w:hint="default"/>
          <w:sz w:val="21"/>
          <w:szCs w:val="21"/>
        </w:rPr>
      </w:pP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款</w:t>
      </w:r>
      <w:r>
        <w:rPr>
          <w:rFonts w:ascii="宋体" w:hAnsi="宋体" w:cs="宋体" w:eastAsia="宋体" w:hint="default"/>
          <w:spacing w:val="-3"/>
          <w:w w:val="100"/>
          <w:sz w:val="21"/>
          <w:szCs w:val="21"/>
        </w:rPr>
        <w:t>项</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的</w:t>
      </w:r>
      <w:r>
        <w:rPr>
          <w:rFonts w:ascii="宋体" w:hAnsi="宋体" w:cs="宋体" w:eastAsia="宋体" w:hint="default"/>
          <w:spacing w:val="-3"/>
          <w:w w:val="100"/>
          <w:sz w:val="21"/>
          <w:szCs w:val="21"/>
        </w:rPr>
        <w:t>客</w:t>
      </w:r>
      <w:r>
        <w:rPr>
          <w:rFonts w:ascii="宋体" w:hAnsi="宋体" w:cs="宋体" w:eastAsia="宋体" w:hint="default"/>
          <w:w w:val="100"/>
          <w:sz w:val="21"/>
          <w:szCs w:val="21"/>
        </w:rPr>
        <w:t>观</w:t>
      </w:r>
      <w:r>
        <w:rPr>
          <w:rFonts w:ascii="宋体" w:hAnsi="宋体" w:cs="宋体" w:eastAsia="宋体" w:hint="default"/>
          <w:spacing w:val="-3"/>
          <w:w w:val="100"/>
          <w:sz w:val="21"/>
          <w:szCs w:val="21"/>
        </w:rPr>
        <w:t>证</w:t>
      </w:r>
      <w:r>
        <w:rPr>
          <w:rFonts w:ascii="宋体" w:hAnsi="宋体" w:cs="宋体" w:eastAsia="宋体" w:hint="default"/>
          <w:w w:val="100"/>
          <w:sz w:val="21"/>
          <w:szCs w:val="21"/>
        </w:rPr>
        <w:t>据</w:t>
      </w:r>
      <w:r>
        <w:rPr>
          <w:rFonts w:ascii="宋体" w:hAnsi="宋体" w:cs="宋体" w:eastAsia="宋体" w:hint="default"/>
          <w:spacing w:val="-53"/>
          <w:w w:val="100"/>
          <w:sz w:val="21"/>
          <w:szCs w:val="21"/>
        </w:rPr>
        <w:t>，</w:t>
      </w:r>
      <w:r>
        <w:rPr>
          <w:rFonts w:ascii="宋体" w:hAnsi="宋体" w:cs="宋体" w:eastAsia="宋体" w:hint="default"/>
          <w:spacing w:val="-3"/>
          <w:w w:val="100"/>
          <w:sz w:val="21"/>
          <w:szCs w:val="21"/>
        </w:rPr>
        <w:t>包括</w:t>
      </w:r>
      <w:r>
        <w:rPr>
          <w:rFonts w:ascii="宋体" w:hAnsi="宋体" w:cs="宋体" w:eastAsia="宋体" w:hint="default"/>
          <w:w w:val="100"/>
          <w:sz w:val="21"/>
          <w:szCs w:val="21"/>
        </w:rPr>
        <w:t>不</w:t>
      </w:r>
      <w:r>
        <w:rPr>
          <w:rFonts w:ascii="宋体" w:hAnsi="宋体" w:cs="宋体" w:eastAsia="宋体" w:hint="default"/>
          <w:spacing w:val="-3"/>
          <w:w w:val="100"/>
          <w:sz w:val="21"/>
          <w:szCs w:val="21"/>
        </w:rPr>
        <w:t>限</w:t>
      </w:r>
      <w:r>
        <w:rPr>
          <w:rFonts w:ascii="宋体" w:hAnsi="宋体" w:cs="宋体" w:eastAsia="宋体" w:hint="default"/>
          <w:w w:val="100"/>
          <w:sz w:val="21"/>
          <w:szCs w:val="21"/>
        </w:rPr>
        <w:t>于</w:t>
      </w:r>
      <w:r>
        <w:rPr>
          <w:rFonts w:ascii="宋体" w:hAnsi="宋体" w:cs="宋体" w:eastAsia="宋体" w:hint="default"/>
          <w:spacing w:val="-3"/>
          <w:w w:val="100"/>
          <w:sz w:val="21"/>
          <w:szCs w:val="21"/>
        </w:rPr>
        <w:t>下</w:t>
      </w:r>
      <w:r>
        <w:rPr>
          <w:rFonts w:ascii="宋体" w:hAnsi="宋体" w:cs="宋体" w:eastAsia="宋体" w:hint="default"/>
          <w:w w:val="100"/>
          <w:sz w:val="21"/>
          <w:szCs w:val="21"/>
        </w:rPr>
        <w:t>列</w:t>
      </w:r>
      <w:r>
        <w:rPr>
          <w:rFonts w:ascii="宋体" w:hAnsi="宋体" w:cs="宋体" w:eastAsia="宋体" w:hint="default"/>
          <w:spacing w:val="-3"/>
          <w:w w:val="100"/>
          <w:sz w:val="21"/>
          <w:szCs w:val="21"/>
        </w:rPr>
        <w:t>各</w:t>
      </w:r>
      <w:r>
        <w:rPr>
          <w:rFonts w:ascii="宋体" w:hAnsi="宋体" w:cs="宋体" w:eastAsia="宋体" w:hint="default"/>
          <w:w w:val="100"/>
          <w:sz w:val="21"/>
          <w:szCs w:val="21"/>
        </w:rPr>
        <w:t>项</w:t>
      </w:r>
      <w:r>
        <w:rPr>
          <w:rFonts w:ascii="宋体" w:hAnsi="宋体" w:cs="宋体" w:eastAsia="宋体" w:hint="default"/>
          <w:spacing w:val="-159"/>
          <w:w w:val="100"/>
          <w:sz w:val="21"/>
          <w:szCs w:val="21"/>
        </w:rPr>
        <w:t>：</w:t>
      </w:r>
      <w:r>
        <w:rPr>
          <w:rFonts w:ascii="宋体" w:hAnsi="宋体" w:cs="宋体" w:eastAsia="宋体" w:hint="default"/>
          <w:spacing w:val="-5"/>
          <w:w w:val="100"/>
          <w:sz w:val="21"/>
          <w:szCs w:val="21"/>
        </w:rPr>
        <w:t>（</w:t>
      </w:r>
      <w:r>
        <w:rPr>
          <w:rFonts w:ascii="Times New Roman" w:hAnsi="Times New Roman" w:cs="Times New Roman" w:eastAsia="Times New Roman" w:hint="default"/>
          <w:w w:val="100"/>
          <w:sz w:val="21"/>
          <w:szCs w:val="21"/>
        </w:rPr>
        <w:t>1</w:t>
      </w:r>
      <w:r>
        <w:rPr>
          <w:rFonts w:ascii="宋体" w:hAnsi="宋体" w:cs="宋体" w:eastAsia="宋体" w:hint="default"/>
          <w:spacing w:val="-36"/>
          <w:w w:val="92"/>
          <w:sz w:val="21"/>
          <w:szCs w:val="21"/>
        </w:rPr>
        <w:t>）</w:t>
      </w:r>
      <w:r>
        <w:rPr>
          <w:rFonts w:ascii="宋体" w:hAnsi="宋体" w:cs="宋体" w:eastAsia="宋体" w:hint="default"/>
          <w:spacing w:val="15"/>
          <w:w w:val="92"/>
          <w:sz w:val="21"/>
          <w:szCs w:val="21"/>
        </w:rPr>
        <w:t>债</w:t>
      </w:r>
      <w:r>
        <w:rPr>
          <w:rFonts w:ascii="宋体" w:hAnsi="宋体" w:cs="宋体" w:eastAsia="宋体" w:hint="default"/>
          <w:w w:val="92"/>
          <w:sz w:val="21"/>
          <w:szCs w:val="21"/>
        </w:rPr>
        <w:t>务</w:t>
      </w:r>
      <w:r>
        <w:rPr>
          <w:rFonts w:ascii="宋体" w:hAnsi="宋体" w:cs="宋体" w:eastAsia="宋体" w:hint="default"/>
          <w:spacing w:val="-88"/>
          <w:sz w:val="21"/>
          <w:szCs w:val="21"/>
        </w:rPr>
        <w:t> </w:t>
      </w:r>
      <w:r>
        <w:rPr>
          <w:rFonts w:ascii="宋体" w:hAnsi="宋体" w:cs="宋体" w:eastAsia="宋体" w:hint="default"/>
          <w:spacing w:val="15"/>
          <w:w w:val="92"/>
          <w:sz w:val="21"/>
          <w:szCs w:val="21"/>
        </w:rPr>
        <w:t>人</w:t>
      </w:r>
      <w:r>
        <w:rPr>
          <w:rFonts w:ascii="宋体" w:hAnsi="宋体" w:cs="宋体" w:eastAsia="宋体" w:hint="default"/>
          <w:spacing w:val="17"/>
          <w:w w:val="92"/>
          <w:sz w:val="21"/>
          <w:szCs w:val="21"/>
        </w:rPr>
        <w:t>发</w:t>
      </w:r>
      <w:r>
        <w:rPr>
          <w:rFonts w:ascii="宋体" w:hAnsi="宋体" w:cs="宋体" w:eastAsia="宋体" w:hint="default"/>
          <w:spacing w:val="15"/>
          <w:w w:val="92"/>
          <w:sz w:val="21"/>
          <w:szCs w:val="21"/>
        </w:rPr>
        <w:t>生</w:t>
      </w:r>
      <w:r>
        <w:rPr>
          <w:rFonts w:ascii="宋体" w:hAnsi="宋体" w:cs="宋体" w:eastAsia="宋体" w:hint="default"/>
          <w:spacing w:val="17"/>
          <w:w w:val="92"/>
          <w:sz w:val="21"/>
          <w:szCs w:val="21"/>
        </w:rPr>
        <w:t>严</w:t>
      </w:r>
      <w:r>
        <w:rPr>
          <w:rFonts w:ascii="宋体" w:hAnsi="宋体" w:cs="宋体" w:eastAsia="宋体" w:hint="default"/>
          <w:spacing w:val="15"/>
          <w:w w:val="92"/>
          <w:sz w:val="21"/>
          <w:szCs w:val="21"/>
        </w:rPr>
        <w:t>重</w:t>
      </w:r>
      <w:r>
        <w:rPr>
          <w:rFonts w:ascii="宋体" w:hAnsi="宋体" w:cs="宋体" w:eastAsia="宋体" w:hint="default"/>
          <w:spacing w:val="17"/>
          <w:w w:val="92"/>
          <w:sz w:val="21"/>
          <w:szCs w:val="21"/>
        </w:rPr>
        <w:t>财</w:t>
      </w:r>
      <w:r>
        <w:rPr>
          <w:rFonts w:ascii="宋体" w:hAnsi="宋体" w:cs="宋体" w:eastAsia="宋体" w:hint="default"/>
          <w:spacing w:val="15"/>
          <w:w w:val="92"/>
          <w:sz w:val="21"/>
          <w:szCs w:val="21"/>
        </w:rPr>
        <w:t>务</w:t>
      </w:r>
      <w:r>
        <w:rPr>
          <w:rFonts w:ascii="宋体" w:hAnsi="宋体" w:cs="宋体" w:eastAsia="宋体" w:hint="default"/>
          <w:spacing w:val="17"/>
          <w:w w:val="92"/>
          <w:sz w:val="21"/>
          <w:szCs w:val="21"/>
        </w:rPr>
        <w:t>困</w:t>
      </w:r>
      <w:r>
        <w:rPr>
          <w:rFonts w:ascii="宋体" w:hAnsi="宋体" w:cs="宋体" w:eastAsia="宋体" w:hint="default"/>
          <w:spacing w:val="15"/>
          <w:w w:val="92"/>
          <w:sz w:val="21"/>
          <w:szCs w:val="21"/>
        </w:rPr>
        <w:t>难</w:t>
      </w:r>
      <w:r>
        <w:rPr>
          <w:rFonts w:ascii="宋体" w:hAnsi="宋体" w:cs="宋体" w:eastAsia="宋体" w:hint="default"/>
          <w:spacing w:val="-137"/>
          <w:w w:val="92"/>
          <w:sz w:val="21"/>
          <w:szCs w:val="21"/>
        </w:rPr>
        <w:t>；</w:t>
      </w:r>
      <w:r>
        <w:rPr>
          <w:rFonts w:ascii="宋体" w:hAnsi="宋体" w:cs="宋体" w:eastAsia="宋体" w:hint="default"/>
          <w:spacing w:val="2"/>
          <w:w w:val="92"/>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w w:val="51"/>
          <w:sz w:val="21"/>
          <w:szCs w:val="21"/>
        </w:rPr>
        <w:t>） </w:t>
      </w:r>
      <w:r>
        <w:rPr>
          <w:rFonts w:ascii="宋体" w:hAnsi="宋体" w:cs="宋体" w:eastAsia="宋体" w:hint="default"/>
          <w:w w:val="100"/>
          <w:sz w:val="21"/>
          <w:szCs w:val="21"/>
        </w:rPr>
        <w:t>债</w:t>
      </w:r>
      <w:r>
        <w:rPr>
          <w:rFonts w:ascii="宋体" w:hAnsi="宋体" w:cs="宋体" w:eastAsia="宋体" w:hint="default"/>
          <w:spacing w:val="-3"/>
          <w:w w:val="100"/>
          <w:sz w:val="21"/>
          <w:szCs w:val="21"/>
        </w:rPr>
        <w:t>务</w:t>
      </w:r>
      <w:r>
        <w:rPr>
          <w:rFonts w:ascii="宋体" w:hAnsi="宋体" w:cs="宋体" w:eastAsia="宋体" w:hint="default"/>
          <w:w w:val="100"/>
          <w:sz w:val="21"/>
          <w:szCs w:val="21"/>
        </w:rPr>
        <w:t>人</w:t>
      </w:r>
      <w:r>
        <w:rPr>
          <w:rFonts w:ascii="宋体" w:hAnsi="宋体" w:cs="宋体" w:eastAsia="宋体" w:hint="default"/>
          <w:spacing w:val="-3"/>
          <w:w w:val="100"/>
          <w:sz w:val="21"/>
          <w:szCs w:val="21"/>
        </w:rPr>
        <w:t>违</w:t>
      </w:r>
      <w:r>
        <w:rPr>
          <w:rFonts w:ascii="宋体" w:hAnsi="宋体" w:cs="宋体" w:eastAsia="宋体" w:hint="default"/>
          <w:w w:val="100"/>
          <w:sz w:val="21"/>
          <w:szCs w:val="21"/>
        </w:rPr>
        <w:t>反</w:t>
      </w:r>
      <w:r>
        <w:rPr>
          <w:rFonts w:ascii="宋体" w:hAnsi="宋体" w:cs="宋体" w:eastAsia="宋体" w:hint="default"/>
          <w:spacing w:val="-3"/>
          <w:w w:val="100"/>
          <w:sz w:val="21"/>
          <w:szCs w:val="21"/>
        </w:rPr>
        <w:t>了</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w w:val="100"/>
          <w:sz w:val="21"/>
          <w:szCs w:val="21"/>
        </w:rPr>
        <w:t>条</w:t>
      </w:r>
      <w:r>
        <w:rPr>
          <w:rFonts w:ascii="宋体" w:hAnsi="宋体" w:cs="宋体" w:eastAsia="宋体" w:hint="default"/>
          <w:spacing w:val="-3"/>
          <w:w w:val="100"/>
          <w:sz w:val="21"/>
          <w:szCs w:val="21"/>
        </w:rPr>
        <w:t>款</w:t>
      </w:r>
      <w:r>
        <w:rPr>
          <w:rFonts w:ascii="宋体" w:hAnsi="宋体" w:cs="宋体" w:eastAsia="宋体" w:hint="default"/>
          <w:spacing w:val="-34"/>
          <w:w w:val="100"/>
          <w:sz w:val="21"/>
          <w:szCs w:val="21"/>
        </w:rPr>
        <w:t>，</w:t>
      </w:r>
      <w:r>
        <w:rPr>
          <w:rFonts w:ascii="宋体" w:hAnsi="宋体" w:cs="宋体" w:eastAsia="宋体" w:hint="default"/>
          <w:spacing w:val="-3"/>
          <w:w w:val="100"/>
          <w:sz w:val="21"/>
          <w:szCs w:val="21"/>
        </w:rPr>
        <w:t>如偿</w:t>
      </w:r>
      <w:r>
        <w:rPr>
          <w:rFonts w:ascii="宋体" w:hAnsi="宋体" w:cs="宋体" w:eastAsia="宋体" w:hint="default"/>
          <w:w w:val="100"/>
          <w:sz w:val="21"/>
          <w:szCs w:val="21"/>
        </w:rPr>
        <w:t>付</w:t>
      </w:r>
      <w:r>
        <w:rPr>
          <w:rFonts w:ascii="宋体" w:hAnsi="宋体" w:cs="宋体" w:eastAsia="宋体" w:hint="default"/>
          <w:spacing w:val="-3"/>
          <w:w w:val="100"/>
          <w:sz w:val="21"/>
          <w:szCs w:val="21"/>
        </w:rPr>
        <w:t>利</w:t>
      </w:r>
      <w:r>
        <w:rPr>
          <w:rFonts w:ascii="宋体" w:hAnsi="宋体" w:cs="宋体" w:eastAsia="宋体" w:hint="default"/>
          <w:w w:val="100"/>
          <w:sz w:val="21"/>
          <w:szCs w:val="21"/>
        </w:rPr>
        <w:t>息</w:t>
      </w:r>
      <w:r>
        <w:rPr>
          <w:rFonts w:ascii="宋体" w:hAnsi="宋体" w:cs="宋体" w:eastAsia="宋体" w:hint="default"/>
          <w:spacing w:val="-3"/>
          <w:w w:val="100"/>
          <w:sz w:val="21"/>
          <w:szCs w:val="21"/>
        </w:rPr>
        <w:t>或</w:t>
      </w:r>
      <w:r>
        <w:rPr>
          <w:rFonts w:ascii="宋体" w:hAnsi="宋体" w:cs="宋体" w:eastAsia="宋体" w:hint="default"/>
          <w:w w:val="100"/>
          <w:sz w:val="21"/>
          <w:szCs w:val="21"/>
        </w:rPr>
        <w:t>本</w:t>
      </w:r>
      <w:r>
        <w:rPr>
          <w:rFonts w:ascii="宋体" w:hAnsi="宋体" w:cs="宋体" w:eastAsia="宋体" w:hint="default"/>
          <w:spacing w:val="-3"/>
          <w:w w:val="100"/>
          <w:sz w:val="21"/>
          <w:szCs w:val="21"/>
        </w:rPr>
        <w:t>金</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违</w:t>
      </w:r>
      <w:r>
        <w:rPr>
          <w:rFonts w:ascii="宋体" w:hAnsi="宋体" w:cs="宋体" w:eastAsia="宋体" w:hint="default"/>
          <w:spacing w:val="-3"/>
          <w:w w:val="100"/>
          <w:sz w:val="21"/>
          <w:szCs w:val="21"/>
        </w:rPr>
        <w:t>约</w:t>
      </w:r>
      <w:r>
        <w:rPr>
          <w:rFonts w:ascii="宋体" w:hAnsi="宋体" w:cs="宋体" w:eastAsia="宋体" w:hint="default"/>
          <w:w w:val="100"/>
          <w:sz w:val="21"/>
          <w:szCs w:val="21"/>
        </w:rPr>
        <w:t>或</w:t>
      </w:r>
      <w:r>
        <w:rPr>
          <w:rFonts w:ascii="宋体" w:hAnsi="宋体" w:cs="宋体" w:eastAsia="宋体" w:hint="default"/>
          <w:spacing w:val="-3"/>
          <w:w w:val="100"/>
          <w:sz w:val="21"/>
          <w:szCs w:val="21"/>
        </w:rPr>
        <w:t>逾</w:t>
      </w:r>
      <w:r>
        <w:rPr>
          <w:rFonts w:ascii="宋体" w:hAnsi="宋体" w:cs="宋体" w:eastAsia="宋体" w:hint="default"/>
          <w:w w:val="100"/>
          <w:sz w:val="21"/>
          <w:szCs w:val="21"/>
        </w:rPr>
        <w:t>期</w:t>
      </w:r>
      <w:r>
        <w:rPr>
          <w:rFonts w:ascii="宋体" w:hAnsi="宋体" w:cs="宋体" w:eastAsia="宋体" w:hint="default"/>
          <w:spacing w:val="-3"/>
          <w:w w:val="100"/>
          <w:sz w:val="21"/>
          <w:szCs w:val="21"/>
        </w:rPr>
        <w:t>等</w:t>
      </w:r>
      <w:r>
        <w:rPr>
          <w:rFonts w:ascii="宋体" w:hAnsi="宋体" w:cs="宋体" w:eastAsia="宋体" w:hint="default"/>
          <w:spacing w:val="-140"/>
          <w:w w:val="100"/>
          <w:sz w:val="21"/>
          <w:szCs w:val="21"/>
        </w:rPr>
        <w:t>；</w:t>
      </w:r>
      <w:r>
        <w:rPr>
          <w:rFonts w:ascii="宋体" w:hAnsi="宋体" w:cs="宋体" w:eastAsia="宋体" w:hint="default"/>
          <w:spacing w:val="-5"/>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spacing w:val="-34"/>
          <w:w w:val="100"/>
          <w:sz w:val="21"/>
          <w:szCs w:val="21"/>
        </w:rPr>
        <w:t>）</w:t>
      </w:r>
      <w:r>
        <w:rPr>
          <w:rFonts w:ascii="宋体" w:hAnsi="宋体" w:cs="宋体" w:eastAsia="宋体" w:hint="default"/>
          <w:spacing w:val="-3"/>
          <w:w w:val="100"/>
          <w:sz w:val="21"/>
          <w:szCs w:val="21"/>
        </w:rPr>
        <w:t>出于</w:t>
      </w:r>
      <w:r>
        <w:rPr>
          <w:rFonts w:ascii="宋体" w:hAnsi="宋体" w:cs="宋体" w:eastAsia="宋体" w:hint="default"/>
          <w:w w:val="100"/>
          <w:sz w:val="21"/>
          <w:szCs w:val="21"/>
        </w:rPr>
        <w:t>经</w:t>
      </w:r>
      <w:r>
        <w:rPr>
          <w:rFonts w:ascii="宋体" w:hAnsi="宋体" w:cs="宋体" w:eastAsia="宋体" w:hint="default"/>
          <w:spacing w:val="-3"/>
          <w:w w:val="100"/>
          <w:sz w:val="21"/>
          <w:szCs w:val="21"/>
        </w:rPr>
        <w:t>济</w:t>
      </w:r>
      <w:r>
        <w:rPr>
          <w:rFonts w:ascii="宋体" w:hAnsi="宋体" w:cs="宋体" w:eastAsia="宋体" w:hint="default"/>
          <w:w w:val="100"/>
          <w:sz w:val="21"/>
          <w:szCs w:val="21"/>
        </w:rPr>
        <w:t>或</w:t>
      </w:r>
      <w:r>
        <w:rPr>
          <w:rFonts w:ascii="宋体" w:hAnsi="宋体" w:cs="宋体" w:eastAsia="宋体" w:hint="default"/>
          <w:spacing w:val="-3"/>
          <w:w w:val="100"/>
          <w:sz w:val="21"/>
          <w:szCs w:val="21"/>
        </w:rPr>
        <w:t>法</w:t>
      </w:r>
      <w:r>
        <w:rPr>
          <w:rFonts w:ascii="宋体" w:hAnsi="宋体" w:cs="宋体" w:eastAsia="宋体" w:hint="default"/>
          <w:w w:val="100"/>
          <w:sz w:val="21"/>
          <w:szCs w:val="21"/>
        </w:rPr>
        <w:t>律</w:t>
      </w:r>
      <w:r>
        <w:rPr>
          <w:rFonts w:ascii="宋体" w:hAnsi="宋体" w:cs="宋体" w:eastAsia="宋体" w:hint="default"/>
          <w:spacing w:val="-3"/>
          <w:w w:val="100"/>
          <w:sz w:val="21"/>
          <w:szCs w:val="21"/>
        </w:rPr>
        <w:t>等</w:t>
      </w:r>
      <w:r>
        <w:rPr>
          <w:rFonts w:ascii="宋体" w:hAnsi="宋体" w:cs="宋体" w:eastAsia="宋体" w:hint="default"/>
          <w:w w:val="100"/>
          <w:sz w:val="21"/>
          <w:szCs w:val="21"/>
        </w:rPr>
        <w:t>方</w:t>
      </w:r>
      <w:r>
        <w:rPr>
          <w:rFonts w:ascii="宋体" w:hAnsi="宋体" w:cs="宋体" w:eastAsia="宋体" w:hint="default"/>
          <w:spacing w:val="-3"/>
          <w:w w:val="100"/>
          <w:sz w:val="21"/>
          <w:szCs w:val="21"/>
        </w:rPr>
        <w:t>面</w:t>
      </w:r>
      <w:r>
        <w:rPr>
          <w:rFonts w:ascii="宋体" w:hAnsi="宋体" w:cs="宋体" w:eastAsia="宋体" w:hint="default"/>
          <w:w w:val="100"/>
          <w:sz w:val="21"/>
          <w:szCs w:val="21"/>
        </w:rPr>
        <w:t>因</w:t>
      </w:r>
      <w:r>
        <w:rPr>
          <w:rFonts w:ascii="宋体" w:hAnsi="宋体" w:cs="宋体" w:eastAsia="宋体" w:hint="default"/>
          <w:w w:val="100"/>
          <w:sz w:val="21"/>
          <w:szCs w:val="21"/>
        </w:rPr>
        <w:t> 素</w:t>
      </w:r>
      <w:r>
        <w:rPr>
          <w:rFonts w:ascii="宋体" w:hAnsi="宋体" w:cs="宋体" w:eastAsia="宋体" w:hint="default"/>
          <w:spacing w:val="-3"/>
          <w:w w:val="100"/>
          <w:sz w:val="21"/>
          <w:szCs w:val="21"/>
        </w:rPr>
        <w:t>的</w:t>
      </w:r>
      <w:r>
        <w:rPr>
          <w:rFonts w:ascii="宋体" w:hAnsi="宋体" w:cs="宋体" w:eastAsia="宋体" w:hint="default"/>
          <w:w w:val="100"/>
          <w:sz w:val="21"/>
          <w:szCs w:val="21"/>
        </w:rPr>
        <w:t>考</w:t>
      </w:r>
      <w:r>
        <w:rPr>
          <w:rFonts w:ascii="宋体" w:hAnsi="宋体" w:cs="宋体" w:eastAsia="宋体" w:hint="default"/>
          <w:spacing w:val="-3"/>
          <w:w w:val="100"/>
          <w:sz w:val="21"/>
          <w:szCs w:val="21"/>
        </w:rPr>
        <w:t>虑</w:t>
      </w:r>
      <w:r>
        <w:rPr>
          <w:rFonts w:ascii="宋体" w:hAnsi="宋体" w:cs="宋体" w:eastAsia="宋体" w:hint="default"/>
          <w:w w:val="100"/>
          <w:sz w:val="21"/>
          <w:szCs w:val="21"/>
        </w:rPr>
        <w:t>，</w:t>
      </w:r>
      <w:r>
        <w:rPr>
          <w:rFonts w:ascii="宋体" w:hAnsi="宋体" w:cs="宋体" w:eastAsia="宋体" w:hint="default"/>
          <w:spacing w:val="-3"/>
          <w:w w:val="100"/>
          <w:sz w:val="21"/>
          <w:szCs w:val="21"/>
        </w:rPr>
        <w:t>对</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困</w:t>
      </w:r>
      <w:r>
        <w:rPr>
          <w:rFonts w:ascii="宋体" w:hAnsi="宋体" w:cs="宋体" w:eastAsia="宋体" w:hint="default"/>
          <w:spacing w:val="-3"/>
          <w:w w:val="100"/>
          <w:sz w:val="21"/>
          <w:szCs w:val="21"/>
        </w:rPr>
        <w:t>难</w:t>
      </w:r>
      <w:r>
        <w:rPr>
          <w:rFonts w:ascii="宋体" w:hAnsi="宋体" w:cs="宋体" w:eastAsia="宋体" w:hint="default"/>
          <w:w w:val="100"/>
          <w:sz w:val="21"/>
          <w:szCs w:val="21"/>
        </w:rPr>
        <w:t>的</w:t>
      </w:r>
      <w:r>
        <w:rPr>
          <w:rFonts w:ascii="宋体" w:hAnsi="宋体" w:cs="宋体" w:eastAsia="宋体" w:hint="default"/>
          <w:spacing w:val="-3"/>
          <w:w w:val="100"/>
          <w:sz w:val="21"/>
          <w:szCs w:val="21"/>
        </w:rPr>
        <w:t>债</w:t>
      </w:r>
      <w:r>
        <w:rPr>
          <w:rFonts w:ascii="宋体" w:hAnsi="宋体" w:cs="宋体" w:eastAsia="宋体" w:hint="default"/>
          <w:w w:val="100"/>
          <w:sz w:val="21"/>
          <w:szCs w:val="21"/>
        </w:rPr>
        <w:t>务</w:t>
      </w:r>
      <w:r>
        <w:rPr>
          <w:rFonts w:ascii="宋体" w:hAnsi="宋体" w:cs="宋体" w:eastAsia="宋体" w:hint="default"/>
          <w:spacing w:val="-3"/>
          <w:w w:val="100"/>
          <w:sz w:val="21"/>
          <w:szCs w:val="21"/>
        </w:rPr>
        <w:t>人</w:t>
      </w:r>
      <w:r>
        <w:rPr>
          <w:rFonts w:ascii="宋体" w:hAnsi="宋体" w:cs="宋体" w:eastAsia="宋体" w:hint="default"/>
          <w:w w:val="100"/>
          <w:sz w:val="21"/>
          <w:szCs w:val="21"/>
        </w:rPr>
        <w:t>作</w:t>
      </w:r>
      <w:r>
        <w:rPr>
          <w:rFonts w:ascii="宋体" w:hAnsi="宋体" w:cs="宋体" w:eastAsia="宋体" w:hint="default"/>
          <w:spacing w:val="-3"/>
          <w:w w:val="100"/>
          <w:sz w:val="21"/>
          <w:szCs w:val="21"/>
        </w:rPr>
        <w:t>出</w:t>
      </w:r>
      <w:r>
        <w:rPr>
          <w:rFonts w:ascii="宋体" w:hAnsi="宋体" w:cs="宋体" w:eastAsia="宋体" w:hint="default"/>
          <w:w w:val="100"/>
          <w:sz w:val="21"/>
          <w:szCs w:val="21"/>
        </w:rPr>
        <w:t>让</w:t>
      </w:r>
      <w:r>
        <w:rPr>
          <w:rFonts w:ascii="宋体" w:hAnsi="宋体" w:cs="宋体" w:eastAsia="宋体" w:hint="default"/>
          <w:spacing w:val="-3"/>
          <w:w w:val="100"/>
          <w:sz w:val="21"/>
          <w:szCs w:val="21"/>
        </w:rPr>
        <w:t>步</w:t>
      </w:r>
      <w:r>
        <w:rPr>
          <w:rFonts w:ascii="宋体" w:hAnsi="宋体" w:cs="宋体" w:eastAsia="宋体" w:hint="default"/>
          <w:spacing w:val="-104"/>
          <w:w w:val="100"/>
          <w:sz w:val="21"/>
          <w:szCs w:val="21"/>
        </w:rPr>
        <w:t>；</w:t>
      </w:r>
      <w:r>
        <w:rPr>
          <w:rFonts w:ascii="宋体" w:hAnsi="宋体" w:cs="宋体" w:eastAsia="宋体" w:hint="default"/>
          <w:spacing w:val="-5"/>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w w:val="100"/>
          <w:sz w:val="21"/>
          <w:szCs w:val="21"/>
        </w:rPr>
        <w:t>）</w:t>
      </w:r>
      <w:r>
        <w:rPr>
          <w:rFonts w:ascii="宋体" w:hAnsi="宋体" w:cs="宋体" w:eastAsia="宋体" w:hint="default"/>
          <w:spacing w:val="-3"/>
          <w:w w:val="100"/>
          <w:sz w:val="21"/>
          <w:szCs w:val="21"/>
        </w:rPr>
        <w:t>债</w:t>
      </w:r>
      <w:r>
        <w:rPr>
          <w:rFonts w:ascii="宋体" w:hAnsi="宋体" w:cs="宋体" w:eastAsia="宋体" w:hint="default"/>
          <w:w w:val="100"/>
          <w:sz w:val="21"/>
          <w:szCs w:val="21"/>
        </w:rPr>
        <w:t>务</w:t>
      </w:r>
      <w:r>
        <w:rPr>
          <w:rFonts w:ascii="宋体" w:hAnsi="宋体" w:cs="宋体" w:eastAsia="宋体" w:hint="default"/>
          <w:spacing w:val="-3"/>
          <w:w w:val="100"/>
          <w:sz w:val="21"/>
          <w:szCs w:val="21"/>
        </w:rPr>
        <w:t>人</w:t>
      </w:r>
      <w:r>
        <w:rPr>
          <w:rFonts w:ascii="宋体" w:hAnsi="宋体" w:cs="宋体" w:eastAsia="宋体" w:hint="default"/>
          <w:w w:val="100"/>
          <w:sz w:val="21"/>
          <w:szCs w:val="21"/>
        </w:rPr>
        <w:t>很</w:t>
      </w:r>
      <w:r>
        <w:rPr>
          <w:rFonts w:ascii="宋体" w:hAnsi="宋体" w:cs="宋体" w:eastAsia="宋体" w:hint="default"/>
          <w:spacing w:val="-3"/>
          <w:w w:val="100"/>
          <w:sz w:val="21"/>
          <w:szCs w:val="21"/>
        </w:rPr>
        <w:t>可</w:t>
      </w:r>
      <w:r>
        <w:rPr>
          <w:rFonts w:ascii="宋体" w:hAnsi="宋体" w:cs="宋体" w:eastAsia="宋体" w:hint="default"/>
          <w:w w:val="100"/>
          <w:sz w:val="21"/>
          <w:szCs w:val="21"/>
        </w:rPr>
        <w:t>能</w:t>
      </w:r>
      <w:r>
        <w:rPr>
          <w:rFonts w:ascii="宋体" w:hAnsi="宋体" w:cs="宋体" w:eastAsia="宋体" w:hint="default"/>
          <w:spacing w:val="-3"/>
          <w:w w:val="100"/>
          <w:sz w:val="21"/>
          <w:szCs w:val="21"/>
        </w:rPr>
        <w:t>倒</w:t>
      </w:r>
      <w:r>
        <w:rPr>
          <w:rFonts w:ascii="宋体" w:hAnsi="宋体" w:cs="宋体" w:eastAsia="宋体" w:hint="default"/>
          <w:w w:val="100"/>
          <w:sz w:val="21"/>
          <w:szCs w:val="21"/>
        </w:rPr>
        <w:t>闭</w:t>
      </w:r>
      <w:r>
        <w:rPr>
          <w:rFonts w:ascii="宋体" w:hAnsi="宋体" w:cs="宋体" w:eastAsia="宋体" w:hint="default"/>
          <w:spacing w:val="-3"/>
          <w:w w:val="100"/>
          <w:sz w:val="21"/>
          <w:szCs w:val="21"/>
        </w:rPr>
        <w:t>或</w:t>
      </w:r>
      <w:r>
        <w:rPr>
          <w:rFonts w:ascii="宋体" w:hAnsi="宋体" w:cs="宋体" w:eastAsia="宋体" w:hint="default"/>
          <w:w w:val="100"/>
          <w:sz w:val="21"/>
          <w:szCs w:val="21"/>
        </w:rPr>
        <w:t>进</w:t>
      </w:r>
      <w:r>
        <w:rPr>
          <w:rFonts w:ascii="宋体" w:hAnsi="宋体" w:cs="宋体" w:eastAsia="宋体" w:hint="default"/>
          <w:spacing w:val="-3"/>
          <w:w w:val="100"/>
          <w:sz w:val="21"/>
          <w:szCs w:val="21"/>
        </w:rPr>
        <w:t>行</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债</w:t>
      </w:r>
      <w:r>
        <w:rPr>
          <w:rFonts w:ascii="宋体" w:hAnsi="宋体" w:cs="宋体" w:eastAsia="宋体" w:hint="default"/>
          <w:spacing w:val="-3"/>
          <w:w w:val="100"/>
          <w:sz w:val="21"/>
          <w:szCs w:val="21"/>
        </w:rPr>
        <w:t>务</w:t>
      </w:r>
      <w:r>
        <w:rPr>
          <w:rFonts w:ascii="宋体" w:hAnsi="宋体" w:cs="宋体" w:eastAsia="宋体" w:hint="default"/>
          <w:w w:val="100"/>
          <w:sz w:val="21"/>
          <w:szCs w:val="21"/>
        </w:rPr>
        <w:t>重</w:t>
      </w:r>
      <w:r>
        <w:rPr>
          <w:rFonts w:ascii="宋体" w:hAnsi="宋体" w:cs="宋体" w:eastAsia="宋体" w:hint="default"/>
          <w:spacing w:val="-3"/>
          <w:w w:val="100"/>
          <w:sz w:val="21"/>
          <w:szCs w:val="21"/>
        </w:rPr>
        <w:t>组</w:t>
      </w:r>
      <w:r>
        <w:rPr>
          <w:rFonts w:ascii="宋体" w:hAnsi="宋体" w:cs="宋体" w:eastAsia="宋体" w:hint="default"/>
          <w:w w:val="100"/>
          <w:sz w:val="21"/>
          <w:szCs w:val="21"/>
        </w:rPr>
        <w:t>。</w:t>
      </w:r>
    </w:p>
    <w:p>
      <w:pPr>
        <w:spacing w:line="396" w:lineRule="auto" w:before="158"/>
        <w:ind w:left="141" w:right="235"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．单项金额不重大但按信用风险特征组合后该组合的风险较大的应收款项坏账准备的确</w:t>
      </w:r>
      <w:r>
        <w:rPr>
          <w:rFonts w:ascii="宋体" w:hAnsi="宋体" w:cs="宋体" w:eastAsia="宋体" w:hint="default"/>
          <w:w w:val="100"/>
          <w:sz w:val="21"/>
          <w:szCs w:val="21"/>
        </w:rPr>
        <w:t> </w:t>
      </w:r>
      <w:r>
        <w:rPr>
          <w:rFonts w:ascii="宋体" w:hAnsi="宋体" w:cs="宋体" w:eastAsia="宋体" w:hint="default"/>
          <w:sz w:val="21"/>
          <w:szCs w:val="21"/>
        </w:rPr>
        <w:t>定依据和计提方法</w:t>
      </w:r>
    </w:p>
    <w:p>
      <w:pPr>
        <w:spacing w:line="240" w:lineRule="auto" w:before="0"/>
        <w:rPr>
          <w:rFonts w:ascii="宋体" w:hAnsi="宋体" w:cs="宋体" w:eastAsia="宋体" w:hint="default"/>
          <w:sz w:val="19"/>
          <w:szCs w:val="19"/>
        </w:rPr>
      </w:pPr>
    </w:p>
    <w:p>
      <w:pPr>
        <w:spacing w:line="408" w:lineRule="auto" w:before="0"/>
        <w:ind w:left="141" w:right="237" w:firstLine="420"/>
        <w:jc w:val="both"/>
        <w:rPr>
          <w:rFonts w:ascii="宋体" w:hAnsi="宋体" w:cs="宋体" w:eastAsia="宋体" w:hint="default"/>
          <w:sz w:val="21"/>
          <w:szCs w:val="21"/>
        </w:rPr>
      </w:pPr>
      <w:r>
        <w:rPr>
          <w:rFonts w:ascii="宋体" w:hAnsi="宋体" w:cs="宋体" w:eastAsia="宋体" w:hint="default"/>
          <w:spacing w:val="-5"/>
          <w:w w:val="100"/>
          <w:sz w:val="21"/>
          <w:szCs w:val="21"/>
        </w:rPr>
        <w:t>信用风险特征组合的确定依据：单项金额不重大但按信用风险特征组合后该组合的风险较</w:t>
      </w:r>
      <w:r>
        <w:rPr>
          <w:rFonts w:ascii="宋体" w:hAnsi="宋体" w:cs="宋体" w:eastAsia="宋体" w:hint="default"/>
          <w:w w:val="100"/>
          <w:sz w:val="21"/>
          <w:szCs w:val="21"/>
        </w:rPr>
        <w:t> </w:t>
      </w:r>
      <w:r>
        <w:rPr>
          <w:rFonts w:ascii="宋体" w:hAnsi="宋体" w:cs="宋体" w:eastAsia="宋体" w:hint="default"/>
          <w:sz w:val="21"/>
          <w:szCs w:val="21"/>
        </w:rPr>
        <w:t>大的应收款项，是指应收账款期末余额在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万元以下、其他应收款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万元以下的，债务人</w:t>
      </w:r>
      <w:r>
        <w:rPr>
          <w:rFonts w:ascii="宋体" w:hAnsi="宋体" w:cs="宋体" w:eastAsia="宋体" w:hint="default"/>
          <w:w w:val="100"/>
          <w:sz w:val="21"/>
          <w:szCs w:val="21"/>
        </w:rPr>
        <w:t> </w:t>
      </w:r>
      <w:r>
        <w:rPr>
          <w:rFonts w:ascii="宋体" w:hAnsi="宋体" w:cs="宋体" w:eastAsia="宋体" w:hint="default"/>
          <w:sz w:val="21"/>
          <w:szCs w:val="21"/>
        </w:rPr>
        <w:t>违反了合同条款；或账龄在三年以上的应收账款及其他应收款。</w:t>
      </w:r>
    </w:p>
    <w:p>
      <w:pPr>
        <w:spacing w:line="240" w:lineRule="auto" w:before="0"/>
        <w:rPr>
          <w:rFonts w:ascii="宋体" w:hAnsi="宋体" w:cs="宋体" w:eastAsia="宋体" w:hint="default"/>
          <w:sz w:val="18"/>
          <w:szCs w:val="18"/>
        </w:rPr>
      </w:pPr>
    </w:p>
    <w:p>
      <w:pPr>
        <w:spacing w:line="420" w:lineRule="auto" w:before="0"/>
        <w:ind w:left="141" w:right="237" w:firstLine="420"/>
        <w:jc w:val="both"/>
        <w:rPr>
          <w:rFonts w:ascii="宋体" w:hAnsi="宋体" w:cs="宋体" w:eastAsia="宋体" w:hint="default"/>
          <w:sz w:val="21"/>
          <w:szCs w:val="21"/>
        </w:rPr>
      </w:pPr>
      <w:r>
        <w:rPr>
          <w:rFonts w:ascii="宋体" w:hAnsi="宋体" w:cs="宋体" w:eastAsia="宋体" w:hint="default"/>
          <w:spacing w:val="-5"/>
          <w:sz w:val="21"/>
          <w:szCs w:val="21"/>
        </w:rPr>
        <w:t>根据信用风险特征组合确定的计提方法：资产负债表日，公司对单项金额不重大但按信用</w:t>
      </w:r>
      <w:r>
        <w:rPr>
          <w:rFonts w:ascii="宋体" w:hAnsi="宋体" w:cs="宋体" w:eastAsia="宋体" w:hint="default"/>
          <w:w w:val="100"/>
          <w:sz w:val="21"/>
          <w:szCs w:val="21"/>
        </w:rPr>
        <w:t> </w:t>
      </w:r>
      <w:r>
        <w:rPr>
          <w:rFonts w:ascii="宋体" w:hAnsi="宋体" w:cs="宋体" w:eastAsia="宋体" w:hint="default"/>
          <w:spacing w:val="-5"/>
          <w:sz w:val="21"/>
          <w:szCs w:val="21"/>
        </w:rPr>
        <w:t>风险特征组合后该组合的风险较大的应收款项，单独进行减值测试，根据其预计未来现金流量</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现值低于其账面价值的差额计提坏账准备。</w:t>
      </w:r>
    </w:p>
    <w:p>
      <w:pPr>
        <w:spacing w:line="408" w:lineRule="auto" w:before="167"/>
        <w:ind w:left="141" w:right="237" w:firstLine="420"/>
        <w:jc w:val="both"/>
        <w:rPr>
          <w:rFonts w:ascii="宋体" w:hAnsi="宋体" w:cs="宋体" w:eastAsia="宋体" w:hint="default"/>
          <w:sz w:val="21"/>
          <w:szCs w:val="21"/>
        </w:rPr>
      </w:pPr>
      <w:r>
        <w:rPr/>
        <w:pict>
          <v:shape style="position:absolute;margin-left:84.720001pt;margin-top:71.61364pt;width:432.25pt;height:124.2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8"/>
                    <w:gridCol w:w="2731"/>
                    <w:gridCol w:w="2731"/>
                  </w:tblGrid>
                  <w:tr>
                    <w:trPr>
                      <w:trHeight w:val="494" w:hRule="exact"/>
                    </w:trPr>
                    <w:tc>
                      <w:tcPr>
                        <w:tcW w:w="31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应收帐款计提比例</w:t>
                        </w:r>
                        <w:r>
                          <w:rPr>
                            <w:rFonts w:ascii="Times New Roman" w:hAnsi="Times New Roman" w:cs="Times New Roman" w:eastAsia="Times New Roman" w:hint="default"/>
                            <w:sz w:val="18"/>
                            <w:szCs w:val="18"/>
                          </w:rPr>
                          <w:t>(%)</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94" w:hRule="exact"/>
                    </w:trPr>
                    <w:tc>
                      <w:tcPr>
                        <w:tcW w:w="31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0.5</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0.5</w:t>
                        </w:r>
                      </w:p>
                    </w:tc>
                  </w:tr>
                  <w:tr>
                    <w:trPr>
                      <w:trHeight w:val="497" w:hRule="exact"/>
                    </w:trPr>
                    <w:tc>
                      <w:tcPr>
                        <w:tcW w:w="31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r>
                  <w:tr>
                    <w:trPr>
                      <w:trHeight w:val="494" w:hRule="exact"/>
                    </w:trPr>
                    <w:tc>
                      <w:tcPr>
                        <w:tcW w:w="31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494" w:hRule="exact"/>
                    </w:trPr>
                    <w:tc>
                      <w:tcPr>
                        <w:tcW w:w="31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w:t>
                        </w:r>
                      </w:p>
                    </w:tc>
                  </w:tr>
                </w:tbl>
                <w:p>
                  <w:pPr/>
                </w:p>
              </w:txbxContent>
            </v:textbox>
            <w10:wrap type="none"/>
          </v:shape>
        </w:pic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w:t>
      </w:r>
      <w:r>
        <w:rPr>
          <w:rFonts w:ascii="宋体" w:hAnsi="宋体" w:cs="宋体" w:eastAsia="宋体" w:hint="default"/>
          <w:spacing w:val="-2"/>
          <w:sz w:val="21"/>
          <w:szCs w:val="21"/>
        </w:rPr>
        <w:t>对经单独测试后未减值的应收款项（包括单项金额重大和不重大的应收款项）按账龄</w:t>
      </w:r>
      <w:r>
        <w:rPr>
          <w:rFonts w:ascii="宋体" w:hAnsi="宋体" w:cs="宋体" w:eastAsia="宋体" w:hint="default"/>
          <w:w w:val="100"/>
          <w:sz w:val="21"/>
          <w:szCs w:val="21"/>
        </w:rPr>
        <w:t> </w:t>
      </w:r>
      <w:r>
        <w:rPr>
          <w:rFonts w:ascii="宋体" w:hAnsi="宋体" w:cs="宋体" w:eastAsia="宋体" w:hint="default"/>
          <w:spacing w:val="-5"/>
          <w:w w:val="100"/>
          <w:sz w:val="21"/>
          <w:szCs w:val="21"/>
        </w:rPr>
        <w:t>划分为若干组合，根据以前年度与之相同或相类似信用风险特征的应收款项组合的实际损失率</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为基础，结合现时情况确定本期各项组合计提坏账准备的比例，具体如下：</w:t>
      </w:r>
    </w:p>
    <w:p>
      <w:pPr>
        <w:spacing w:after="0" w:line="408" w:lineRule="auto"/>
        <w:jc w:val="both"/>
        <w:rPr>
          <w:rFonts w:ascii="宋体" w:hAnsi="宋体" w:cs="宋体" w:eastAsia="宋体" w:hint="default"/>
          <w:sz w:val="21"/>
          <w:szCs w:val="21"/>
        </w:rPr>
        <w:sectPr>
          <w:pgSz w:w="11910" w:h="16840"/>
          <w:pgMar w:header="943" w:footer="897" w:top="1640" w:bottom="1080" w:left="1560" w:right="1460"/>
        </w:sectPr>
      </w:pPr>
    </w:p>
    <w:p>
      <w:pPr>
        <w:spacing w:line="240" w:lineRule="auto" w:before="13"/>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3166"/>
        <w:gridCol w:w="2734"/>
        <w:gridCol w:w="2731"/>
      </w:tblGrid>
      <w:tr>
        <w:trPr>
          <w:trHeight w:val="494" w:hRule="exact"/>
        </w:trPr>
        <w:tc>
          <w:tcPr>
            <w:tcW w:w="3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27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21"/>
          <w:szCs w:val="21"/>
        </w:rPr>
      </w:pPr>
    </w:p>
    <w:p>
      <w:pPr>
        <w:tabs>
          <w:tab w:pos="1821" w:val="left" w:leader="none"/>
        </w:tabs>
        <w:spacing w:before="36"/>
        <w:ind w:left="561" w:right="0" w:firstLine="0"/>
        <w:jc w:val="left"/>
        <w:rPr>
          <w:rFonts w:ascii="宋体" w:hAnsi="宋体" w:cs="宋体" w:eastAsia="宋体" w:hint="default"/>
          <w:sz w:val="21"/>
          <w:szCs w:val="21"/>
        </w:rPr>
      </w:pPr>
      <w:r>
        <w:rPr>
          <w:rFonts w:ascii="宋体" w:hAnsi="宋体" w:cs="宋体" w:eastAsia="宋体" w:hint="default"/>
          <w:spacing w:val="-1"/>
          <w:sz w:val="21"/>
          <w:szCs w:val="21"/>
        </w:rPr>
        <w:t>（十一）</w:t>
        <w:tab/>
      </w:r>
      <w:r>
        <w:rPr>
          <w:rFonts w:ascii="宋体" w:hAnsi="宋体" w:cs="宋体" w:eastAsia="宋体" w:hint="default"/>
          <w:sz w:val="21"/>
          <w:szCs w:val="21"/>
        </w:rPr>
        <w:t>存货</w:t>
      </w:r>
    </w:p>
    <w:p>
      <w:pPr>
        <w:spacing w:line="620" w:lineRule="exact" w:before="93"/>
        <w:ind w:left="561" w:right="24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z w:val="21"/>
          <w:szCs w:val="21"/>
        </w:rPr>
        <w:t>存货分为原材料、库存商品、消耗性生物资产、产成品和低值易耗品等</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5"/>
          <w:sz w:val="21"/>
          <w:szCs w:val="21"/>
        </w:rPr>
        <w:t>各类存货的购入与入库按实际成本计价；发出按加权平均法计价，低值易耗品和包装物采</w:t>
      </w:r>
    </w:p>
    <w:p>
      <w:pPr>
        <w:spacing w:before="70"/>
        <w:ind w:left="141" w:right="0" w:firstLine="0"/>
        <w:jc w:val="left"/>
        <w:rPr>
          <w:rFonts w:ascii="宋体" w:hAnsi="宋体" w:cs="宋体" w:eastAsia="宋体" w:hint="default"/>
          <w:sz w:val="21"/>
          <w:szCs w:val="21"/>
        </w:rPr>
      </w:pPr>
      <w:r>
        <w:rPr>
          <w:rFonts w:ascii="宋体" w:hAnsi="宋体" w:cs="宋体" w:eastAsia="宋体" w:hint="default"/>
          <w:sz w:val="21"/>
          <w:szCs w:val="21"/>
        </w:rPr>
        <w:t>用分次摊销法。</w:t>
      </w:r>
    </w:p>
    <w:p>
      <w:pPr>
        <w:spacing w:line="240" w:lineRule="auto" w:before="4"/>
        <w:rPr>
          <w:rFonts w:ascii="宋体" w:hAnsi="宋体" w:cs="宋体" w:eastAsia="宋体" w:hint="default"/>
          <w:sz w:val="26"/>
          <w:szCs w:val="26"/>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w:t>
      </w:r>
    </w:p>
    <w:p>
      <w:pPr>
        <w:spacing w:line="240" w:lineRule="auto" w:before="1"/>
        <w:rPr>
          <w:rFonts w:ascii="宋体" w:hAnsi="宋体" w:cs="宋体" w:eastAsia="宋体" w:hint="default"/>
          <w:sz w:val="25"/>
          <w:szCs w:val="25"/>
        </w:rPr>
      </w:pPr>
    </w:p>
    <w:p>
      <w:pPr>
        <w:spacing w:line="384" w:lineRule="auto" w:before="0"/>
        <w:ind w:left="141" w:right="237" w:firstLine="420"/>
        <w:jc w:val="both"/>
        <w:rPr>
          <w:rFonts w:ascii="宋体" w:hAnsi="宋体" w:cs="宋体" w:eastAsia="宋体" w:hint="default"/>
          <w:sz w:val="21"/>
          <w:szCs w:val="21"/>
        </w:rPr>
      </w:pPr>
      <w:r>
        <w:rPr>
          <w:rFonts w:ascii="宋体" w:hAnsi="宋体" w:cs="宋体" w:eastAsia="宋体" w:hint="default"/>
          <w:spacing w:val="-5"/>
          <w:sz w:val="21"/>
          <w:szCs w:val="21"/>
        </w:rPr>
        <w:t>存货可变现净值的确定：产成品、商品和用于出售的材料等直接用于出售的商品存货，以</w:t>
      </w:r>
      <w:r>
        <w:rPr>
          <w:rFonts w:ascii="宋体" w:hAnsi="宋体" w:cs="宋体" w:eastAsia="宋体" w:hint="default"/>
          <w:w w:val="100"/>
          <w:sz w:val="21"/>
          <w:szCs w:val="21"/>
        </w:rPr>
        <w:t> </w:t>
      </w:r>
      <w:r>
        <w:rPr>
          <w:rFonts w:ascii="宋体" w:hAnsi="宋体" w:cs="宋体" w:eastAsia="宋体" w:hint="default"/>
          <w:spacing w:val="-5"/>
          <w:sz w:val="21"/>
          <w:szCs w:val="21"/>
        </w:rPr>
        <w:t>该存货的估计售价减去估计的销售费用和相关税费后的金额，确定其可变现净值；需要经过加</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sz w:val="21"/>
          <w:szCs w:val="21"/>
        </w:rPr>
        <w:t>工的材料存货，以所生产的产品的估计售价减去至完工时估计将要发生的成本、估计的销售费</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用和相关税费后的金额，确定其可变现净值。</w:t>
      </w:r>
    </w:p>
    <w:p>
      <w:pPr>
        <w:spacing w:line="240" w:lineRule="auto" w:before="9"/>
        <w:rPr>
          <w:rFonts w:ascii="宋体" w:hAnsi="宋体" w:cs="宋体" w:eastAsia="宋体" w:hint="default"/>
          <w:sz w:val="16"/>
          <w:szCs w:val="16"/>
        </w:rPr>
      </w:pPr>
    </w:p>
    <w:p>
      <w:pPr>
        <w:spacing w:line="384" w:lineRule="auto" w:before="0"/>
        <w:ind w:left="141" w:right="237" w:firstLine="420"/>
        <w:jc w:val="both"/>
        <w:rPr>
          <w:rFonts w:ascii="宋体" w:hAnsi="宋体" w:cs="宋体" w:eastAsia="宋体" w:hint="default"/>
          <w:sz w:val="21"/>
          <w:szCs w:val="21"/>
        </w:rPr>
      </w:pPr>
      <w:r>
        <w:rPr>
          <w:rFonts w:ascii="宋体" w:hAnsi="宋体" w:cs="宋体" w:eastAsia="宋体" w:hint="default"/>
          <w:spacing w:val="-5"/>
          <w:sz w:val="21"/>
          <w:szCs w:val="21"/>
        </w:rPr>
        <w:t>存货跌价准备的计提方法：资产负债表日，按单个存货可变现净值低于账面价值的差额计</w:t>
      </w:r>
      <w:r>
        <w:rPr>
          <w:rFonts w:ascii="宋体" w:hAnsi="宋体" w:cs="宋体" w:eastAsia="宋体" w:hint="default"/>
          <w:w w:val="100"/>
          <w:sz w:val="21"/>
          <w:szCs w:val="21"/>
        </w:rPr>
        <w:t> </w:t>
      </w:r>
      <w:r>
        <w:rPr>
          <w:rFonts w:ascii="宋体" w:hAnsi="宋体" w:cs="宋体" w:eastAsia="宋体" w:hint="default"/>
          <w:spacing w:val="-5"/>
          <w:sz w:val="21"/>
          <w:szCs w:val="21"/>
        </w:rPr>
        <w:t>提存货跌价准备，计入当期损益。确定存货的可变现净值时，以资产负债表日取得最可靠的证</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w w:val="100"/>
          <w:sz w:val="21"/>
          <w:szCs w:val="21"/>
        </w:rPr>
        <w:t>据估计的售价为基础并考虑持有存货的目的，资产负债表日至财务报告批准报出日之间存货售</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pacing w:val="-5"/>
          <w:w w:val="100"/>
          <w:sz w:val="21"/>
          <w:szCs w:val="21"/>
        </w:rPr>
        <w:t>价发生波动的，如有确凿证据表明其对资产负债表日存货已经存在的情况提供了新的或进一步</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的证据，作为调整事项进行处理；否则，作为非调整事项。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p>
    <w:p>
      <w:pPr>
        <w:spacing w:line="240" w:lineRule="auto" w:before="1"/>
        <w:rPr>
          <w:rFonts w:ascii="宋体" w:hAnsi="宋体" w:cs="宋体" w:eastAsia="宋体" w:hint="default"/>
          <w:sz w:val="25"/>
          <w:szCs w:val="25"/>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本公司存货采用永续盘存法。</w:t>
      </w:r>
    </w:p>
    <w:p>
      <w:pPr>
        <w:spacing w:line="240" w:lineRule="auto" w:before="4"/>
        <w:rPr>
          <w:rFonts w:ascii="宋体" w:hAnsi="宋体" w:cs="宋体" w:eastAsia="宋体" w:hint="default"/>
          <w:sz w:val="26"/>
          <w:szCs w:val="26"/>
        </w:rPr>
      </w:pPr>
    </w:p>
    <w:p>
      <w:pPr>
        <w:tabs>
          <w:tab w:pos="1821" w:val="left" w:leader="none"/>
        </w:tabs>
        <w:spacing w:before="0"/>
        <w:ind w:left="561" w:right="0" w:firstLine="0"/>
        <w:jc w:val="left"/>
        <w:rPr>
          <w:rFonts w:ascii="宋体" w:hAnsi="宋体" w:cs="宋体" w:eastAsia="宋体" w:hint="default"/>
          <w:sz w:val="21"/>
          <w:szCs w:val="21"/>
        </w:rPr>
      </w:pPr>
      <w:r>
        <w:rPr>
          <w:rFonts w:ascii="宋体" w:hAnsi="宋体" w:cs="宋体" w:eastAsia="宋体" w:hint="default"/>
          <w:spacing w:val="-1"/>
          <w:sz w:val="21"/>
          <w:szCs w:val="21"/>
        </w:rPr>
        <w:t>（十二）</w:t>
        <w:tab/>
        <w:t>长期股权投资</w:t>
      </w:r>
    </w:p>
    <w:p>
      <w:pPr>
        <w:spacing w:line="240" w:lineRule="auto" w:before="4"/>
        <w:rPr>
          <w:rFonts w:ascii="宋体" w:hAnsi="宋体" w:cs="宋体" w:eastAsia="宋体" w:hint="default"/>
          <w:sz w:val="26"/>
          <w:szCs w:val="26"/>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长期股权投资分类</w:t>
      </w:r>
    </w:p>
    <w:p>
      <w:pPr>
        <w:spacing w:line="240" w:lineRule="auto" w:before="1"/>
        <w:rPr>
          <w:rFonts w:ascii="宋体" w:hAnsi="宋体" w:cs="宋体" w:eastAsia="宋体" w:hint="default"/>
          <w:sz w:val="25"/>
          <w:szCs w:val="25"/>
        </w:rPr>
      </w:pPr>
    </w:p>
    <w:p>
      <w:pPr>
        <w:spacing w:line="384" w:lineRule="auto" w:before="0"/>
        <w:ind w:left="141" w:right="237" w:firstLine="420"/>
        <w:jc w:val="both"/>
        <w:rPr>
          <w:rFonts w:ascii="宋体" w:hAnsi="宋体" w:cs="宋体" w:eastAsia="宋体" w:hint="default"/>
          <w:sz w:val="21"/>
          <w:szCs w:val="21"/>
        </w:rPr>
      </w:pPr>
      <w:r>
        <w:rPr>
          <w:rFonts w:ascii="宋体" w:hAnsi="宋体" w:cs="宋体" w:eastAsia="宋体" w:hint="default"/>
          <w:spacing w:val="-5"/>
          <w:sz w:val="21"/>
          <w:szCs w:val="21"/>
        </w:rPr>
        <w:t>长期股权投资分为：对子公司长期股权投资、对合营企业长期股权投资、对联营企业长期</w:t>
      </w:r>
      <w:r>
        <w:rPr>
          <w:rFonts w:ascii="宋体" w:hAnsi="宋体" w:cs="宋体" w:eastAsia="宋体" w:hint="default"/>
          <w:w w:val="100"/>
          <w:sz w:val="21"/>
          <w:szCs w:val="21"/>
        </w:rPr>
        <w:t> </w:t>
      </w:r>
      <w:r>
        <w:rPr>
          <w:rFonts w:ascii="宋体" w:hAnsi="宋体" w:cs="宋体" w:eastAsia="宋体" w:hint="default"/>
          <w:spacing w:val="-5"/>
          <w:sz w:val="21"/>
          <w:szCs w:val="21"/>
        </w:rPr>
        <w:t>股权投资、对被投资单位不具有共同控制、重大影响，且在活跃市场中没有报价、公允价值不</w:t>
      </w:r>
    </w:p>
    <w:p>
      <w:pPr>
        <w:spacing w:after="0" w:line="384" w:lineRule="auto"/>
        <w:jc w:val="both"/>
        <w:rPr>
          <w:rFonts w:ascii="宋体" w:hAnsi="宋体" w:cs="宋体" w:eastAsia="宋体" w:hint="default"/>
          <w:sz w:val="21"/>
          <w:szCs w:val="21"/>
        </w:rPr>
        <w:sectPr>
          <w:pgSz w:w="11910" w:h="16840"/>
          <w:pgMar w:header="943" w:footer="897" w:top="1640" w:bottom="1080" w:left="1560" w:right="1460"/>
        </w:sectPr>
      </w:pPr>
    </w:p>
    <w:p>
      <w:pPr>
        <w:spacing w:line="240" w:lineRule="auto" w:before="6"/>
        <w:rPr>
          <w:rFonts w:ascii="宋体" w:hAnsi="宋体" w:cs="宋体" w:eastAsia="宋体" w:hint="default"/>
          <w:sz w:val="23"/>
          <w:szCs w:val="23"/>
        </w:rPr>
      </w:pPr>
    </w:p>
    <w:p>
      <w:pPr>
        <w:spacing w:before="36"/>
        <w:ind w:left="141" w:right="129" w:firstLine="0"/>
        <w:jc w:val="left"/>
        <w:rPr>
          <w:rFonts w:ascii="宋体" w:hAnsi="宋体" w:cs="宋体" w:eastAsia="宋体" w:hint="default"/>
          <w:sz w:val="21"/>
          <w:szCs w:val="21"/>
        </w:rPr>
      </w:pPr>
      <w:r>
        <w:rPr>
          <w:rFonts w:ascii="宋体" w:hAnsi="宋体" w:cs="宋体" w:eastAsia="宋体" w:hint="default"/>
          <w:spacing w:val="-4"/>
          <w:sz w:val="21"/>
          <w:szCs w:val="21"/>
        </w:rPr>
        <w:t>能可靠计量的长期股权投资（以下简称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其他股权投资</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p>
    <w:p>
      <w:pPr>
        <w:spacing w:line="240" w:lineRule="auto" w:before="5"/>
        <w:rPr>
          <w:rFonts w:ascii="宋体" w:hAnsi="宋体" w:cs="宋体" w:eastAsia="宋体" w:hint="default"/>
          <w:sz w:val="24"/>
          <w:szCs w:val="24"/>
        </w:rPr>
      </w:pPr>
    </w:p>
    <w:p>
      <w:pPr>
        <w:spacing w:before="0"/>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长期股权投资的初始计量</w:t>
      </w:r>
    </w:p>
    <w:p>
      <w:pPr>
        <w:spacing w:line="240" w:lineRule="auto" w:before="7"/>
        <w:rPr>
          <w:rFonts w:ascii="宋体" w:hAnsi="宋体" w:cs="宋体" w:eastAsia="宋体" w:hint="default"/>
          <w:sz w:val="26"/>
          <w:szCs w:val="26"/>
        </w:rPr>
      </w:pPr>
    </w:p>
    <w:p>
      <w:pPr>
        <w:spacing w:before="0"/>
        <w:ind w:left="455"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w:t>
      </w:r>
    </w:p>
    <w:p>
      <w:pPr>
        <w:spacing w:line="240" w:lineRule="auto" w:before="7"/>
        <w:rPr>
          <w:rFonts w:ascii="宋体" w:hAnsi="宋体" w:cs="宋体" w:eastAsia="宋体" w:hint="default"/>
          <w:sz w:val="26"/>
          <w:szCs w:val="26"/>
        </w:rPr>
      </w:pPr>
    </w:p>
    <w:p>
      <w:pPr>
        <w:spacing w:line="400" w:lineRule="auto" w:before="0"/>
        <w:ind w:left="141" w:right="135" w:firstLine="420"/>
        <w:jc w:val="both"/>
        <w:rPr>
          <w:rFonts w:ascii="宋体" w:hAnsi="宋体" w:cs="宋体" w:eastAsia="宋体" w:hint="default"/>
          <w:sz w:val="21"/>
          <w:szCs w:val="21"/>
        </w:rPr>
      </w:pPr>
      <w:r>
        <w:rPr>
          <w:rFonts w:ascii="宋体" w:hAnsi="宋体" w:cs="宋体" w:eastAsia="宋体" w:hint="default"/>
          <w:spacing w:val="-5"/>
          <w:w w:val="100"/>
          <w:sz w:val="21"/>
          <w:szCs w:val="21"/>
        </w:rPr>
        <w:t>同一控制下的企业合并形成的对子公司的长期股权投资，按照取得被合并方所有者权益账</w:t>
      </w:r>
      <w:r>
        <w:rPr>
          <w:rFonts w:ascii="宋体" w:hAnsi="宋体" w:cs="宋体" w:eastAsia="宋体" w:hint="default"/>
          <w:w w:val="100"/>
          <w:sz w:val="21"/>
          <w:szCs w:val="21"/>
        </w:rPr>
        <w:t> </w:t>
      </w:r>
      <w:r>
        <w:rPr>
          <w:rFonts w:ascii="宋体" w:hAnsi="宋体" w:cs="宋体" w:eastAsia="宋体" w:hint="default"/>
          <w:spacing w:val="-5"/>
          <w:w w:val="100"/>
          <w:sz w:val="21"/>
          <w:szCs w:val="21"/>
        </w:rPr>
        <w:t>面价值的份额作为长期股权投资的初始投资成本，长期股权投资的初始投资成本与支付对价的</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pacing w:val="-4"/>
          <w:w w:val="100"/>
          <w:sz w:val="21"/>
          <w:szCs w:val="21"/>
        </w:rPr>
        <w:t>帐面价值的差额，调整资本公积中的股本溢价（或资本溢价）；资本公积中股本溢价（或资本</w:t>
      </w:r>
      <w:r>
        <w:rPr>
          <w:rFonts w:ascii="宋体" w:hAnsi="宋体" w:cs="宋体" w:eastAsia="宋体" w:hint="default"/>
          <w:w w:val="100"/>
          <w:sz w:val="21"/>
          <w:szCs w:val="21"/>
        </w:rPr>
        <w:t> </w:t>
      </w:r>
      <w:r>
        <w:rPr>
          <w:rFonts w:ascii="宋体" w:hAnsi="宋体" w:cs="宋体" w:eastAsia="宋体" w:hint="default"/>
          <w:spacing w:val="-5"/>
          <w:sz w:val="21"/>
          <w:szCs w:val="21"/>
        </w:rPr>
        <w:t>溢价）不足冲减时，调整留存收益。为进行企业合并发生的各项直接相关费用于发生时计入当</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期损益；</w:t>
      </w:r>
    </w:p>
    <w:p>
      <w:pPr>
        <w:spacing w:line="240" w:lineRule="auto" w:before="3"/>
        <w:rPr>
          <w:rFonts w:ascii="宋体" w:hAnsi="宋体" w:cs="宋体" w:eastAsia="宋体" w:hint="default"/>
          <w:sz w:val="17"/>
          <w:szCs w:val="17"/>
        </w:rPr>
      </w:pPr>
    </w:p>
    <w:p>
      <w:pPr>
        <w:spacing w:line="400"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w w:val="100"/>
          <w:sz w:val="21"/>
          <w:szCs w:val="21"/>
        </w:rPr>
        <w:t>非同一控制下的企业合并形成的对子公司的长期股权投资，按照取得对被购买方的控制权</w:t>
      </w:r>
      <w:r>
        <w:rPr>
          <w:rFonts w:ascii="宋体" w:hAnsi="宋体" w:cs="宋体" w:eastAsia="宋体" w:hint="default"/>
          <w:w w:val="100"/>
          <w:sz w:val="21"/>
          <w:szCs w:val="21"/>
        </w:rPr>
        <w:t> </w:t>
      </w:r>
      <w:r>
        <w:rPr>
          <w:rFonts w:ascii="宋体" w:hAnsi="宋体" w:cs="宋体" w:eastAsia="宋体" w:hint="default"/>
          <w:spacing w:val="-5"/>
          <w:w w:val="100"/>
          <w:sz w:val="21"/>
          <w:szCs w:val="21"/>
        </w:rPr>
        <w:t>而付出的资产、发生或承担的负债以及发行的权益性证券的公允价值作为长期股权投资的初始</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投资成本，为进行企业合并发生的各项直接相关费用计入初始投资成本。</w:t>
      </w:r>
    </w:p>
    <w:p>
      <w:pPr>
        <w:spacing w:line="240" w:lineRule="auto" w:before="0"/>
        <w:rPr>
          <w:rFonts w:ascii="宋体" w:hAnsi="宋体" w:cs="宋体" w:eastAsia="宋体" w:hint="default"/>
          <w:sz w:val="17"/>
          <w:szCs w:val="17"/>
        </w:rPr>
      </w:pPr>
    </w:p>
    <w:p>
      <w:pPr>
        <w:spacing w:before="0"/>
        <w:ind w:left="455"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）其他方式取得的长期投资</w:t>
      </w:r>
    </w:p>
    <w:p>
      <w:pPr>
        <w:spacing w:line="240" w:lineRule="auto" w:before="10"/>
        <w:rPr>
          <w:rFonts w:ascii="宋体" w:hAnsi="宋体" w:cs="宋体" w:eastAsia="宋体" w:hint="default"/>
          <w:sz w:val="26"/>
          <w:szCs w:val="26"/>
        </w:rPr>
      </w:pPr>
    </w:p>
    <w:p>
      <w:pPr>
        <w:spacing w:line="400"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sz w:val="21"/>
          <w:szCs w:val="21"/>
        </w:rPr>
        <w:t>以支付现金取得的长期股权投资，按照实际支付的购买价款作为初始投资成本。初始投资</w:t>
      </w:r>
      <w:r>
        <w:rPr>
          <w:rFonts w:ascii="宋体" w:hAnsi="宋体" w:cs="宋体" w:eastAsia="宋体" w:hint="default"/>
          <w:w w:val="100"/>
          <w:sz w:val="21"/>
          <w:szCs w:val="21"/>
        </w:rPr>
        <w:t> </w:t>
      </w:r>
      <w:r>
        <w:rPr>
          <w:rFonts w:ascii="宋体" w:hAnsi="宋体" w:cs="宋体" w:eastAsia="宋体" w:hint="default"/>
          <w:spacing w:val="-5"/>
          <w:sz w:val="21"/>
          <w:szCs w:val="21"/>
        </w:rPr>
        <w:t>成本包括与取得长期股权投资直接相关的费用、税金及其他必要支出，但实际支付的价款中包</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含的已宣告但尚未领取的现金股利，作为应收项目单独核算。</w:t>
      </w:r>
    </w:p>
    <w:p>
      <w:pPr>
        <w:spacing w:line="240" w:lineRule="auto" w:before="0"/>
        <w:rPr>
          <w:rFonts w:ascii="宋体" w:hAnsi="宋体" w:cs="宋体" w:eastAsia="宋体" w:hint="default"/>
          <w:sz w:val="17"/>
          <w:szCs w:val="17"/>
        </w:rPr>
      </w:pPr>
    </w:p>
    <w:p>
      <w:pPr>
        <w:spacing w:line="403"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w w:val="100"/>
          <w:sz w:val="21"/>
          <w:szCs w:val="21"/>
        </w:rPr>
        <w:t>以发行权益性证券取得的长期股权投资，按照发行权益性证券的公允价值作为初始投资成</w:t>
      </w:r>
      <w:r>
        <w:rPr>
          <w:rFonts w:ascii="宋体" w:hAnsi="宋体" w:cs="宋体" w:eastAsia="宋体" w:hint="default"/>
          <w:w w:val="100"/>
          <w:sz w:val="21"/>
          <w:szCs w:val="21"/>
        </w:rPr>
        <w:t> </w:t>
      </w:r>
      <w:r>
        <w:rPr>
          <w:rFonts w:ascii="宋体" w:hAnsi="宋体" w:cs="宋体" w:eastAsia="宋体" w:hint="default"/>
          <w:sz w:val="21"/>
          <w:szCs w:val="21"/>
        </w:rPr>
        <w:t>本。</w:t>
      </w:r>
    </w:p>
    <w:p>
      <w:pPr>
        <w:spacing w:line="240" w:lineRule="auto" w:before="9"/>
        <w:rPr>
          <w:rFonts w:ascii="宋体" w:hAnsi="宋体" w:cs="宋体" w:eastAsia="宋体" w:hint="default"/>
          <w:sz w:val="14"/>
          <w:szCs w:val="14"/>
        </w:rPr>
      </w:pPr>
    </w:p>
    <w:p>
      <w:pPr>
        <w:spacing w:line="350"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sz w:val="21"/>
          <w:szCs w:val="21"/>
        </w:rPr>
        <w:t>投资者投入的长期股权投资，按照投资合同或协议约定的价值作为初始投资成本，但合同</w:t>
      </w:r>
      <w:r>
        <w:rPr>
          <w:rFonts w:ascii="宋体" w:hAnsi="宋体" w:cs="宋体" w:eastAsia="宋体" w:hint="default"/>
          <w:w w:val="100"/>
          <w:sz w:val="21"/>
          <w:szCs w:val="21"/>
        </w:rPr>
        <w:t> </w:t>
      </w:r>
      <w:r>
        <w:rPr>
          <w:rFonts w:ascii="宋体" w:hAnsi="宋体" w:cs="宋体" w:eastAsia="宋体" w:hint="default"/>
          <w:sz w:val="21"/>
          <w:szCs w:val="21"/>
        </w:rPr>
        <w:t>或协议约定价值不公允的除外。</w:t>
      </w:r>
    </w:p>
    <w:p>
      <w:pPr>
        <w:spacing w:line="240" w:lineRule="auto" w:before="11"/>
        <w:rPr>
          <w:rFonts w:ascii="宋体" w:hAnsi="宋体" w:cs="宋体" w:eastAsia="宋体" w:hint="default"/>
          <w:sz w:val="15"/>
          <w:szCs w:val="15"/>
        </w:rPr>
      </w:pPr>
    </w:p>
    <w:p>
      <w:pPr>
        <w:spacing w:line="350"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w w:val="100"/>
          <w:sz w:val="21"/>
          <w:szCs w:val="21"/>
        </w:rPr>
        <w:t>以非货币资产交换方式取得的长期股权投资，如果该项交换具有商业实质且换入资产或换</w:t>
      </w:r>
      <w:r>
        <w:rPr>
          <w:rFonts w:ascii="宋体" w:hAnsi="宋体" w:cs="宋体" w:eastAsia="宋体" w:hint="default"/>
          <w:w w:val="100"/>
          <w:sz w:val="21"/>
          <w:szCs w:val="21"/>
        </w:rPr>
        <w:t> </w:t>
      </w:r>
      <w:r>
        <w:rPr>
          <w:rFonts w:ascii="宋体" w:hAnsi="宋体" w:cs="宋体" w:eastAsia="宋体" w:hint="default"/>
          <w:spacing w:val="-5"/>
          <w:sz w:val="21"/>
          <w:szCs w:val="21"/>
        </w:rPr>
        <w:t>出资产的公允价值能可靠计量，则以换出资产的公允价值和相关税费作为初始投资成本，换出</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w w:val="100"/>
          <w:sz w:val="21"/>
          <w:szCs w:val="21"/>
        </w:rPr>
        <w:t>资产的公允价值与账面价值之间的差额计入当期损益；若非货币资产交换不同时具备上述两个</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条件，则按换出资产的账面价值和相关税费作为初始投资成本。</w:t>
      </w:r>
    </w:p>
    <w:p>
      <w:pPr>
        <w:spacing w:line="240" w:lineRule="auto" w:before="11"/>
        <w:rPr>
          <w:rFonts w:ascii="宋体" w:hAnsi="宋体" w:cs="宋体" w:eastAsia="宋体" w:hint="default"/>
          <w:sz w:val="15"/>
          <w:szCs w:val="15"/>
        </w:rPr>
      </w:pPr>
    </w:p>
    <w:p>
      <w:pPr>
        <w:spacing w:line="350"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sz w:val="21"/>
          <w:szCs w:val="21"/>
        </w:rPr>
        <w:t>以债务重组方式取得的长期股权投资，按取得的股权的公允价值作为初始投资成本，初始</w:t>
      </w:r>
      <w:r>
        <w:rPr>
          <w:rFonts w:ascii="宋体" w:hAnsi="宋体" w:cs="宋体" w:eastAsia="宋体" w:hint="default"/>
          <w:w w:val="100"/>
          <w:sz w:val="21"/>
          <w:szCs w:val="21"/>
        </w:rPr>
        <w:t> </w:t>
      </w:r>
      <w:r>
        <w:rPr>
          <w:rFonts w:ascii="宋体" w:hAnsi="宋体" w:cs="宋体" w:eastAsia="宋体" w:hint="default"/>
          <w:sz w:val="21"/>
          <w:szCs w:val="21"/>
        </w:rPr>
        <w:t>投资成本与债权账面价值之间的差额计入当期损益。</w:t>
      </w:r>
    </w:p>
    <w:p>
      <w:pPr>
        <w:spacing w:line="240" w:lineRule="auto" w:before="11"/>
        <w:rPr>
          <w:rFonts w:ascii="宋体" w:hAnsi="宋体" w:cs="宋体" w:eastAsia="宋体" w:hint="default"/>
          <w:sz w:val="15"/>
          <w:szCs w:val="15"/>
        </w:rPr>
      </w:pPr>
    </w:p>
    <w:p>
      <w:pPr>
        <w:spacing w:before="0"/>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长期股权投资的后续计量</w:t>
      </w:r>
    </w:p>
    <w:p>
      <w:pPr>
        <w:spacing w:after="0"/>
        <w:jc w:val="left"/>
        <w:rPr>
          <w:rFonts w:ascii="宋体" w:hAnsi="宋体" w:cs="宋体" w:eastAsia="宋体" w:hint="default"/>
          <w:sz w:val="21"/>
          <w:szCs w:val="21"/>
        </w:rPr>
        <w:sectPr>
          <w:pgSz w:w="11910" w:h="16840"/>
          <w:pgMar w:header="943" w:footer="897" w:top="1640" w:bottom="1080" w:left="1560" w:right="1560"/>
        </w:sectPr>
      </w:pPr>
    </w:p>
    <w:p>
      <w:pPr>
        <w:spacing w:line="240" w:lineRule="auto" w:before="4"/>
        <w:rPr>
          <w:rFonts w:ascii="宋体" w:hAnsi="宋体" w:cs="宋体" w:eastAsia="宋体" w:hint="default"/>
          <w:sz w:val="20"/>
          <w:szCs w:val="20"/>
        </w:rPr>
      </w:pPr>
    </w:p>
    <w:p>
      <w:pPr>
        <w:spacing w:line="350" w:lineRule="auto" w:before="36"/>
        <w:ind w:left="141" w:right="0" w:firstLine="420"/>
        <w:jc w:val="left"/>
        <w:rPr>
          <w:rFonts w:ascii="宋体" w:hAnsi="宋体" w:cs="宋体" w:eastAsia="宋体" w:hint="default"/>
          <w:sz w:val="21"/>
          <w:szCs w:val="21"/>
        </w:rPr>
      </w:pPr>
      <w:r>
        <w:rPr>
          <w:rFonts w:ascii="宋体" w:hAnsi="宋体" w:cs="宋体" w:eastAsia="宋体" w:hint="default"/>
          <w:spacing w:val="-5"/>
          <w:w w:val="100"/>
          <w:sz w:val="21"/>
          <w:szCs w:val="21"/>
        </w:rPr>
        <w:t>本公司对子公司长期股权投资和其他股权投资采用成本法核算。在编制合并报表时按照权</w:t>
      </w:r>
      <w:r>
        <w:rPr>
          <w:rFonts w:ascii="宋体" w:hAnsi="宋体" w:cs="宋体" w:eastAsia="宋体" w:hint="default"/>
          <w:w w:val="100"/>
          <w:sz w:val="21"/>
          <w:szCs w:val="21"/>
        </w:rPr>
        <w:t> </w:t>
      </w:r>
      <w:r>
        <w:rPr>
          <w:rFonts w:ascii="宋体" w:hAnsi="宋体" w:cs="宋体" w:eastAsia="宋体" w:hint="default"/>
          <w:spacing w:val="-2"/>
          <w:sz w:val="21"/>
          <w:szCs w:val="21"/>
        </w:rPr>
        <w:t>益法对子公司长期股权投资进行调整。对合营企业、联营企业长期股权投资采用权益法核算。</w:t>
      </w:r>
    </w:p>
    <w:p>
      <w:pPr>
        <w:spacing w:line="240" w:lineRule="auto" w:before="0"/>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长期股权投资损益确认方法</w:t>
      </w:r>
    </w:p>
    <w:p>
      <w:pPr>
        <w:spacing w:line="240" w:lineRule="auto" w:before="10"/>
        <w:rPr>
          <w:rFonts w:ascii="宋体" w:hAnsi="宋体" w:cs="宋体" w:eastAsia="宋体" w:hint="default"/>
          <w:sz w:val="21"/>
          <w:szCs w:val="21"/>
        </w:rPr>
      </w:pPr>
    </w:p>
    <w:p>
      <w:pPr>
        <w:spacing w:line="350"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w w:val="100"/>
          <w:sz w:val="21"/>
          <w:szCs w:val="21"/>
        </w:rPr>
        <w:t>采用成本法核算的长期股权投资按照初始投资成本计价，除取得投资时实际支付的价款或</w:t>
      </w:r>
      <w:r>
        <w:rPr>
          <w:rFonts w:ascii="宋体" w:hAnsi="宋体" w:cs="宋体" w:eastAsia="宋体" w:hint="default"/>
          <w:w w:val="100"/>
          <w:sz w:val="21"/>
          <w:szCs w:val="21"/>
        </w:rPr>
        <w:t> </w:t>
      </w:r>
      <w:r>
        <w:rPr>
          <w:rFonts w:ascii="宋体" w:hAnsi="宋体" w:cs="宋体" w:eastAsia="宋体" w:hint="default"/>
          <w:spacing w:val="-5"/>
          <w:w w:val="100"/>
          <w:sz w:val="21"/>
          <w:szCs w:val="21"/>
        </w:rPr>
        <w:t>对价中包含的已宣告但尚未发放的现金股利或利润外，投资企业按照享有被投资单位宣告发放</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的现金股利或利润确认投资收益。</w:t>
      </w:r>
    </w:p>
    <w:p>
      <w:pPr>
        <w:spacing w:line="240" w:lineRule="auto" w:before="11"/>
        <w:rPr>
          <w:rFonts w:ascii="宋体" w:hAnsi="宋体" w:cs="宋体" w:eastAsia="宋体" w:hint="default"/>
          <w:sz w:val="15"/>
          <w:szCs w:val="15"/>
        </w:rPr>
      </w:pPr>
    </w:p>
    <w:p>
      <w:pPr>
        <w:spacing w:line="350"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w w:val="100"/>
          <w:sz w:val="21"/>
          <w:szCs w:val="21"/>
        </w:rPr>
        <w:t>采用权益法核算的长期股权投资，以取得投资时被投资单位各项可辨认资产等的公允价值</w:t>
      </w:r>
      <w:r>
        <w:rPr>
          <w:rFonts w:ascii="宋体" w:hAnsi="宋体" w:cs="宋体" w:eastAsia="宋体" w:hint="default"/>
          <w:w w:val="100"/>
          <w:sz w:val="21"/>
          <w:szCs w:val="21"/>
        </w:rPr>
        <w:t> </w:t>
      </w:r>
      <w:r>
        <w:rPr>
          <w:rFonts w:ascii="宋体" w:hAnsi="宋体" w:cs="宋体" w:eastAsia="宋体" w:hint="default"/>
          <w:spacing w:val="-5"/>
          <w:sz w:val="21"/>
          <w:szCs w:val="21"/>
        </w:rPr>
        <w:t>为基础调整后实现的净损益的份额，确认投资损益并调整长期股权投资的账面价值。按照被投</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资单位宣告分派的利润或现金股利计算应分得的部分，相应减少长期股权投资的账面价值。对</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w w:val="100"/>
          <w:sz w:val="21"/>
          <w:szCs w:val="21"/>
        </w:rPr>
        <w:t>于被投资单位除净损益以外所有者权益的其他变动，调整长期股权投资的账面价值并计入所有</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者权益。</w:t>
      </w:r>
    </w:p>
    <w:p>
      <w:pPr>
        <w:spacing w:line="240" w:lineRule="auto" w:before="11"/>
        <w:rPr>
          <w:rFonts w:ascii="宋体" w:hAnsi="宋体" w:cs="宋体" w:eastAsia="宋体" w:hint="default"/>
          <w:sz w:val="15"/>
          <w:szCs w:val="15"/>
        </w:rPr>
      </w:pPr>
    </w:p>
    <w:p>
      <w:pPr>
        <w:spacing w:line="348"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处置长期股权投资，其账面价值与实际取得价款的差额，计入当期损益。采用权益法核算</w:t>
      </w:r>
      <w:r>
        <w:rPr>
          <w:rFonts w:ascii="宋体" w:hAnsi="宋体" w:cs="宋体" w:eastAsia="宋体" w:hint="default"/>
          <w:w w:val="100"/>
          <w:sz w:val="21"/>
          <w:szCs w:val="21"/>
        </w:rPr>
        <w:t> </w:t>
      </w:r>
      <w:r>
        <w:rPr>
          <w:rFonts w:ascii="宋体" w:hAnsi="宋体" w:cs="宋体" w:eastAsia="宋体" w:hint="default"/>
          <w:spacing w:val="-5"/>
          <w:sz w:val="21"/>
          <w:szCs w:val="21"/>
        </w:rPr>
        <w:t>的长期股权投资，因被投资单位除净损益以外所有者权益的其他变动而计入所有者权益的，处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置该项投资时将原计入所有者权益的部分按相应比例转入当期损益。</w:t>
      </w:r>
    </w:p>
    <w:p>
      <w:pPr>
        <w:spacing w:line="240" w:lineRule="auto" w:before="2"/>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确定对被投资单位具有共同控制、重大影响的依据</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）确定对被投资单位具有共同控制的依据</w:t>
      </w:r>
    </w:p>
    <w:p>
      <w:pPr>
        <w:spacing w:line="240" w:lineRule="auto" w:before="13"/>
        <w:rPr>
          <w:rFonts w:ascii="宋体" w:hAnsi="宋体" w:cs="宋体" w:eastAsia="宋体" w:hint="default"/>
          <w:sz w:val="21"/>
          <w:szCs w:val="21"/>
        </w:rPr>
      </w:pPr>
    </w:p>
    <w:p>
      <w:pPr>
        <w:spacing w:line="348"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共同控制是指按照合同约定对某项经济活动共有的控制。在合营企业设立时，合营各方在</w:t>
      </w:r>
      <w:r>
        <w:rPr>
          <w:rFonts w:ascii="宋体" w:hAnsi="宋体" w:cs="宋体" w:eastAsia="宋体" w:hint="default"/>
          <w:w w:val="100"/>
          <w:sz w:val="21"/>
          <w:szCs w:val="21"/>
        </w:rPr>
        <w:t> </w:t>
      </w:r>
      <w:r>
        <w:rPr>
          <w:rFonts w:ascii="宋体" w:hAnsi="宋体" w:cs="宋体" w:eastAsia="宋体" w:hint="default"/>
          <w:spacing w:val="-5"/>
          <w:w w:val="100"/>
          <w:sz w:val="21"/>
          <w:szCs w:val="21"/>
        </w:rPr>
        <w:t>投资合同或协议中约定在所设立合营企业的重要财务和生产经营决策制定过程中，必须由合营</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各方均同意才能通过。</w:t>
      </w:r>
    </w:p>
    <w:p>
      <w:pPr>
        <w:spacing w:line="240" w:lineRule="auto" w:before="1"/>
        <w:rPr>
          <w:rFonts w:ascii="宋体" w:hAnsi="宋体" w:cs="宋体" w:eastAsia="宋体" w:hint="default"/>
          <w:sz w:val="17"/>
          <w:szCs w:val="17"/>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）确定对被投资单位具有重大影响的依据</w:t>
      </w:r>
    </w:p>
    <w:p>
      <w:pPr>
        <w:spacing w:line="240" w:lineRule="auto" w:before="1"/>
        <w:rPr>
          <w:rFonts w:ascii="宋体" w:hAnsi="宋体" w:cs="宋体" w:eastAsia="宋体" w:hint="default"/>
          <w:sz w:val="25"/>
          <w:szCs w:val="25"/>
        </w:rPr>
      </w:pPr>
    </w:p>
    <w:p>
      <w:pPr>
        <w:spacing w:line="384"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重大影响，是指对一个企业的财务和经营政策有参与决策的权力，但并不能够控制或者与</w:t>
      </w:r>
      <w:r>
        <w:rPr>
          <w:rFonts w:ascii="宋体" w:hAnsi="宋体" w:cs="宋体" w:eastAsia="宋体" w:hint="default"/>
          <w:w w:val="100"/>
          <w:sz w:val="21"/>
          <w:szCs w:val="21"/>
        </w:rPr>
        <w:t> </w:t>
      </w:r>
      <w:r>
        <w:rPr>
          <w:rFonts w:ascii="宋体" w:hAnsi="宋体" w:cs="宋体" w:eastAsia="宋体" w:hint="default"/>
          <w:spacing w:val="-5"/>
          <w:w w:val="100"/>
          <w:sz w:val="21"/>
          <w:szCs w:val="21"/>
        </w:rPr>
        <w:t>其他方一起共同控制这些政策的制定。一般情况下本公司直接或通过子公司间接拥有被投资单</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以上但低于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的表决权股份时认为对被投资单位具有重大影响。</w:t>
      </w:r>
    </w:p>
    <w:p>
      <w:pPr>
        <w:spacing w:before="189"/>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长期股权投资减值测试方法及减值准备计提方法</w:t>
      </w:r>
    </w:p>
    <w:p>
      <w:pPr>
        <w:spacing w:line="240" w:lineRule="auto" w:before="12"/>
        <w:rPr>
          <w:rFonts w:ascii="宋体" w:hAnsi="宋体" w:cs="宋体" w:eastAsia="宋体" w:hint="default"/>
          <w:sz w:val="24"/>
          <w:szCs w:val="24"/>
        </w:rPr>
      </w:pPr>
    </w:p>
    <w:p>
      <w:pPr>
        <w:spacing w:line="384"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资产负债表日，若对子公司、对合营企业、对联营企业的长期股权投资存在减值迹象，估</w:t>
      </w:r>
      <w:r>
        <w:rPr>
          <w:rFonts w:ascii="宋体" w:hAnsi="宋体" w:cs="宋体" w:eastAsia="宋体" w:hint="default"/>
          <w:w w:val="100"/>
          <w:sz w:val="21"/>
          <w:szCs w:val="21"/>
        </w:rPr>
        <w:t> </w:t>
      </w:r>
      <w:r>
        <w:rPr>
          <w:rFonts w:ascii="宋体" w:hAnsi="宋体" w:cs="宋体" w:eastAsia="宋体" w:hint="default"/>
          <w:spacing w:val="-5"/>
          <w:sz w:val="21"/>
          <w:szCs w:val="21"/>
        </w:rPr>
        <w:t>计其可收回金额，可收回金额低于账面价值的，确认减值损失，计入当期损益，同时计提长期</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5"/>
          <w:sz w:val="21"/>
          <w:szCs w:val="21"/>
        </w:rPr>
        <w:t>股权投资减值准备。其他股权投资发生减值时，按类似的金融资产的市场收益率对未来现金流</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量确定的现值与投资的账面价值之间的差额确认为减值损失，计入当期损益。同时计提长期股</w:t>
      </w:r>
    </w:p>
    <w:p>
      <w:pPr>
        <w:spacing w:after="0" w:line="384" w:lineRule="auto"/>
        <w:jc w:val="both"/>
        <w:rPr>
          <w:rFonts w:ascii="宋体" w:hAnsi="宋体" w:cs="宋体" w:eastAsia="宋体" w:hint="default"/>
          <w:sz w:val="21"/>
          <w:szCs w:val="21"/>
        </w:rPr>
        <w:sectPr>
          <w:pgSz w:w="11910" w:h="16840"/>
          <w:pgMar w:header="943" w:footer="897" w:top="1640" w:bottom="1080" w:left="1560" w:right="1480"/>
        </w:sectPr>
      </w:pPr>
    </w:p>
    <w:p>
      <w:pPr>
        <w:spacing w:line="240" w:lineRule="auto" w:before="5"/>
        <w:rPr>
          <w:rFonts w:ascii="宋体" w:hAnsi="宋体" w:cs="宋体" w:eastAsia="宋体" w:hint="default"/>
          <w:sz w:val="21"/>
          <w:szCs w:val="21"/>
        </w:rPr>
      </w:pPr>
    </w:p>
    <w:p>
      <w:pPr>
        <w:spacing w:before="36"/>
        <w:ind w:left="141" w:right="0" w:firstLine="0"/>
        <w:jc w:val="left"/>
        <w:rPr>
          <w:rFonts w:ascii="宋体" w:hAnsi="宋体" w:cs="宋体" w:eastAsia="宋体" w:hint="default"/>
          <w:sz w:val="21"/>
          <w:szCs w:val="21"/>
        </w:rPr>
      </w:pPr>
      <w:r>
        <w:rPr>
          <w:rFonts w:ascii="宋体" w:hAnsi="宋体" w:cs="宋体" w:eastAsia="宋体" w:hint="default"/>
          <w:sz w:val="21"/>
          <w:szCs w:val="21"/>
        </w:rPr>
        <w:t>权投资减值准备。上述长期股权投资减值准备在以后期间均不予转回。</w:t>
      </w:r>
    </w:p>
    <w:p>
      <w:pPr>
        <w:spacing w:line="240" w:lineRule="auto" w:before="10"/>
        <w:rPr>
          <w:rFonts w:ascii="宋体" w:hAnsi="宋体" w:cs="宋体" w:eastAsia="宋体" w:hint="default"/>
          <w:sz w:val="23"/>
          <w:szCs w:val="23"/>
        </w:rPr>
      </w:pPr>
    </w:p>
    <w:p>
      <w:pPr>
        <w:tabs>
          <w:tab w:pos="1821" w:val="left" w:leader="none"/>
        </w:tabs>
        <w:spacing w:before="0"/>
        <w:ind w:left="561" w:right="0" w:firstLine="0"/>
        <w:jc w:val="left"/>
        <w:rPr>
          <w:rFonts w:ascii="宋体" w:hAnsi="宋体" w:cs="宋体" w:eastAsia="宋体" w:hint="default"/>
          <w:sz w:val="21"/>
          <w:szCs w:val="21"/>
        </w:rPr>
      </w:pPr>
      <w:r>
        <w:rPr>
          <w:rFonts w:ascii="宋体" w:hAnsi="宋体" w:cs="宋体" w:eastAsia="宋体" w:hint="default"/>
          <w:spacing w:val="-1"/>
          <w:sz w:val="21"/>
          <w:szCs w:val="21"/>
        </w:rPr>
        <w:t>（十三）</w:t>
        <w:tab/>
        <w:t>投资性房地产</w:t>
      </w:r>
    </w:p>
    <w:p>
      <w:pPr>
        <w:spacing w:line="240" w:lineRule="auto" w:before="5"/>
        <w:rPr>
          <w:rFonts w:ascii="宋体" w:hAnsi="宋体" w:cs="宋体" w:eastAsia="宋体" w:hint="default"/>
          <w:sz w:val="23"/>
          <w:szCs w:val="23"/>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．投资性房地产的种类</w:t>
      </w:r>
    </w:p>
    <w:p>
      <w:pPr>
        <w:spacing w:line="240" w:lineRule="auto" w:before="13"/>
        <w:rPr>
          <w:rFonts w:ascii="宋体" w:hAnsi="宋体" w:cs="宋体" w:eastAsia="宋体" w:hint="default"/>
          <w:sz w:val="21"/>
          <w:szCs w:val="21"/>
        </w:rPr>
      </w:pPr>
    </w:p>
    <w:p>
      <w:pPr>
        <w:spacing w:line="348" w:lineRule="auto" w:before="0"/>
        <w:ind w:left="141" w:right="0" w:firstLine="420"/>
        <w:jc w:val="left"/>
        <w:rPr>
          <w:rFonts w:ascii="宋体" w:hAnsi="宋体" w:cs="宋体" w:eastAsia="宋体" w:hint="default"/>
          <w:sz w:val="21"/>
          <w:szCs w:val="21"/>
        </w:rPr>
      </w:pPr>
      <w:r>
        <w:rPr>
          <w:rFonts w:ascii="宋体" w:hAnsi="宋体" w:cs="宋体" w:eastAsia="宋体" w:hint="default"/>
          <w:spacing w:val="-5"/>
          <w:sz w:val="21"/>
          <w:szCs w:val="21"/>
        </w:rPr>
        <w:t>投资性房地产分为：已出租的土地使用权、持有并准备增值后转让的土地使用权、已出租</w:t>
      </w:r>
      <w:r>
        <w:rPr>
          <w:rFonts w:ascii="宋体" w:hAnsi="宋体" w:cs="宋体" w:eastAsia="宋体" w:hint="default"/>
          <w:w w:val="100"/>
          <w:sz w:val="21"/>
          <w:szCs w:val="21"/>
        </w:rPr>
        <w:t> </w:t>
      </w:r>
      <w:r>
        <w:rPr>
          <w:rFonts w:ascii="宋体" w:hAnsi="宋体" w:cs="宋体" w:eastAsia="宋体" w:hint="default"/>
          <w:sz w:val="21"/>
          <w:szCs w:val="21"/>
        </w:rPr>
        <w:t>的建筑物。</w:t>
      </w:r>
    </w:p>
    <w:p>
      <w:pPr>
        <w:spacing w:line="240" w:lineRule="auto" w:before="2"/>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．投资性房地产的计量模式</w:t>
      </w:r>
    </w:p>
    <w:p>
      <w:pPr>
        <w:spacing w:line="240" w:lineRule="auto" w:before="13"/>
        <w:rPr>
          <w:rFonts w:ascii="宋体" w:hAnsi="宋体" w:cs="宋体" w:eastAsia="宋体" w:hint="default"/>
          <w:sz w:val="21"/>
          <w:szCs w:val="21"/>
        </w:rPr>
      </w:pPr>
    </w:p>
    <w:p>
      <w:pPr>
        <w:spacing w:line="348" w:lineRule="auto" w:before="0"/>
        <w:ind w:left="141" w:right="0" w:firstLine="420"/>
        <w:jc w:val="left"/>
        <w:rPr>
          <w:rFonts w:ascii="宋体" w:hAnsi="宋体" w:cs="宋体" w:eastAsia="宋体" w:hint="default"/>
          <w:sz w:val="21"/>
          <w:szCs w:val="21"/>
        </w:rPr>
      </w:pPr>
      <w:r>
        <w:rPr>
          <w:rFonts w:ascii="宋体" w:hAnsi="宋体" w:cs="宋体" w:eastAsia="宋体" w:hint="default"/>
          <w:spacing w:val="-5"/>
          <w:w w:val="100"/>
          <w:sz w:val="21"/>
          <w:szCs w:val="21"/>
        </w:rPr>
        <w:t>投资性房地产按照取得时的成本进行初始计量，在资产负债表日采用成本模式对投资性房</w:t>
      </w:r>
      <w:r>
        <w:rPr>
          <w:rFonts w:ascii="宋体" w:hAnsi="宋体" w:cs="宋体" w:eastAsia="宋体" w:hint="default"/>
          <w:w w:val="100"/>
          <w:sz w:val="21"/>
          <w:szCs w:val="21"/>
        </w:rPr>
        <w:t> </w:t>
      </w:r>
      <w:r>
        <w:rPr>
          <w:rFonts w:ascii="宋体" w:hAnsi="宋体" w:cs="宋体" w:eastAsia="宋体" w:hint="default"/>
          <w:sz w:val="21"/>
          <w:szCs w:val="21"/>
        </w:rPr>
        <w:t>地产进行后续计量。其中建筑物的折旧方法和减值准备的确定方法与固定资产的核算方法一</w:t>
      </w:r>
      <w:r>
        <w:rPr>
          <w:rFonts w:ascii="宋体" w:hAnsi="宋体" w:cs="宋体" w:eastAsia="宋体" w:hint="default"/>
          <w:w w:val="100"/>
          <w:sz w:val="21"/>
          <w:szCs w:val="21"/>
        </w:rPr>
        <w:t> </w:t>
      </w:r>
      <w:r>
        <w:rPr>
          <w:rFonts w:ascii="宋体" w:hAnsi="宋体" w:cs="宋体" w:eastAsia="宋体" w:hint="default"/>
          <w:sz w:val="21"/>
          <w:szCs w:val="21"/>
        </w:rPr>
        <w:t>致，土地使用权的摊销方法和减值准备的确定方法与无形资产的核算方法一致。</w:t>
      </w:r>
    </w:p>
    <w:p>
      <w:pPr>
        <w:spacing w:line="240" w:lineRule="auto" w:before="2"/>
        <w:rPr>
          <w:rFonts w:ascii="宋体" w:hAnsi="宋体" w:cs="宋体" w:eastAsia="宋体" w:hint="default"/>
          <w:sz w:val="16"/>
          <w:szCs w:val="16"/>
        </w:rPr>
      </w:pPr>
    </w:p>
    <w:p>
      <w:pPr>
        <w:tabs>
          <w:tab w:pos="1821" w:val="left" w:leader="none"/>
        </w:tabs>
        <w:spacing w:before="0"/>
        <w:ind w:left="561" w:right="0" w:firstLine="0"/>
        <w:jc w:val="left"/>
        <w:rPr>
          <w:rFonts w:ascii="宋体" w:hAnsi="宋体" w:cs="宋体" w:eastAsia="宋体" w:hint="default"/>
          <w:sz w:val="21"/>
          <w:szCs w:val="21"/>
        </w:rPr>
      </w:pPr>
      <w:r>
        <w:rPr>
          <w:rFonts w:ascii="宋体" w:hAnsi="宋体" w:cs="宋体" w:eastAsia="宋体" w:hint="default"/>
          <w:spacing w:val="-1"/>
          <w:sz w:val="21"/>
          <w:szCs w:val="21"/>
        </w:rPr>
        <w:t>（十四）</w:t>
        <w:tab/>
        <w:t>固定资产</w:t>
      </w:r>
    </w:p>
    <w:p>
      <w:pPr>
        <w:spacing w:line="240" w:lineRule="auto" w:before="3"/>
        <w:rPr>
          <w:rFonts w:ascii="宋体" w:hAnsi="宋体" w:cs="宋体" w:eastAsia="宋体" w:hint="default"/>
          <w:sz w:val="23"/>
          <w:szCs w:val="23"/>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．固定资产的确认条件</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）该固定资产的成本能够可靠计量。</w:t>
      </w:r>
    </w:p>
    <w:p>
      <w:pPr>
        <w:spacing w:line="240" w:lineRule="auto" w:before="2"/>
        <w:rPr>
          <w:rFonts w:ascii="宋体" w:hAnsi="宋体" w:cs="宋体" w:eastAsia="宋体" w:hint="default"/>
          <w:sz w:val="22"/>
          <w:szCs w:val="22"/>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．固定资产的分类</w:t>
      </w:r>
    </w:p>
    <w:p>
      <w:pPr>
        <w:spacing w:line="240" w:lineRule="auto" w:before="13"/>
        <w:rPr>
          <w:rFonts w:ascii="宋体" w:hAnsi="宋体" w:cs="宋体" w:eastAsia="宋体" w:hint="default"/>
          <w:sz w:val="21"/>
          <w:szCs w:val="21"/>
        </w:rPr>
      </w:pPr>
    </w:p>
    <w:p>
      <w:pPr>
        <w:spacing w:line="348" w:lineRule="auto" w:before="0"/>
        <w:ind w:left="141" w:right="0" w:firstLine="420"/>
        <w:jc w:val="left"/>
        <w:rPr>
          <w:rFonts w:ascii="宋体" w:hAnsi="宋体" w:cs="宋体" w:eastAsia="宋体" w:hint="default"/>
          <w:sz w:val="21"/>
          <w:szCs w:val="21"/>
        </w:rPr>
      </w:pPr>
      <w:r>
        <w:rPr>
          <w:rFonts w:ascii="宋体" w:hAnsi="宋体" w:cs="宋体" w:eastAsia="宋体" w:hint="default"/>
          <w:spacing w:val="-7"/>
          <w:w w:val="95"/>
          <w:sz w:val="21"/>
          <w:szCs w:val="21"/>
        </w:rPr>
        <w:t>公司的固定资产分为：房屋及建筑物、机器设备、运输设备、电子设备、办公及其他设备</w:t>
      </w:r>
      <w:r>
        <w:rPr>
          <w:rFonts w:ascii="宋体" w:hAnsi="宋体" w:cs="宋体" w:eastAsia="宋体" w:hint="default"/>
          <w:spacing w:val="33"/>
          <w:w w:val="95"/>
          <w:sz w:val="21"/>
          <w:szCs w:val="21"/>
        </w:rPr>
        <w:t> </w:t>
      </w:r>
      <w:r>
        <w:rPr>
          <w:rFonts w:ascii="宋体" w:hAnsi="宋体" w:cs="宋体" w:eastAsia="宋体" w:hint="default"/>
          <w:w w:val="95"/>
          <w:sz w:val="21"/>
          <w:szCs w:val="21"/>
        </w:rPr>
        <w:t>、</w:t>
      </w:r>
      <w:r>
        <w:rPr>
          <w:rFonts w:ascii="宋体" w:hAnsi="宋体" w:cs="宋体" w:eastAsia="宋体" w:hint="default"/>
          <w:w w:val="75"/>
          <w:sz w:val="21"/>
          <w:szCs w:val="21"/>
        </w:rPr>
        <w:t> </w:t>
      </w:r>
      <w:r>
        <w:rPr>
          <w:rFonts w:ascii="宋体" w:hAnsi="宋体" w:cs="宋体" w:eastAsia="宋体" w:hint="default"/>
          <w:sz w:val="21"/>
          <w:szCs w:val="21"/>
        </w:rPr>
        <w:t>其他构筑物、自有房屋装修费。</w:t>
      </w:r>
    </w:p>
    <w:p>
      <w:pPr>
        <w:spacing w:line="240" w:lineRule="auto" w:before="2"/>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．各类固定资产的折旧方法</w:t>
      </w:r>
    </w:p>
    <w:p>
      <w:pPr>
        <w:spacing w:line="240" w:lineRule="auto" w:before="13"/>
        <w:rPr>
          <w:rFonts w:ascii="宋体" w:hAnsi="宋体" w:cs="宋体" w:eastAsia="宋体" w:hint="default"/>
          <w:sz w:val="21"/>
          <w:szCs w:val="21"/>
        </w:rPr>
      </w:pPr>
    </w:p>
    <w:p>
      <w:pPr>
        <w:spacing w:line="350" w:lineRule="auto" w:before="0"/>
        <w:ind w:left="141" w:right="0" w:firstLine="420"/>
        <w:jc w:val="left"/>
        <w:rPr>
          <w:rFonts w:ascii="宋体" w:hAnsi="宋体" w:cs="宋体" w:eastAsia="宋体" w:hint="default"/>
          <w:sz w:val="21"/>
          <w:szCs w:val="21"/>
        </w:rPr>
      </w:pPr>
      <w:r>
        <w:rPr>
          <w:rFonts w:ascii="宋体" w:hAnsi="宋体" w:cs="宋体" w:eastAsia="宋体" w:hint="default"/>
          <w:spacing w:val="-5"/>
          <w:sz w:val="21"/>
          <w:szCs w:val="21"/>
        </w:rPr>
        <w:t>固定资产在使用寿命内按年限平均法计提折旧，各类固定资产的折旧年限、残值率和年折</w:t>
      </w:r>
      <w:r>
        <w:rPr>
          <w:rFonts w:ascii="宋体" w:hAnsi="宋体" w:cs="宋体" w:eastAsia="宋体" w:hint="default"/>
          <w:w w:val="100"/>
          <w:sz w:val="21"/>
          <w:szCs w:val="21"/>
        </w:rPr>
        <w:t> </w:t>
      </w:r>
      <w:r>
        <w:rPr>
          <w:rFonts w:ascii="宋体" w:hAnsi="宋体" w:cs="宋体" w:eastAsia="宋体" w:hint="default"/>
          <w:sz w:val="21"/>
          <w:szCs w:val="21"/>
        </w:rPr>
        <w:t>旧率如下：</w:t>
      </w:r>
    </w:p>
    <w:p>
      <w:pPr>
        <w:spacing w:line="240" w:lineRule="auto" w:before="5"/>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129"/>
        <w:gridCol w:w="2126"/>
        <w:gridCol w:w="2124"/>
        <w:gridCol w:w="2126"/>
      </w:tblGrid>
      <w:tr>
        <w:trPr>
          <w:trHeight w:val="372" w:hRule="exact"/>
        </w:trPr>
        <w:tc>
          <w:tcPr>
            <w:tcW w:w="2129" w:type="dxa"/>
            <w:tcBorders>
              <w:top w:val="single" w:sz="4" w:space="0" w:color="000008"/>
              <w:left w:val="single" w:sz="4" w:space="0" w:color="000008"/>
              <w:bottom w:val="single" w:sz="6" w:space="0" w:color="000008"/>
              <w:right w:val="single" w:sz="6" w:space="0" w:color="000008"/>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26"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124"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tcBorders>
              <w:top w:val="single" w:sz="4" w:space="0" w:color="000008"/>
              <w:left w:val="single" w:sz="6" w:space="0" w:color="000008"/>
              <w:bottom w:val="single" w:sz="6"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7" w:hRule="exact"/>
        </w:trPr>
        <w:tc>
          <w:tcPr>
            <w:tcW w:w="2129"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p>
        </w:tc>
        <w:tc>
          <w:tcPr>
            <w:tcW w:w="212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25–45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3.8–2.11</w:t>
            </w:r>
          </w:p>
        </w:tc>
      </w:tr>
      <w:tr>
        <w:trPr>
          <w:trHeight w:val="374" w:hRule="exact"/>
        </w:trPr>
        <w:tc>
          <w:tcPr>
            <w:tcW w:w="2129"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12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7"/>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25– 45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tc>
        <w:tc>
          <w:tcPr>
            <w:tcW w:w="212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3.8–2.11</w:t>
            </w:r>
          </w:p>
        </w:tc>
      </w:tr>
      <w:tr>
        <w:trPr>
          <w:trHeight w:val="374" w:hRule="exact"/>
        </w:trPr>
        <w:tc>
          <w:tcPr>
            <w:tcW w:w="2129"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2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7"/>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212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9.5</w:t>
            </w:r>
          </w:p>
        </w:tc>
      </w:tr>
      <w:tr>
        <w:trPr>
          <w:trHeight w:val="374" w:hRule="exact"/>
        </w:trPr>
        <w:tc>
          <w:tcPr>
            <w:tcW w:w="2129" w:type="dxa"/>
            <w:tcBorders>
              <w:top w:val="single" w:sz="6" w:space="0" w:color="000008"/>
              <w:left w:val="single" w:sz="4" w:space="0" w:color="000008"/>
              <w:bottom w:val="single" w:sz="4" w:space="0" w:color="000008"/>
              <w:right w:val="single" w:sz="6" w:space="0" w:color="000008"/>
            </w:tcBorders>
          </w:tcPr>
          <w:p>
            <w:pPr>
              <w:pStyle w:val="TableParagraph"/>
              <w:spacing w:line="240" w:lineRule="auto" w:before="9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2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11.875</w:t>
            </w:r>
          </w:p>
        </w:tc>
      </w:tr>
      <w:tr>
        <w:trPr>
          <w:trHeight w:val="377" w:hRule="exact"/>
        </w:trPr>
        <w:tc>
          <w:tcPr>
            <w:tcW w:w="2129" w:type="dxa"/>
            <w:tcBorders>
              <w:top w:val="single" w:sz="4" w:space="0" w:color="000008"/>
              <w:left w:val="single" w:sz="4" w:space="0" w:color="000008"/>
              <w:bottom w:val="single" w:sz="6" w:space="0" w:color="000008"/>
              <w:right w:val="single" w:sz="6" w:space="0" w:color="000008"/>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2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56"/>
              <w:ind w:left="1" w:right="0"/>
              <w:jc w:val="center"/>
              <w:rPr>
                <w:rFonts w:ascii="Times New Roman" w:hAnsi="Times New Roman" w:cs="Times New Roman" w:eastAsia="Times New Roman" w:hint="default"/>
                <w:sz w:val="18"/>
                <w:szCs w:val="18"/>
              </w:rPr>
            </w:pPr>
            <w:r>
              <w:rPr>
                <w:rFonts w:ascii="Times New Roman"/>
                <w:sz w:val="18"/>
              </w:rPr>
              <w:t>19</w:t>
            </w:r>
          </w:p>
        </w:tc>
      </w:tr>
      <w:tr>
        <w:trPr>
          <w:trHeight w:val="374" w:hRule="exact"/>
        </w:trPr>
        <w:tc>
          <w:tcPr>
            <w:tcW w:w="2129"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2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7"/>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19</w:t>
            </w:r>
          </w:p>
        </w:tc>
      </w:tr>
      <w:tr>
        <w:trPr>
          <w:trHeight w:val="372" w:hRule="exact"/>
        </w:trPr>
        <w:tc>
          <w:tcPr>
            <w:tcW w:w="2129" w:type="dxa"/>
            <w:tcBorders>
              <w:top w:val="single" w:sz="6" w:space="0" w:color="000008"/>
              <w:left w:val="single" w:sz="4" w:space="0" w:color="000008"/>
              <w:bottom w:val="single" w:sz="4" w:space="0" w:color="000008"/>
              <w:right w:val="single" w:sz="6" w:space="0" w:color="000008"/>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2126"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4"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w:t>
            </w:r>
          </w:p>
        </w:tc>
        <w:tc>
          <w:tcPr>
            <w:tcW w:w="2126" w:type="dxa"/>
            <w:tcBorders>
              <w:top w:val="single" w:sz="6" w:space="0" w:color="000008"/>
              <w:left w:val="single" w:sz="6" w:space="0" w:color="000008"/>
              <w:bottom w:val="single" w:sz="4"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center"/>
        <w:rPr>
          <w:rFonts w:ascii="Times New Roman" w:hAnsi="Times New Roman" w:cs="Times New Roman" w:eastAsia="Times New Roman" w:hint="default"/>
          <w:sz w:val="18"/>
          <w:szCs w:val="18"/>
        </w:rPr>
        <w:sectPr>
          <w:pgSz w:w="11910" w:h="16840"/>
          <w:pgMar w:header="943" w:footer="897" w:top="1640" w:bottom="1080" w:left="1560" w:right="1540"/>
        </w:sectPr>
      </w:pPr>
    </w:p>
    <w:p>
      <w:pPr>
        <w:spacing w:line="240" w:lineRule="auto" w:before="11"/>
        <w:rPr>
          <w:rFonts w:ascii="宋体" w:hAnsi="宋体" w:cs="宋体" w:eastAsia="宋体" w:hint="default"/>
          <w:sz w:val="18"/>
          <w:szCs w:val="18"/>
        </w:rPr>
      </w:pPr>
    </w:p>
    <w:p>
      <w:pPr>
        <w:spacing w:before="36"/>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对于后续改造和增建建筑物，按不高于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年计提折旧。</w:t>
      </w:r>
    </w:p>
    <w:p>
      <w:pPr>
        <w:spacing w:line="240" w:lineRule="auto" w:before="2"/>
        <w:rPr>
          <w:rFonts w:ascii="宋体" w:hAnsi="宋体" w:cs="宋体" w:eastAsia="宋体" w:hint="default"/>
          <w:sz w:val="22"/>
          <w:szCs w:val="22"/>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．固定资产的减值测试方法、减值准备计提方法</w:t>
      </w:r>
    </w:p>
    <w:p>
      <w:pPr>
        <w:spacing w:line="240" w:lineRule="auto" w:before="13"/>
        <w:rPr>
          <w:rFonts w:ascii="宋体" w:hAnsi="宋体" w:cs="宋体" w:eastAsia="宋体" w:hint="default"/>
          <w:sz w:val="21"/>
          <w:szCs w:val="21"/>
        </w:rPr>
      </w:pPr>
    </w:p>
    <w:p>
      <w:pPr>
        <w:spacing w:line="350" w:lineRule="auto" w:before="0"/>
        <w:ind w:left="141" w:right="0" w:firstLine="424"/>
        <w:jc w:val="left"/>
        <w:rPr>
          <w:rFonts w:ascii="宋体" w:hAnsi="宋体" w:cs="宋体" w:eastAsia="宋体" w:hint="default"/>
          <w:sz w:val="21"/>
          <w:szCs w:val="21"/>
        </w:rPr>
      </w:pPr>
      <w:r>
        <w:rPr>
          <w:rFonts w:ascii="宋体" w:hAnsi="宋体" w:cs="宋体" w:eastAsia="宋体" w:hint="default"/>
          <w:sz w:val="21"/>
          <w:szCs w:val="21"/>
        </w:rPr>
        <w:t>资产负债表日，固定资产存在减值迹象，估计其可收回金额。可收回金额按固定资产的</w:t>
      </w:r>
      <w:r>
        <w:rPr>
          <w:rFonts w:ascii="宋体" w:hAnsi="宋体" w:cs="宋体" w:eastAsia="宋体" w:hint="default"/>
          <w:w w:val="100"/>
          <w:sz w:val="21"/>
          <w:szCs w:val="21"/>
        </w:rPr>
        <w:t> </w:t>
      </w:r>
      <w:r>
        <w:rPr>
          <w:rFonts w:ascii="宋体" w:hAnsi="宋体" w:cs="宋体" w:eastAsia="宋体" w:hint="default"/>
          <w:spacing w:val="-5"/>
          <w:w w:val="100"/>
          <w:sz w:val="21"/>
          <w:szCs w:val="21"/>
        </w:rPr>
        <w:t>公允价值减去处置费用后的净额与固定资产预计未来现金流量的现值之间的较高者确定。可收</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pacing w:val="-5"/>
          <w:sz w:val="21"/>
          <w:szCs w:val="21"/>
        </w:rPr>
        <w:t>回金额的计量结果表明，固定资产的可收回金额低于其账面价值的，将固定资产的账面价值减</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sz w:val="21"/>
          <w:szCs w:val="21"/>
        </w:rPr>
        <w:t>记至可收回金额，减记的金额确认为资产减值损失，计入当期损益，同时计提相应的资产减值</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准备。减值准备一旦计提，在以后会计期间不予转回。</w:t>
      </w:r>
    </w:p>
    <w:p>
      <w:pPr>
        <w:spacing w:line="240" w:lineRule="auto" w:before="11"/>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．融资租入固定资产的认定依据、计价方法</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符合下列一项或数项标准的，本公司将其认定为融资租入固定资产：</w:t>
      </w:r>
    </w:p>
    <w:p>
      <w:pPr>
        <w:spacing w:before="126"/>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）在租赁期届满时，租赁固定资产的所有权转移给承租人。</w:t>
      </w:r>
    </w:p>
    <w:p>
      <w:pPr>
        <w:spacing w:line="331" w:lineRule="auto" w:before="107"/>
        <w:ind w:left="141"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）承租人有购买租赁固定资产的选择权，所订立的购买价款预计将远低于行使选择权</w:t>
      </w:r>
      <w:r>
        <w:rPr>
          <w:rFonts w:ascii="宋体" w:hAnsi="宋体" w:cs="宋体" w:eastAsia="宋体" w:hint="default"/>
          <w:w w:val="100"/>
          <w:sz w:val="21"/>
          <w:szCs w:val="21"/>
        </w:rPr>
        <w:t> </w:t>
      </w:r>
      <w:r>
        <w:rPr>
          <w:rFonts w:ascii="宋体" w:hAnsi="宋体" w:cs="宋体" w:eastAsia="宋体" w:hint="default"/>
          <w:spacing w:val="-2"/>
          <w:sz w:val="21"/>
          <w:szCs w:val="21"/>
        </w:rPr>
        <w:t>时租赁固定资产的公允价值，因而在租赁开始日就可以合理确定承租人将会行使这种选择权。</w:t>
      </w:r>
    </w:p>
    <w:p>
      <w:pPr>
        <w:spacing w:line="240" w:lineRule="auto" w:before="1"/>
        <w:rPr>
          <w:rFonts w:ascii="宋体" w:hAnsi="宋体" w:cs="宋体" w:eastAsia="宋体" w:hint="default"/>
          <w:sz w:val="17"/>
          <w:szCs w:val="17"/>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）即使固定资产的所有权不转移，但租赁期占租赁资产使用寿命的大部分。</w:t>
      </w:r>
    </w:p>
    <w:p>
      <w:pPr>
        <w:spacing w:line="240" w:lineRule="auto" w:before="2"/>
        <w:rPr>
          <w:rFonts w:ascii="宋体" w:hAnsi="宋体" w:cs="宋体" w:eastAsia="宋体" w:hint="default"/>
          <w:sz w:val="22"/>
          <w:szCs w:val="22"/>
        </w:rPr>
      </w:pPr>
    </w:p>
    <w:p>
      <w:pPr>
        <w:spacing w:line="338"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）承租人在租赁开始日的最低租赁付款额现值，几乎相当于租赁开始日租赁固定资产</w:t>
      </w:r>
      <w:r>
        <w:rPr>
          <w:rFonts w:ascii="宋体" w:hAnsi="宋体" w:cs="宋体" w:eastAsia="宋体" w:hint="default"/>
          <w:w w:val="100"/>
          <w:sz w:val="21"/>
          <w:szCs w:val="21"/>
        </w:rPr>
        <w:t> </w:t>
      </w:r>
      <w:r>
        <w:rPr>
          <w:rFonts w:ascii="宋体" w:hAnsi="宋体" w:cs="宋体" w:eastAsia="宋体" w:hint="default"/>
          <w:spacing w:val="-5"/>
          <w:sz w:val="21"/>
          <w:szCs w:val="21"/>
        </w:rPr>
        <w:t>公允价值；出租人在租赁开始日的最低租赁收款额现值，几乎相当于租赁开始日租赁固定资产</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公允价值。</w:t>
      </w:r>
    </w:p>
    <w:p>
      <w:pPr>
        <w:spacing w:line="578" w:lineRule="exact"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）租赁固定资产性质特殊，如果不作较大改造，只有承租人才能使用。</w:t>
      </w:r>
      <w:r>
        <w:rPr>
          <w:rFonts w:ascii="宋体" w:hAnsi="宋体" w:cs="宋体" w:eastAsia="宋体" w:hint="default"/>
          <w:w w:val="100"/>
          <w:sz w:val="21"/>
          <w:szCs w:val="21"/>
        </w:rPr>
        <w:t> </w:t>
      </w:r>
      <w:r>
        <w:rPr>
          <w:rFonts w:ascii="宋体" w:hAnsi="宋体" w:cs="宋体" w:eastAsia="宋体" w:hint="default"/>
          <w:spacing w:val="-5"/>
          <w:w w:val="100"/>
          <w:sz w:val="21"/>
          <w:szCs w:val="21"/>
        </w:rPr>
        <w:t>在租赁期开始日，将租赁固定资产的公允价值与最低租赁付款额现值两者中较低者作为租</w:t>
      </w:r>
    </w:p>
    <w:p>
      <w:pPr>
        <w:spacing w:line="348" w:lineRule="auto" w:before="40"/>
        <w:ind w:left="141" w:right="217" w:firstLine="0"/>
        <w:jc w:val="both"/>
        <w:rPr>
          <w:rFonts w:ascii="宋体" w:hAnsi="宋体" w:cs="宋体" w:eastAsia="宋体" w:hint="default"/>
          <w:sz w:val="21"/>
          <w:szCs w:val="21"/>
        </w:rPr>
      </w:pPr>
      <w:r>
        <w:rPr>
          <w:rFonts w:ascii="宋体" w:hAnsi="宋体" w:cs="宋体" w:eastAsia="宋体" w:hint="default"/>
          <w:spacing w:val="-5"/>
          <w:sz w:val="21"/>
          <w:szCs w:val="21"/>
        </w:rPr>
        <w:t>入固定资产的入账价值，将最低租赁付款额作为长期应付款的入账价值，其差额作为未确认融</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w w:val="100"/>
          <w:sz w:val="21"/>
          <w:szCs w:val="21"/>
        </w:rPr>
        <w:t>资费用。在租赁谈判和签订租赁合同过程中发生的可归属于租赁固定资产的初始直接费用计入</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租入固定资产的价值。</w:t>
      </w:r>
    </w:p>
    <w:p>
      <w:pPr>
        <w:spacing w:line="240" w:lineRule="auto" w:before="3"/>
        <w:rPr>
          <w:rFonts w:ascii="宋体" w:hAnsi="宋体" w:cs="宋体" w:eastAsia="宋体" w:hint="default"/>
          <w:sz w:val="17"/>
          <w:szCs w:val="17"/>
        </w:rPr>
      </w:pPr>
    </w:p>
    <w:p>
      <w:pPr>
        <w:spacing w:line="367"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在计算最低租赁付款额的现值时，能够取得出租人的租赁内含利率的，采用出租人的租赁</w:t>
      </w:r>
      <w:r>
        <w:rPr>
          <w:rFonts w:ascii="宋体" w:hAnsi="宋体" w:cs="宋体" w:eastAsia="宋体" w:hint="default"/>
          <w:w w:val="100"/>
          <w:sz w:val="21"/>
          <w:szCs w:val="21"/>
        </w:rPr>
        <w:t> </w:t>
      </w:r>
      <w:r>
        <w:rPr>
          <w:rFonts w:ascii="宋体" w:hAnsi="宋体" w:cs="宋体" w:eastAsia="宋体" w:hint="default"/>
          <w:spacing w:val="-5"/>
          <w:sz w:val="21"/>
          <w:szCs w:val="21"/>
        </w:rPr>
        <w:t>内含利率作为折现率；否则，采用租赁合同规定的利率作为折现率。无法取得出租人的租赁内</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含利率且租赁合同没有规定利率，采用同期银行贷款利率作为折现率。未确认的融资费用采用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实际利率法在租赁期内各个期间进行分摊。</w:t>
      </w:r>
    </w:p>
    <w:p>
      <w:pPr>
        <w:spacing w:line="240" w:lineRule="auto" w:before="5"/>
        <w:rPr>
          <w:rFonts w:ascii="宋体" w:hAnsi="宋体" w:cs="宋体" w:eastAsia="宋体" w:hint="default"/>
          <w:sz w:val="16"/>
          <w:szCs w:val="16"/>
        </w:rPr>
      </w:pPr>
    </w:p>
    <w:p>
      <w:pPr>
        <w:spacing w:line="367"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w w:val="100"/>
          <w:sz w:val="21"/>
          <w:szCs w:val="21"/>
        </w:rPr>
        <w:t>对租赁固定资产采用与自有应折旧固定资产相一致的折旧政策。能够合理确定租赁期满时</w:t>
      </w:r>
      <w:r>
        <w:rPr>
          <w:rFonts w:ascii="宋体" w:hAnsi="宋体" w:cs="宋体" w:eastAsia="宋体" w:hint="default"/>
          <w:w w:val="100"/>
          <w:sz w:val="21"/>
          <w:szCs w:val="21"/>
        </w:rPr>
        <w:t> </w:t>
      </w:r>
      <w:r>
        <w:rPr>
          <w:rFonts w:ascii="宋体" w:hAnsi="宋体" w:cs="宋体" w:eastAsia="宋体" w:hint="default"/>
          <w:spacing w:val="-5"/>
          <w:sz w:val="21"/>
          <w:szCs w:val="21"/>
        </w:rPr>
        <w:t>取得租赁固定资产所有权的，在租赁固定资产使用寿命内计提折旧。无法合理确定租赁期满时</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取得租赁固定资产所有权的，在租赁期与租赁固定资产使用寿命两者中较短的期间内计提折</w:t>
      </w:r>
      <w:r>
        <w:rPr>
          <w:rFonts w:ascii="宋体" w:hAnsi="宋体" w:cs="宋体" w:eastAsia="宋体" w:hint="default"/>
          <w:spacing w:val="-57"/>
          <w:sz w:val="21"/>
          <w:szCs w:val="21"/>
        </w:rPr>
        <w:t> </w:t>
      </w:r>
      <w:r>
        <w:rPr>
          <w:rFonts w:ascii="宋体" w:hAnsi="宋体" w:cs="宋体" w:eastAsia="宋体" w:hint="default"/>
          <w:sz w:val="21"/>
          <w:szCs w:val="21"/>
        </w:rPr>
        <w:t>旧。或有租金在实际发生时计入当期损益。</w:t>
      </w:r>
    </w:p>
    <w:p>
      <w:pPr>
        <w:spacing w:after="0" w:line="367" w:lineRule="auto"/>
        <w:jc w:val="both"/>
        <w:rPr>
          <w:rFonts w:ascii="宋体" w:hAnsi="宋体" w:cs="宋体" w:eastAsia="宋体" w:hint="default"/>
          <w:sz w:val="21"/>
          <w:szCs w:val="21"/>
        </w:rPr>
        <w:sectPr>
          <w:pgSz w:w="11910" w:h="16840"/>
          <w:pgMar w:header="943" w:footer="897" w:top="1640" w:bottom="1080" w:left="1560" w:right="1480"/>
        </w:sectPr>
      </w:pPr>
    </w:p>
    <w:p>
      <w:pPr>
        <w:spacing w:line="240" w:lineRule="auto" w:before="2"/>
        <w:rPr>
          <w:rFonts w:ascii="宋体" w:hAnsi="宋体" w:cs="宋体" w:eastAsia="宋体" w:hint="default"/>
          <w:sz w:val="20"/>
          <w:szCs w:val="20"/>
        </w:rPr>
      </w:pPr>
    </w:p>
    <w:p>
      <w:pPr>
        <w:spacing w:before="36"/>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．固定资产后续支出</w:t>
      </w:r>
    </w:p>
    <w:p>
      <w:pPr>
        <w:spacing w:line="240" w:lineRule="auto" w:before="8"/>
        <w:rPr>
          <w:rFonts w:ascii="宋体" w:hAnsi="宋体" w:cs="宋体" w:eastAsia="宋体" w:hint="default"/>
          <w:sz w:val="23"/>
          <w:szCs w:val="23"/>
        </w:rPr>
      </w:pPr>
    </w:p>
    <w:p>
      <w:pPr>
        <w:spacing w:line="367" w:lineRule="auto" w:before="0"/>
        <w:ind w:left="141" w:right="157" w:firstLine="420"/>
        <w:jc w:val="both"/>
        <w:rPr>
          <w:rFonts w:ascii="宋体" w:hAnsi="宋体" w:cs="宋体" w:eastAsia="宋体" w:hint="default"/>
          <w:sz w:val="21"/>
          <w:szCs w:val="21"/>
        </w:rPr>
      </w:pPr>
      <w:r>
        <w:rPr>
          <w:rFonts w:ascii="宋体" w:hAnsi="宋体" w:cs="宋体" w:eastAsia="宋体" w:hint="default"/>
          <w:spacing w:val="-5"/>
          <w:sz w:val="21"/>
          <w:szCs w:val="21"/>
        </w:rPr>
        <w:t>固定资产的后续支出是指固定资产使用过程中发生的更新改造支出、修理费用等。后续支</w:t>
      </w:r>
      <w:r>
        <w:rPr>
          <w:rFonts w:ascii="宋体" w:hAnsi="宋体" w:cs="宋体" w:eastAsia="宋体" w:hint="default"/>
          <w:w w:val="100"/>
          <w:sz w:val="21"/>
          <w:szCs w:val="21"/>
        </w:rPr>
        <w:t> </w:t>
      </w:r>
      <w:r>
        <w:rPr>
          <w:rFonts w:ascii="宋体" w:hAnsi="宋体" w:cs="宋体" w:eastAsia="宋体" w:hint="default"/>
          <w:spacing w:val="-5"/>
          <w:sz w:val="21"/>
          <w:szCs w:val="21"/>
        </w:rPr>
        <w:t>出的处理原则为：符合固定资产确认条件的，计入固定资产成本，同时将被替换部分的账面价</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值扣除；不符合固定资产确认条件的，计入当期损益。</w:t>
      </w:r>
    </w:p>
    <w:p>
      <w:pPr>
        <w:spacing w:line="240" w:lineRule="auto" w:before="2"/>
        <w:rPr>
          <w:rFonts w:ascii="宋体" w:hAnsi="宋体" w:cs="宋体" w:eastAsia="宋体" w:hint="default"/>
          <w:sz w:val="16"/>
          <w:szCs w:val="16"/>
        </w:rPr>
      </w:pPr>
    </w:p>
    <w:p>
      <w:pPr>
        <w:tabs>
          <w:tab w:pos="1821" w:val="left" w:leader="none"/>
        </w:tabs>
        <w:spacing w:before="0"/>
        <w:ind w:left="561" w:right="0" w:firstLine="0"/>
        <w:jc w:val="left"/>
        <w:rPr>
          <w:rFonts w:ascii="宋体" w:hAnsi="宋体" w:cs="宋体" w:eastAsia="宋体" w:hint="default"/>
          <w:sz w:val="21"/>
          <w:szCs w:val="21"/>
        </w:rPr>
      </w:pPr>
      <w:r>
        <w:rPr>
          <w:rFonts w:ascii="宋体" w:hAnsi="宋体" w:cs="宋体" w:eastAsia="宋体" w:hint="default"/>
          <w:spacing w:val="-1"/>
          <w:sz w:val="21"/>
          <w:szCs w:val="21"/>
        </w:rPr>
        <w:t>（十五）</w:t>
        <w:tab/>
        <w:t>在建工程</w:t>
      </w:r>
    </w:p>
    <w:p>
      <w:pPr>
        <w:spacing w:line="240" w:lineRule="auto" w:before="11"/>
        <w:rPr>
          <w:rFonts w:ascii="宋体" w:hAnsi="宋体" w:cs="宋体" w:eastAsia="宋体" w:hint="default"/>
          <w:sz w:val="24"/>
          <w:szCs w:val="24"/>
        </w:rPr>
      </w:pPr>
    </w:p>
    <w:p>
      <w:pPr>
        <w:spacing w:line="367" w:lineRule="auto" w:before="0"/>
        <w:ind w:left="141" w:right="157" w:firstLine="420"/>
        <w:jc w:val="both"/>
        <w:rPr>
          <w:rFonts w:ascii="宋体" w:hAnsi="宋体" w:cs="宋体" w:eastAsia="宋体" w:hint="default"/>
          <w:sz w:val="21"/>
          <w:szCs w:val="21"/>
        </w:rPr>
      </w:pPr>
      <w:r>
        <w:rPr>
          <w:rFonts w:ascii="宋体" w:hAnsi="宋体" w:cs="宋体" w:eastAsia="宋体" w:hint="default"/>
          <w:spacing w:val="-5"/>
          <w:sz w:val="21"/>
          <w:szCs w:val="21"/>
        </w:rPr>
        <w:t>在建工程包括施工前期准备、正在施工中的建筑工程、安装工程、技术改造工程、大修理</w:t>
      </w:r>
      <w:r>
        <w:rPr>
          <w:rFonts w:ascii="宋体" w:hAnsi="宋体" w:cs="宋体" w:eastAsia="宋体" w:hint="default"/>
          <w:w w:val="100"/>
          <w:sz w:val="21"/>
          <w:szCs w:val="21"/>
        </w:rPr>
        <w:t> </w:t>
      </w:r>
      <w:r>
        <w:rPr>
          <w:rFonts w:ascii="宋体" w:hAnsi="宋体" w:cs="宋体" w:eastAsia="宋体" w:hint="default"/>
          <w:spacing w:val="-5"/>
          <w:sz w:val="21"/>
          <w:szCs w:val="21"/>
        </w:rPr>
        <w:t>工程等，并按实际发生的支出确定工程成本。在建工程完工达到预定可使用状态时，按实际发</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生的全部支出转入固定资产核算。</w:t>
      </w:r>
    </w:p>
    <w:p>
      <w:pPr>
        <w:spacing w:line="240" w:lineRule="auto" w:before="2"/>
        <w:rPr>
          <w:rFonts w:ascii="宋体" w:hAnsi="宋体" w:cs="宋体" w:eastAsia="宋体" w:hint="default"/>
          <w:sz w:val="16"/>
          <w:szCs w:val="16"/>
        </w:rPr>
      </w:pPr>
    </w:p>
    <w:p>
      <w:pPr>
        <w:spacing w:line="357" w:lineRule="auto" w:before="0"/>
        <w:ind w:left="141" w:right="157" w:firstLine="420"/>
        <w:jc w:val="both"/>
        <w:rPr>
          <w:rFonts w:ascii="宋体" w:hAnsi="宋体" w:cs="宋体" w:eastAsia="宋体" w:hint="default"/>
          <w:sz w:val="21"/>
          <w:szCs w:val="21"/>
        </w:rPr>
      </w:pPr>
      <w:r>
        <w:rPr>
          <w:rFonts w:ascii="宋体" w:hAnsi="宋体" w:cs="宋体" w:eastAsia="宋体" w:hint="default"/>
          <w:spacing w:val="-5"/>
          <w:sz w:val="21"/>
          <w:szCs w:val="21"/>
        </w:rPr>
        <w:t>资产负债表日，对长期停建并计划在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年内不会重新开工等预计发生减值的在建工程，对</w:t>
      </w:r>
      <w:r>
        <w:rPr>
          <w:rFonts w:ascii="宋体" w:hAnsi="宋体" w:cs="宋体" w:eastAsia="宋体" w:hint="default"/>
          <w:w w:val="100"/>
          <w:sz w:val="21"/>
          <w:szCs w:val="21"/>
        </w:rPr>
        <w:t> </w:t>
      </w:r>
      <w:r>
        <w:rPr>
          <w:rFonts w:ascii="宋体" w:hAnsi="宋体" w:cs="宋体" w:eastAsia="宋体" w:hint="default"/>
          <w:spacing w:val="-5"/>
          <w:sz w:val="21"/>
          <w:szCs w:val="21"/>
        </w:rPr>
        <w:t>可收回金额低于账面价值的部分计提在建工程减值准备。减值准备一旦计提，在以后会计期间</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不予转回。</w:t>
      </w:r>
    </w:p>
    <w:p>
      <w:pPr>
        <w:spacing w:line="240" w:lineRule="auto" w:before="13"/>
        <w:rPr>
          <w:rFonts w:ascii="宋体" w:hAnsi="宋体" w:cs="宋体" w:eastAsia="宋体" w:hint="default"/>
          <w:sz w:val="16"/>
          <w:szCs w:val="16"/>
        </w:rPr>
      </w:pPr>
    </w:p>
    <w:p>
      <w:pPr>
        <w:tabs>
          <w:tab w:pos="1821" w:val="left" w:leader="none"/>
        </w:tabs>
        <w:spacing w:before="0"/>
        <w:ind w:left="561" w:right="0" w:firstLine="0"/>
        <w:jc w:val="left"/>
        <w:rPr>
          <w:rFonts w:ascii="宋体" w:hAnsi="宋体" w:cs="宋体" w:eastAsia="宋体" w:hint="default"/>
          <w:sz w:val="21"/>
          <w:szCs w:val="21"/>
        </w:rPr>
      </w:pPr>
      <w:r>
        <w:rPr>
          <w:rFonts w:ascii="宋体" w:hAnsi="宋体" w:cs="宋体" w:eastAsia="宋体" w:hint="default"/>
          <w:spacing w:val="-1"/>
          <w:sz w:val="21"/>
          <w:szCs w:val="21"/>
        </w:rPr>
        <w:t>（十六）</w:t>
        <w:tab/>
        <w:t>借款费用</w:t>
      </w:r>
    </w:p>
    <w:p>
      <w:pPr>
        <w:spacing w:line="240" w:lineRule="auto" w:before="11"/>
        <w:rPr>
          <w:rFonts w:ascii="宋体" w:hAnsi="宋体" w:cs="宋体" w:eastAsia="宋体" w:hint="default"/>
          <w:sz w:val="24"/>
          <w:szCs w:val="24"/>
        </w:rPr>
      </w:pPr>
    </w:p>
    <w:p>
      <w:pPr>
        <w:spacing w:line="367" w:lineRule="auto" w:before="0"/>
        <w:ind w:left="141" w:right="105" w:firstLine="420"/>
        <w:jc w:val="both"/>
        <w:rPr>
          <w:rFonts w:ascii="宋体" w:hAnsi="宋体" w:cs="宋体" w:eastAsia="宋体" w:hint="default"/>
          <w:sz w:val="21"/>
          <w:szCs w:val="21"/>
        </w:rPr>
      </w:pPr>
      <w:r>
        <w:rPr>
          <w:rFonts w:ascii="宋体" w:hAnsi="宋体" w:cs="宋体" w:eastAsia="宋体" w:hint="default"/>
          <w:spacing w:val="-5"/>
          <w:w w:val="100"/>
          <w:sz w:val="21"/>
          <w:szCs w:val="21"/>
        </w:rPr>
        <w:t>借款费用包括借款账面发生的利息、折价或溢价的摊销和辅助费用以及因外币借款而发生</w:t>
      </w:r>
      <w:r>
        <w:rPr>
          <w:rFonts w:ascii="宋体" w:hAnsi="宋体" w:cs="宋体" w:eastAsia="宋体" w:hint="default"/>
          <w:w w:val="100"/>
          <w:sz w:val="21"/>
          <w:szCs w:val="21"/>
        </w:rPr>
        <w:t> </w:t>
      </w:r>
      <w:r>
        <w:rPr>
          <w:rFonts w:ascii="宋体" w:hAnsi="宋体" w:cs="宋体" w:eastAsia="宋体" w:hint="default"/>
          <w:spacing w:val="-7"/>
          <w:w w:val="99"/>
          <w:sz w:val="21"/>
          <w:szCs w:val="21"/>
        </w:rPr>
        <w:t>的汇兑差额等。公司发生的借款费用，可直接归属于符合资本化条件的资产的购建或者生产的</w:t>
      </w:r>
      <w:r>
        <w:rPr>
          <w:rFonts w:ascii="宋体" w:hAnsi="宋体" w:cs="宋体" w:eastAsia="宋体" w:hint="default"/>
          <w:spacing w:val="-42"/>
          <w:w w:val="99"/>
          <w:sz w:val="21"/>
          <w:szCs w:val="21"/>
        </w:rPr>
        <w:t> </w:t>
      </w:r>
      <w:r>
        <w:rPr>
          <w:rFonts w:ascii="宋体" w:hAnsi="宋体" w:cs="宋体" w:eastAsia="宋体" w:hint="default"/>
          <w:w w:val="75"/>
          <w:sz w:val="21"/>
          <w:szCs w:val="21"/>
        </w:rPr>
        <w:t>，</w:t>
      </w:r>
      <w:r>
        <w:rPr>
          <w:rFonts w:ascii="宋体" w:hAnsi="宋体" w:cs="宋体" w:eastAsia="宋体" w:hint="default"/>
          <w:spacing w:val="-76"/>
          <w:w w:val="75"/>
          <w:sz w:val="21"/>
          <w:szCs w:val="21"/>
        </w:rPr>
        <w:t> </w:t>
      </w:r>
      <w:r>
        <w:rPr>
          <w:rFonts w:ascii="宋体" w:hAnsi="宋体" w:cs="宋体" w:eastAsia="宋体" w:hint="default"/>
          <w:spacing w:val="-76"/>
          <w:w w:val="75"/>
          <w:sz w:val="21"/>
          <w:szCs w:val="21"/>
        </w:rPr>
      </w:r>
      <w:r>
        <w:rPr>
          <w:rFonts w:ascii="宋体" w:hAnsi="宋体" w:cs="宋体" w:eastAsia="宋体" w:hint="default"/>
          <w:spacing w:val="-5"/>
          <w:sz w:val="21"/>
          <w:szCs w:val="21"/>
        </w:rPr>
        <w:t>予以资本化，计入相关资产成本；其他借款费用，在发生时根据其发生额确认为费用，计入当</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期损益。</w:t>
      </w:r>
    </w:p>
    <w:p>
      <w:pPr>
        <w:spacing w:line="240" w:lineRule="auto" w:before="11"/>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．资本化的条件</w:t>
      </w:r>
    </w:p>
    <w:p>
      <w:pPr>
        <w:spacing w:line="240" w:lineRule="auto" w:before="2"/>
        <w:rPr>
          <w:rFonts w:ascii="宋体" w:hAnsi="宋体" w:cs="宋体" w:eastAsia="宋体" w:hint="default"/>
          <w:sz w:val="22"/>
          <w:szCs w:val="22"/>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在同时具备下列三个条件时，借款费用予以资本化：</w:t>
      </w:r>
    </w:p>
    <w:p>
      <w:pPr>
        <w:spacing w:line="240" w:lineRule="auto" w:before="3"/>
        <w:rPr>
          <w:rFonts w:ascii="宋体" w:hAnsi="宋体" w:cs="宋体" w:eastAsia="宋体" w:hint="default"/>
          <w:sz w:val="23"/>
          <w:szCs w:val="23"/>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）为使资产达到预定可使用状态或可销售状态所必要的购建或生产活动已经开始。</w:t>
      </w:r>
    </w:p>
    <w:p>
      <w:pPr>
        <w:spacing w:line="240" w:lineRule="auto" w:before="2"/>
        <w:rPr>
          <w:rFonts w:ascii="宋体" w:hAnsi="宋体" w:cs="宋体" w:eastAsia="宋体" w:hint="default"/>
          <w:sz w:val="22"/>
          <w:szCs w:val="22"/>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．资本化金额的确定</w:t>
      </w:r>
    </w:p>
    <w:p>
      <w:pPr>
        <w:spacing w:line="240" w:lineRule="auto" w:before="13"/>
        <w:rPr>
          <w:rFonts w:ascii="宋体" w:hAnsi="宋体" w:cs="宋体" w:eastAsia="宋体" w:hint="default"/>
          <w:sz w:val="21"/>
          <w:szCs w:val="21"/>
        </w:rPr>
      </w:pPr>
    </w:p>
    <w:p>
      <w:pPr>
        <w:spacing w:line="348" w:lineRule="auto" w:before="0"/>
        <w:ind w:left="141" w:right="157" w:firstLine="420"/>
        <w:jc w:val="both"/>
        <w:rPr>
          <w:rFonts w:ascii="宋体" w:hAnsi="宋体" w:cs="宋体" w:eastAsia="宋体" w:hint="default"/>
          <w:sz w:val="21"/>
          <w:szCs w:val="21"/>
        </w:rPr>
      </w:pPr>
      <w:r>
        <w:rPr>
          <w:rFonts w:ascii="宋体" w:hAnsi="宋体" w:cs="宋体" w:eastAsia="宋体" w:hint="default"/>
          <w:spacing w:val="-5"/>
          <w:w w:val="100"/>
          <w:sz w:val="21"/>
          <w:szCs w:val="21"/>
        </w:rPr>
        <w:t>为购建或者生产符合资本化条件的资产而借入专门借款，以专门借款当期实际发生的利息</w:t>
      </w:r>
      <w:r>
        <w:rPr>
          <w:rFonts w:ascii="宋体" w:hAnsi="宋体" w:cs="宋体" w:eastAsia="宋体" w:hint="default"/>
          <w:w w:val="100"/>
          <w:sz w:val="21"/>
          <w:szCs w:val="21"/>
        </w:rPr>
        <w:t> </w:t>
      </w:r>
      <w:r>
        <w:rPr>
          <w:rFonts w:ascii="宋体" w:hAnsi="宋体" w:cs="宋体" w:eastAsia="宋体" w:hint="default"/>
          <w:spacing w:val="-5"/>
          <w:w w:val="100"/>
          <w:sz w:val="21"/>
          <w:szCs w:val="21"/>
        </w:rPr>
        <w:t>费用，减去将尚未动用的借款资金存入银行取得的利息收入或进行暂时性投资取得收益后的金</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额确定。</w:t>
      </w:r>
    </w:p>
    <w:p>
      <w:pPr>
        <w:spacing w:line="240" w:lineRule="auto" w:before="2"/>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w w:val="100"/>
          <w:sz w:val="21"/>
          <w:szCs w:val="21"/>
        </w:rPr>
        <w:t>为</w:t>
      </w:r>
      <w:r>
        <w:rPr>
          <w:rFonts w:ascii="宋体" w:hAnsi="宋体" w:cs="宋体" w:eastAsia="宋体" w:hint="default"/>
          <w:spacing w:val="-3"/>
          <w:w w:val="100"/>
          <w:sz w:val="21"/>
          <w:szCs w:val="21"/>
        </w:rPr>
        <w:t>购</w:t>
      </w:r>
      <w:r>
        <w:rPr>
          <w:rFonts w:ascii="宋体" w:hAnsi="宋体" w:cs="宋体" w:eastAsia="宋体" w:hint="default"/>
          <w:w w:val="100"/>
          <w:sz w:val="21"/>
          <w:szCs w:val="21"/>
        </w:rPr>
        <w:t>建</w:t>
      </w:r>
      <w:r>
        <w:rPr>
          <w:rFonts w:ascii="宋体" w:hAnsi="宋体" w:cs="宋体" w:eastAsia="宋体" w:hint="default"/>
          <w:spacing w:val="-3"/>
          <w:w w:val="100"/>
          <w:sz w:val="21"/>
          <w:szCs w:val="21"/>
        </w:rPr>
        <w:t>或</w:t>
      </w:r>
      <w:r>
        <w:rPr>
          <w:rFonts w:ascii="宋体" w:hAnsi="宋体" w:cs="宋体" w:eastAsia="宋体" w:hint="default"/>
          <w:w w:val="100"/>
          <w:sz w:val="21"/>
          <w:szCs w:val="21"/>
        </w:rPr>
        <w:t>者</w:t>
      </w:r>
      <w:r>
        <w:rPr>
          <w:rFonts w:ascii="宋体" w:hAnsi="宋体" w:cs="宋体" w:eastAsia="宋体" w:hint="default"/>
          <w:spacing w:val="-3"/>
          <w:w w:val="100"/>
          <w:sz w:val="21"/>
          <w:szCs w:val="21"/>
        </w:rPr>
        <w:t>生</w:t>
      </w:r>
      <w:r>
        <w:rPr>
          <w:rFonts w:ascii="宋体" w:hAnsi="宋体" w:cs="宋体" w:eastAsia="宋体" w:hint="default"/>
          <w:w w:val="100"/>
          <w:sz w:val="21"/>
          <w:szCs w:val="21"/>
        </w:rPr>
        <w:t>产</w:t>
      </w:r>
      <w:r>
        <w:rPr>
          <w:rFonts w:ascii="宋体" w:hAnsi="宋体" w:cs="宋体" w:eastAsia="宋体" w:hint="default"/>
          <w:spacing w:val="-3"/>
          <w:w w:val="100"/>
          <w:sz w:val="21"/>
          <w:szCs w:val="21"/>
        </w:rPr>
        <w:t>符</w:t>
      </w:r>
      <w:r>
        <w:rPr>
          <w:rFonts w:ascii="宋体" w:hAnsi="宋体" w:cs="宋体" w:eastAsia="宋体" w:hint="default"/>
          <w:w w:val="100"/>
          <w:sz w:val="21"/>
          <w:szCs w:val="21"/>
        </w:rPr>
        <w:t>合</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化</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的</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而</w:t>
      </w:r>
      <w:r>
        <w:rPr>
          <w:rFonts w:ascii="宋体" w:hAnsi="宋体" w:cs="宋体" w:eastAsia="宋体" w:hint="default"/>
          <w:w w:val="100"/>
          <w:sz w:val="21"/>
          <w:szCs w:val="21"/>
        </w:rPr>
        <w:t>占</w:t>
      </w:r>
      <w:r>
        <w:rPr>
          <w:rFonts w:ascii="宋体" w:hAnsi="宋体" w:cs="宋体" w:eastAsia="宋体" w:hint="default"/>
          <w:spacing w:val="-3"/>
          <w:w w:val="100"/>
          <w:sz w:val="21"/>
          <w:szCs w:val="21"/>
        </w:rPr>
        <w:t>用</w:t>
      </w:r>
      <w:r>
        <w:rPr>
          <w:rFonts w:ascii="宋体" w:hAnsi="宋体" w:cs="宋体" w:eastAsia="宋体" w:hint="default"/>
          <w:w w:val="100"/>
          <w:sz w:val="21"/>
          <w:szCs w:val="21"/>
        </w:rPr>
        <w:t>一</w:t>
      </w:r>
      <w:r>
        <w:rPr>
          <w:rFonts w:ascii="宋体" w:hAnsi="宋体" w:cs="宋体" w:eastAsia="宋体" w:hint="default"/>
          <w:spacing w:val="-3"/>
          <w:w w:val="100"/>
          <w:sz w:val="21"/>
          <w:szCs w:val="21"/>
        </w:rPr>
        <w:t>般</w:t>
      </w:r>
      <w:r>
        <w:rPr>
          <w:rFonts w:ascii="宋体" w:hAnsi="宋体" w:cs="宋体" w:eastAsia="宋体" w:hint="default"/>
          <w:w w:val="100"/>
          <w:sz w:val="21"/>
          <w:szCs w:val="21"/>
        </w:rPr>
        <w:t>借</w:t>
      </w:r>
      <w:r>
        <w:rPr>
          <w:rFonts w:ascii="宋体" w:hAnsi="宋体" w:cs="宋体" w:eastAsia="宋体" w:hint="default"/>
          <w:spacing w:val="-3"/>
          <w:w w:val="100"/>
          <w:sz w:val="21"/>
          <w:szCs w:val="21"/>
        </w:rPr>
        <w:t>款</w:t>
      </w:r>
      <w:r>
        <w:rPr>
          <w:rFonts w:ascii="宋体" w:hAnsi="宋体" w:cs="宋体" w:eastAsia="宋体" w:hint="default"/>
          <w:w w:val="100"/>
          <w:sz w:val="21"/>
          <w:szCs w:val="21"/>
        </w:rPr>
        <w:t>的</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累</w:t>
      </w:r>
      <w:r>
        <w:rPr>
          <w:rFonts w:ascii="宋体" w:hAnsi="宋体" w:cs="宋体" w:eastAsia="宋体" w:hint="default"/>
          <w:w w:val="100"/>
          <w:sz w:val="21"/>
          <w:szCs w:val="21"/>
        </w:rPr>
        <w:t>计</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支</w:t>
      </w:r>
      <w:r>
        <w:rPr>
          <w:rFonts w:ascii="宋体" w:hAnsi="宋体" w:cs="宋体" w:eastAsia="宋体" w:hint="default"/>
          <w:w w:val="100"/>
          <w:sz w:val="21"/>
          <w:szCs w:val="21"/>
        </w:rPr>
        <w:t>出</w:t>
      </w:r>
      <w:r>
        <w:rPr>
          <w:rFonts w:ascii="宋体" w:hAnsi="宋体" w:cs="宋体" w:eastAsia="宋体" w:hint="default"/>
          <w:spacing w:val="-3"/>
          <w:w w:val="100"/>
          <w:sz w:val="21"/>
          <w:szCs w:val="21"/>
        </w:rPr>
        <w:t>超</w:t>
      </w:r>
      <w:r>
        <w:rPr>
          <w:rFonts w:ascii="宋体" w:hAnsi="宋体" w:cs="宋体" w:eastAsia="宋体" w:hint="default"/>
          <w:w w:val="100"/>
          <w:sz w:val="21"/>
          <w:szCs w:val="21"/>
        </w:rPr>
        <w:t>过</w:t>
      </w:r>
      <w:r>
        <w:rPr>
          <w:rFonts w:ascii="宋体" w:hAnsi="宋体" w:cs="宋体" w:eastAsia="宋体" w:hint="default"/>
          <w:spacing w:val="-3"/>
          <w:w w:val="100"/>
          <w:sz w:val="21"/>
          <w:szCs w:val="21"/>
        </w:rPr>
        <w:t>专门</w:t>
      </w:r>
      <w:r>
        <w:rPr>
          <w:rFonts w:ascii="宋体" w:hAnsi="宋体" w:cs="宋体" w:eastAsia="宋体" w:hint="default"/>
          <w:w w:val="100"/>
          <w:sz w:val="21"/>
          <w:szCs w:val="21"/>
        </w:rPr>
        <w:t>借</w:t>
      </w:r>
    </w:p>
    <w:p>
      <w:pPr>
        <w:spacing w:after="0"/>
        <w:jc w:val="left"/>
        <w:rPr>
          <w:rFonts w:ascii="宋体" w:hAnsi="宋体" w:cs="宋体" w:eastAsia="宋体" w:hint="default"/>
          <w:sz w:val="21"/>
          <w:szCs w:val="21"/>
        </w:rPr>
        <w:sectPr>
          <w:pgSz w:w="11910" w:h="16840"/>
          <w:pgMar w:header="943" w:footer="897" w:top="1640" w:bottom="1080" w:left="1560" w:right="1540"/>
        </w:sectPr>
      </w:pPr>
    </w:p>
    <w:p>
      <w:pPr>
        <w:spacing w:line="240" w:lineRule="auto" w:before="11"/>
        <w:rPr>
          <w:rFonts w:ascii="宋体" w:hAnsi="宋体" w:cs="宋体" w:eastAsia="宋体" w:hint="default"/>
          <w:sz w:val="18"/>
          <w:szCs w:val="18"/>
        </w:rPr>
      </w:pPr>
    </w:p>
    <w:p>
      <w:pPr>
        <w:spacing w:line="350" w:lineRule="auto" w:before="36"/>
        <w:ind w:left="141" w:right="0" w:firstLine="0"/>
        <w:jc w:val="left"/>
        <w:rPr>
          <w:rFonts w:ascii="宋体" w:hAnsi="宋体" w:cs="宋体" w:eastAsia="宋体" w:hint="default"/>
          <w:sz w:val="21"/>
          <w:szCs w:val="21"/>
        </w:rPr>
      </w:pPr>
      <w:r>
        <w:rPr>
          <w:rFonts w:ascii="宋体" w:hAnsi="宋体" w:cs="宋体" w:eastAsia="宋体" w:hint="default"/>
          <w:spacing w:val="-5"/>
          <w:w w:val="100"/>
          <w:sz w:val="21"/>
          <w:szCs w:val="21"/>
        </w:rPr>
        <w:t>款部分的资产支出加权平均数乘以所占用一般借款的资本化率，计算确定一般借款予以资本化</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的利息金额。资本化率根据一般借款加权平均利率计算确定。</w:t>
      </w:r>
    </w:p>
    <w:p>
      <w:pPr>
        <w:spacing w:line="240" w:lineRule="auto" w:before="11"/>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．暂停资本化</w:t>
      </w:r>
    </w:p>
    <w:p>
      <w:pPr>
        <w:spacing w:line="240" w:lineRule="auto" w:before="2"/>
        <w:rPr>
          <w:rFonts w:ascii="宋体" w:hAnsi="宋体" w:cs="宋体" w:eastAsia="宋体" w:hint="default"/>
          <w:sz w:val="22"/>
          <w:szCs w:val="22"/>
        </w:rPr>
      </w:pPr>
    </w:p>
    <w:p>
      <w:pPr>
        <w:spacing w:line="338"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4"/>
          <w:sz w:val="21"/>
          <w:szCs w:val="21"/>
        </w:rPr>
        <w:t>若固定资产的购建活动发生非正常中断，且时间连续超过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个月，则暂停借款费用的资本</w:t>
      </w:r>
      <w:r>
        <w:rPr>
          <w:rFonts w:ascii="宋体" w:hAnsi="宋体" w:cs="宋体" w:eastAsia="宋体" w:hint="default"/>
          <w:w w:val="100"/>
          <w:sz w:val="21"/>
          <w:szCs w:val="21"/>
        </w:rPr>
        <w:t> </w:t>
      </w:r>
      <w:r>
        <w:rPr>
          <w:rFonts w:ascii="宋体" w:hAnsi="宋体" w:cs="宋体" w:eastAsia="宋体" w:hint="default"/>
          <w:spacing w:val="-5"/>
          <w:sz w:val="21"/>
          <w:szCs w:val="21"/>
        </w:rPr>
        <w:t>化，将其确认为当期费用，直至资产的购建活动重新开始。如果中断是该资产达到预定可使用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状态或者可销售状态必要的程序，借款费用不暂停资本化。</w:t>
      </w:r>
    </w:p>
    <w:p>
      <w:pPr>
        <w:spacing w:line="240" w:lineRule="auto" w:before="8"/>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．停止资本化</w:t>
      </w:r>
    </w:p>
    <w:p>
      <w:pPr>
        <w:spacing w:line="240" w:lineRule="auto" w:before="13"/>
        <w:rPr>
          <w:rFonts w:ascii="宋体" w:hAnsi="宋体" w:cs="宋体" w:eastAsia="宋体" w:hint="default"/>
          <w:sz w:val="21"/>
          <w:szCs w:val="21"/>
        </w:rPr>
      </w:pPr>
    </w:p>
    <w:p>
      <w:pPr>
        <w:spacing w:line="350" w:lineRule="auto" w:before="0"/>
        <w:ind w:left="141" w:right="0" w:firstLine="420"/>
        <w:jc w:val="left"/>
        <w:rPr>
          <w:rFonts w:ascii="宋体" w:hAnsi="宋体" w:cs="宋体" w:eastAsia="宋体" w:hint="default"/>
          <w:sz w:val="21"/>
          <w:szCs w:val="21"/>
        </w:rPr>
      </w:pPr>
      <w:r>
        <w:rPr>
          <w:rFonts w:ascii="宋体" w:hAnsi="宋体" w:cs="宋体" w:eastAsia="宋体" w:hint="default"/>
          <w:spacing w:val="-2"/>
          <w:sz w:val="21"/>
          <w:szCs w:val="21"/>
        </w:rPr>
        <w:t>当所购建的固定资产达到预定可使用状态或者可销售状态时，停止其借款费用的资本化，</w:t>
      </w:r>
      <w:r>
        <w:rPr>
          <w:rFonts w:ascii="宋体" w:hAnsi="宋体" w:cs="宋体" w:eastAsia="宋体" w:hint="default"/>
          <w:w w:val="100"/>
          <w:sz w:val="21"/>
          <w:szCs w:val="21"/>
        </w:rPr>
        <w:t> </w:t>
      </w:r>
      <w:r>
        <w:rPr>
          <w:rFonts w:ascii="宋体" w:hAnsi="宋体" w:cs="宋体" w:eastAsia="宋体" w:hint="default"/>
          <w:sz w:val="21"/>
          <w:szCs w:val="21"/>
        </w:rPr>
        <w:t>以后发生的借款费用于发生当期确认费用。</w:t>
      </w:r>
    </w:p>
    <w:p>
      <w:pPr>
        <w:spacing w:line="240" w:lineRule="auto" w:before="11"/>
        <w:rPr>
          <w:rFonts w:ascii="宋体" w:hAnsi="宋体" w:cs="宋体" w:eastAsia="宋体" w:hint="default"/>
          <w:sz w:val="15"/>
          <w:szCs w:val="15"/>
        </w:rPr>
      </w:pPr>
    </w:p>
    <w:p>
      <w:pPr>
        <w:tabs>
          <w:tab w:pos="1821" w:val="left" w:leader="none"/>
        </w:tabs>
        <w:spacing w:line="506" w:lineRule="auto" w:before="0"/>
        <w:ind w:left="561" w:right="1475" w:firstLine="0"/>
        <w:jc w:val="left"/>
        <w:rPr>
          <w:rFonts w:ascii="宋体" w:hAnsi="宋体" w:cs="宋体" w:eastAsia="宋体" w:hint="default"/>
          <w:sz w:val="21"/>
          <w:szCs w:val="21"/>
        </w:rPr>
      </w:pPr>
      <w:r>
        <w:rPr>
          <w:rFonts w:ascii="宋体" w:hAnsi="宋体" w:cs="宋体" w:eastAsia="宋体" w:hint="default"/>
          <w:spacing w:val="-1"/>
          <w:sz w:val="21"/>
          <w:szCs w:val="21"/>
        </w:rPr>
        <w:t>（十七）</w:t>
        <w:tab/>
        <w:t>生物资产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本公司生物资产分为消耗性生物资产和生产性生物资产，为生猪及种猪。</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．生物资产的初始计量</w:t>
      </w:r>
    </w:p>
    <w:p>
      <w:pPr>
        <w:spacing w:before="29"/>
        <w:ind w:left="561" w:right="0" w:firstLine="0"/>
        <w:jc w:val="left"/>
        <w:rPr>
          <w:rFonts w:ascii="宋体" w:hAnsi="宋体" w:cs="宋体" w:eastAsia="宋体" w:hint="default"/>
          <w:sz w:val="21"/>
          <w:szCs w:val="21"/>
        </w:rPr>
      </w:pPr>
      <w:r>
        <w:rPr>
          <w:rFonts w:ascii="宋体" w:hAnsi="宋体" w:cs="宋体" w:eastAsia="宋体" w:hint="default"/>
          <w:sz w:val="21"/>
          <w:szCs w:val="21"/>
        </w:rPr>
        <w:t>生物资产按照成本进行初始计量</w:t>
      </w:r>
      <w:r>
        <w:rPr>
          <w:rFonts w:ascii="宋体" w:hAnsi="宋体" w:cs="宋体" w:eastAsia="宋体" w:hint="default"/>
          <w:sz w:val="21"/>
          <w:szCs w:val="21"/>
        </w:rPr>
        <w:t>。</w:t>
      </w:r>
    </w:p>
    <w:p>
      <w:pPr>
        <w:spacing w:line="240" w:lineRule="auto" w:before="10"/>
        <w:rPr>
          <w:rFonts w:ascii="宋体" w:hAnsi="宋体" w:cs="宋体" w:eastAsia="宋体" w:hint="default"/>
          <w:sz w:val="25"/>
          <w:szCs w:val="25"/>
        </w:rPr>
      </w:pPr>
    </w:p>
    <w:p>
      <w:pPr>
        <w:spacing w:line="362"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）外购生物资产的成本，包括购买价款、相关税费、运输费、保险费以及可直接归属</w:t>
      </w:r>
      <w:r>
        <w:rPr>
          <w:rFonts w:ascii="宋体" w:hAnsi="宋体" w:cs="宋体" w:eastAsia="宋体" w:hint="default"/>
          <w:w w:val="100"/>
          <w:sz w:val="21"/>
          <w:szCs w:val="21"/>
        </w:rPr>
        <w:t> </w:t>
      </w:r>
      <w:r>
        <w:rPr>
          <w:rFonts w:ascii="宋体" w:hAnsi="宋体" w:cs="宋体" w:eastAsia="宋体" w:hint="default"/>
          <w:sz w:val="21"/>
          <w:szCs w:val="21"/>
        </w:rPr>
        <w:t>于购买该资产的其他支出；</w:t>
      </w:r>
    </w:p>
    <w:p>
      <w:pPr>
        <w:spacing w:line="240" w:lineRule="auto" w:before="2"/>
        <w:rPr>
          <w:rFonts w:ascii="宋体" w:hAnsi="宋体" w:cs="宋体" w:eastAsia="宋体" w:hint="default"/>
          <w:sz w:val="18"/>
          <w:szCs w:val="18"/>
        </w:rPr>
      </w:pPr>
    </w:p>
    <w:p>
      <w:pPr>
        <w:spacing w:line="362" w:lineRule="auto" w:before="0"/>
        <w:ind w:left="141" w:right="215" w:firstLine="398"/>
        <w:jc w:val="both"/>
        <w:rPr>
          <w:rFonts w:ascii="宋体" w:hAnsi="宋体" w:cs="宋体" w:eastAsia="宋体" w:hint="default"/>
          <w:sz w:val="21"/>
          <w:szCs w:val="21"/>
        </w:rPr>
      </w:pPr>
      <w:r>
        <w:rPr>
          <w:rFonts w:ascii="宋体" w:hAnsi="宋体" w:cs="宋体" w:eastAsia="宋体" w:hint="default"/>
          <w:spacing w:val="-4"/>
          <w:w w:val="95"/>
          <w:sz w:val="21"/>
          <w:szCs w:val="21"/>
        </w:rPr>
        <w:t>（</w:t>
      </w:r>
      <w:r>
        <w:rPr>
          <w:rFonts w:ascii="Times New Roman" w:hAnsi="Times New Roman" w:cs="Times New Roman" w:eastAsia="Times New Roman" w:hint="default"/>
          <w:spacing w:val="-4"/>
          <w:w w:val="95"/>
          <w:sz w:val="21"/>
          <w:szCs w:val="21"/>
        </w:rPr>
        <w:t>2</w:t>
      </w:r>
      <w:r>
        <w:rPr>
          <w:rFonts w:ascii="宋体" w:hAnsi="宋体" w:cs="宋体" w:eastAsia="宋体" w:hint="default"/>
          <w:spacing w:val="-4"/>
          <w:w w:val="95"/>
          <w:sz w:val="21"/>
          <w:szCs w:val="21"/>
        </w:rPr>
        <w:t>）自行种植、繁殖或养殖的消耗性生物资产的成本包括收获（出售）前发生的材料费、</w:t>
      </w:r>
      <w:r>
        <w:rPr>
          <w:rFonts w:ascii="宋体" w:hAnsi="宋体" w:cs="宋体" w:eastAsia="宋体" w:hint="default"/>
          <w:w w:val="51"/>
          <w:sz w:val="21"/>
          <w:szCs w:val="21"/>
        </w:rPr>
        <w:t> </w:t>
      </w:r>
      <w:r>
        <w:rPr>
          <w:rFonts w:ascii="宋体" w:hAnsi="宋体" w:cs="宋体" w:eastAsia="宋体" w:hint="default"/>
          <w:sz w:val="21"/>
          <w:szCs w:val="21"/>
        </w:rPr>
        <w:t>饲料费、人工费和应分摊的间接费用等必要支出；</w:t>
      </w:r>
    </w:p>
    <w:p>
      <w:pPr>
        <w:spacing w:line="240" w:lineRule="auto" w:before="2"/>
        <w:rPr>
          <w:rFonts w:ascii="宋体" w:hAnsi="宋体" w:cs="宋体" w:eastAsia="宋体" w:hint="default"/>
          <w:sz w:val="18"/>
          <w:szCs w:val="18"/>
        </w:rPr>
      </w:pPr>
    </w:p>
    <w:p>
      <w:pPr>
        <w:spacing w:line="374"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）自行种植、繁殖或养殖的生产性生物资产的成本包括达到预定生产经营目的前发生</w:t>
      </w:r>
      <w:r>
        <w:rPr>
          <w:rFonts w:ascii="宋体" w:hAnsi="宋体" w:cs="宋体" w:eastAsia="宋体" w:hint="default"/>
          <w:w w:val="100"/>
          <w:sz w:val="21"/>
          <w:szCs w:val="21"/>
        </w:rPr>
        <w:t> </w:t>
      </w:r>
      <w:r>
        <w:rPr>
          <w:rFonts w:ascii="宋体" w:hAnsi="宋体" w:cs="宋体" w:eastAsia="宋体" w:hint="default"/>
          <w:spacing w:val="-5"/>
          <w:sz w:val="21"/>
          <w:szCs w:val="21"/>
        </w:rPr>
        <w:t>的材料费、饲料费、人工费和应分摊的间接费用等必要支出。达到预定生产经营目的，是指生</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产性生物资产进入正常生产期，可以多年连续稳定产出产品、提供劳务或出租；</w:t>
      </w:r>
    </w:p>
    <w:p>
      <w:pPr>
        <w:spacing w:line="240" w:lineRule="auto" w:before="4"/>
        <w:rPr>
          <w:rFonts w:ascii="宋体" w:hAnsi="宋体" w:cs="宋体" w:eastAsia="宋体" w:hint="default"/>
          <w:sz w:val="17"/>
          <w:szCs w:val="17"/>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）应计入生物资产成本的借款费用，按照借款费用的相关规定处理；</w:t>
      </w:r>
    </w:p>
    <w:p>
      <w:pPr>
        <w:spacing w:line="240" w:lineRule="auto" w:before="1"/>
        <w:rPr>
          <w:rFonts w:ascii="宋体" w:hAnsi="宋体" w:cs="宋体" w:eastAsia="宋体" w:hint="default"/>
          <w:sz w:val="25"/>
          <w:szCs w:val="25"/>
        </w:rPr>
      </w:pPr>
    </w:p>
    <w:p>
      <w:pPr>
        <w:spacing w:line="362"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）投资者投入的生物资产的成本，按照投资合同或协议约定的价值确定，但合同或协</w:t>
      </w:r>
      <w:r>
        <w:rPr>
          <w:rFonts w:ascii="宋体" w:hAnsi="宋体" w:cs="宋体" w:eastAsia="宋体" w:hint="default"/>
          <w:w w:val="100"/>
          <w:sz w:val="21"/>
          <w:szCs w:val="21"/>
        </w:rPr>
        <w:t> </w:t>
      </w:r>
      <w:r>
        <w:rPr>
          <w:rFonts w:ascii="宋体" w:hAnsi="宋体" w:cs="宋体" w:eastAsia="宋体" w:hint="default"/>
          <w:sz w:val="21"/>
          <w:szCs w:val="21"/>
        </w:rPr>
        <w:t>议约定价值不公允的除外；</w:t>
      </w:r>
    </w:p>
    <w:p>
      <w:pPr>
        <w:spacing w:line="240" w:lineRule="auto" w:before="2"/>
        <w:rPr>
          <w:rFonts w:ascii="宋体" w:hAnsi="宋体" w:cs="宋体" w:eastAsia="宋体" w:hint="default"/>
          <w:sz w:val="18"/>
          <w:szCs w:val="18"/>
        </w:rPr>
      </w:pPr>
    </w:p>
    <w:p>
      <w:pPr>
        <w:spacing w:line="362"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）生物资产在达到预定生产经营目的后发生的管护、饲养费用等后续支出，计入当期</w:t>
      </w:r>
      <w:r>
        <w:rPr>
          <w:rFonts w:ascii="宋体" w:hAnsi="宋体" w:cs="宋体" w:eastAsia="宋体" w:hint="default"/>
          <w:w w:val="100"/>
          <w:sz w:val="21"/>
          <w:szCs w:val="21"/>
        </w:rPr>
        <w:t> </w:t>
      </w:r>
      <w:r>
        <w:rPr>
          <w:rFonts w:ascii="宋体" w:hAnsi="宋体" w:cs="宋体" w:eastAsia="宋体" w:hint="default"/>
          <w:sz w:val="21"/>
          <w:szCs w:val="21"/>
        </w:rPr>
        <w:t>损益。</w:t>
      </w:r>
    </w:p>
    <w:p>
      <w:pPr>
        <w:spacing w:after="0" w:line="362" w:lineRule="auto"/>
        <w:jc w:val="both"/>
        <w:rPr>
          <w:rFonts w:ascii="宋体" w:hAnsi="宋体" w:cs="宋体" w:eastAsia="宋体" w:hint="default"/>
          <w:sz w:val="21"/>
          <w:szCs w:val="21"/>
        </w:rPr>
        <w:sectPr>
          <w:footerReference w:type="default" r:id="rId156"/>
          <w:pgSz w:w="11910" w:h="16840"/>
          <w:pgMar w:footer="897" w:header="943" w:top="1640" w:bottom="1080" w:left="1560" w:right="1480"/>
          <w:pgNumType w:start="130"/>
        </w:sectPr>
      </w:pPr>
    </w:p>
    <w:p>
      <w:pPr>
        <w:spacing w:line="240" w:lineRule="auto" w:before="5"/>
        <w:rPr>
          <w:rFonts w:ascii="宋体" w:hAnsi="宋体" w:cs="宋体" w:eastAsia="宋体" w:hint="default"/>
          <w:sz w:val="21"/>
          <w:szCs w:val="21"/>
        </w:rPr>
      </w:pPr>
    </w:p>
    <w:p>
      <w:pPr>
        <w:spacing w:before="36"/>
        <w:ind w:left="667"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．生物资产的后续计量</w:t>
      </w:r>
    </w:p>
    <w:p>
      <w:pPr>
        <w:spacing w:line="240" w:lineRule="auto" w:before="1"/>
        <w:rPr>
          <w:rFonts w:ascii="宋体" w:hAnsi="宋体" w:cs="宋体" w:eastAsia="宋体" w:hint="default"/>
          <w:sz w:val="25"/>
          <w:szCs w:val="25"/>
        </w:rPr>
      </w:pPr>
    </w:p>
    <w:p>
      <w:pPr>
        <w:spacing w:line="362"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）本公司对达到预定生长经营目的的生产性生物资产，按期计提折旧，并根据用途分</w:t>
      </w:r>
      <w:r>
        <w:rPr>
          <w:rFonts w:ascii="宋体" w:hAnsi="宋体" w:cs="宋体" w:eastAsia="宋体" w:hint="default"/>
          <w:w w:val="100"/>
          <w:sz w:val="21"/>
          <w:szCs w:val="21"/>
        </w:rPr>
        <w:t> </w:t>
      </w:r>
      <w:r>
        <w:rPr>
          <w:rFonts w:ascii="宋体" w:hAnsi="宋体" w:cs="宋体" w:eastAsia="宋体" w:hint="default"/>
          <w:sz w:val="21"/>
          <w:szCs w:val="21"/>
        </w:rPr>
        <w:t>别计入相关资产的成本或当期损益；</w:t>
      </w:r>
    </w:p>
    <w:p>
      <w:pPr>
        <w:spacing w:line="240" w:lineRule="auto" w:before="2"/>
        <w:rPr>
          <w:rFonts w:ascii="宋体" w:hAnsi="宋体" w:cs="宋体" w:eastAsia="宋体" w:hint="default"/>
          <w:sz w:val="18"/>
          <w:szCs w:val="18"/>
        </w:rPr>
      </w:pPr>
    </w:p>
    <w:p>
      <w:pPr>
        <w:spacing w:line="369" w:lineRule="auto" w:before="0"/>
        <w:ind w:left="141" w:right="11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）本公司生产性生物资产为种猪，采用平均年限法计提折旧，预计净残值为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w w:val="75"/>
          <w:sz w:val="21"/>
          <w:szCs w:val="21"/>
        </w:rPr>
        <w:t> </w:t>
      </w:r>
      <w:r>
        <w:rPr>
          <w:rFonts w:ascii="宋体" w:hAnsi="宋体" w:cs="宋体" w:eastAsia="宋体" w:hint="default"/>
          <w:sz w:val="21"/>
          <w:szCs w:val="21"/>
        </w:rPr>
        <w:t>预计使用寿命为</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spacing w:val="-5"/>
          <w:sz w:val="21"/>
          <w:szCs w:val="21"/>
        </w:rPr>
        <w:t>年。当本公司在年度终了对生产性生物资产的使用寿命、预计净残值和折旧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sz w:val="21"/>
          <w:szCs w:val="21"/>
        </w:rPr>
        <w:t>方法进行复核后，发现其使用寿命或预计净残值的预期数与原先估计数有差异的，或者有关经</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济利益预期实现方式有重大改变的，将调整其使用寿命或预计净残值；</w:t>
      </w:r>
    </w:p>
    <w:p>
      <w:pPr>
        <w:spacing w:line="240" w:lineRule="auto" w:before="1"/>
        <w:rPr>
          <w:rFonts w:ascii="宋体" w:hAnsi="宋体" w:cs="宋体" w:eastAsia="宋体" w:hint="default"/>
          <w:sz w:val="15"/>
          <w:szCs w:val="15"/>
        </w:rPr>
      </w:pPr>
    </w:p>
    <w:p>
      <w:pPr>
        <w:spacing w:line="328"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）本公司于每年年度终了对消耗性生物资产和生产性生物资产进行检查，有确凿证据</w:t>
      </w:r>
      <w:r>
        <w:rPr>
          <w:rFonts w:ascii="宋体" w:hAnsi="宋体" w:cs="宋体" w:eastAsia="宋体" w:hint="default"/>
          <w:w w:val="100"/>
          <w:sz w:val="21"/>
          <w:szCs w:val="21"/>
        </w:rPr>
        <w:t> </w:t>
      </w:r>
      <w:r>
        <w:rPr>
          <w:rFonts w:ascii="宋体" w:hAnsi="宋体" w:cs="宋体" w:eastAsia="宋体" w:hint="default"/>
          <w:spacing w:val="-5"/>
          <w:sz w:val="21"/>
          <w:szCs w:val="21"/>
        </w:rPr>
        <w:t>表明由于遭受自然灾害、病虫害、动物疫病侵袭或市场需求变化等原因，使消耗性生物资产的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w w:val="100"/>
          <w:sz w:val="21"/>
          <w:szCs w:val="21"/>
        </w:rPr>
        <w:t>可变现净值或生产性生物资产的可收回金额低于其账面价值的，按照可变现净值或可收回金额</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pacing w:val="-5"/>
          <w:sz w:val="21"/>
          <w:szCs w:val="21"/>
        </w:rPr>
        <w:t>低于账面价值的差额，计提生物资产跌价准备或减值准备，并计入当期损益。当消耗性生物资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产减值的影响因素已经消失的，减记金额予以恢复，并在原已计提的跌价准备金额内转回，转</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回的金额计入当期损益。生产性生物资产减值准备一经计提，不再转回。</w:t>
      </w:r>
    </w:p>
    <w:p>
      <w:pPr>
        <w:spacing w:line="240" w:lineRule="auto" w:before="10"/>
        <w:rPr>
          <w:rFonts w:ascii="宋体" w:hAnsi="宋体" w:cs="宋体" w:eastAsia="宋体" w:hint="default"/>
          <w:sz w:val="15"/>
          <w:szCs w:val="15"/>
        </w:rPr>
      </w:pPr>
    </w:p>
    <w:p>
      <w:pPr>
        <w:spacing w:before="0"/>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w:t>
      </w:r>
    </w:p>
    <w:p>
      <w:pPr>
        <w:spacing w:line="240" w:lineRule="auto" w:before="7"/>
        <w:rPr>
          <w:rFonts w:ascii="宋体" w:hAnsi="宋体" w:cs="宋体" w:eastAsia="宋体" w:hint="default"/>
          <w:sz w:val="20"/>
          <w:szCs w:val="20"/>
        </w:rPr>
      </w:pPr>
    </w:p>
    <w:p>
      <w:pPr>
        <w:spacing w:line="312"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）对于消耗性生物资产，在出售时，按照其账面价值结转成本。结转成本的方法为加</w:t>
      </w:r>
      <w:r>
        <w:rPr>
          <w:rFonts w:ascii="宋体" w:hAnsi="宋体" w:cs="宋体" w:eastAsia="宋体" w:hint="default"/>
          <w:w w:val="100"/>
          <w:sz w:val="21"/>
          <w:szCs w:val="21"/>
        </w:rPr>
        <w:t> </w:t>
      </w:r>
      <w:r>
        <w:rPr>
          <w:rFonts w:ascii="宋体" w:hAnsi="宋体" w:cs="宋体" w:eastAsia="宋体" w:hint="default"/>
          <w:sz w:val="21"/>
          <w:szCs w:val="21"/>
        </w:rPr>
        <w:t>权平均法；</w:t>
      </w:r>
    </w:p>
    <w:p>
      <w:pPr>
        <w:spacing w:line="240" w:lineRule="auto" w:before="12"/>
        <w:rPr>
          <w:rFonts w:ascii="宋体" w:hAnsi="宋体" w:cs="宋体" w:eastAsia="宋体" w:hint="default"/>
          <w:sz w:val="16"/>
          <w:szCs w:val="16"/>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）生物资产改变用途后的成本，按照改变用途时的账面价值确定；</w:t>
      </w:r>
    </w:p>
    <w:p>
      <w:pPr>
        <w:spacing w:line="240" w:lineRule="auto" w:before="7"/>
        <w:rPr>
          <w:rFonts w:ascii="宋体" w:hAnsi="宋体" w:cs="宋体" w:eastAsia="宋体" w:hint="default"/>
          <w:sz w:val="20"/>
          <w:szCs w:val="20"/>
        </w:rPr>
      </w:pPr>
    </w:p>
    <w:p>
      <w:pPr>
        <w:spacing w:line="312"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）生物资产出售、盘亏或死亡、毁损时，将处置收入扣除其账面价值和相关税费后的</w:t>
      </w:r>
      <w:r>
        <w:rPr>
          <w:rFonts w:ascii="宋体" w:hAnsi="宋体" w:cs="宋体" w:eastAsia="宋体" w:hint="default"/>
          <w:w w:val="100"/>
          <w:sz w:val="21"/>
          <w:szCs w:val="21"/>
        </w:rPr>
        <w:t> </w:t>
      </w:r>
      <w:r>
        <w:rPr>
          <w:rFonts w:ascii="宋体" w:hAnsi="宋体" w:cs="宋体" w:eastAsia="宋体" w:hint="default"/>
          <w:sz w:val="21"/>
          <w:szCs w:val="21"/>
        </w:rPr>
        <w:t>余额计入当期损益。</w:t>
      </w:r>
    </w:p>
    <w:p>
      <w:pPr>
        <w:spacing w:line="240" w:lineRule="auto" w:before="12"/>
        <w:rPr>
          <w:rFonts w:ascii="宋体" w:hAnsi="宋体" w:cs="宋体" w:eastAsia="宋体" w:hint="default"/>
          <w:sz w:val="16"/>
          <w:szCs w:val="16"/>
        </w:rPr>
      </w:pPr>
    </w:p>
    <w:p>
      <w:pPr>
        <w:tabs>
          <w:tab w:pos="1821" w:val="left" w:leader="none"/>
        </w:tabs>
        <w:spacing w:line="487" w:lineRule="auto" w:before="0"/>
        <w:ind w:left="561" w:right="1712" w:firstLine="0"/>
        <w:jc w:val="left"/>
        <w:rPr>
          <w:rFonts w:ascii="宋体" w:hAnsi="宋体" w:cs="宋体" w:eastAsia="宋体" w:hint="default"/>
          <w:sz w:val="21"/>
          <w:szCs w:val="21"/>
        </w:rPr>
      </w:pPr>
      <w:r>
        <w:rPr>
          <w:rFonts w:ascii="宋体" w:hAnsi="宋体" w:cs="宋体" w:eastAsia="宋体" w:hint="default"/>
          <w:spacing w:val="-1"/>
          <w:sz w:val="21"/>
          <w:szCs w:val="21"/>
        </w:rPr>
        <w:t>（十八）</w:t>
        <w:tab/>
        <w:t>无形资产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无形资产包括使用寿命有限的无形资产和使用寿命不确定的无形资产。</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．无形资产计价</w:t>
      </w:r>
    </w:p>
    <w:p>
      <w:pPr>
        <w:spacing w:before="29"/>
        <w:ind w:left="561" w:right="129" w:firstLine="0"/>
        <w:jc w:val="left"/>
        <w:rPr>
          <w:rFonts w:ascii="宋体" w:hAnsi="宋体" w:cs="宋体" w:eastAsia="宋体" w:hint="default"/>
          <w:sz w:val="21"/>
          <w:szCs w:val="21"/>
        </w:rPr>
      </w:pPr>
      <w:r>
        <w:rPr>
          <w:rFonts w:ascii="宋体" w:hAnsi="宋体" w:cs="宋体" w:eastAsia="宋体" w:hint="default"/>
          <w:sz w:val="21"/>
          <w:szCs w:val="21"/>
        </w:rPr>
        <w:t>无形资产按实际成本进行初始计量。</w:t>
      </w:r>
    </w:p>
    <w:p>
      <w:pPr>
        <w:spacing w:line="240" w:lineRule="auto" w:before="10"/>
        <w:rPr>
          <w:rFonts w:ascii="宋体" w:hAnsi="宋体" w:cs="宋体" w:eastAsia="宋体" w:hint="default"/>
          <w:sz w:val="21"/>
          <w:szCs w:val="21"/>
        </w:rPr>
      </w:pPr>
    </w:p>
    <w:p>
      <w:pPr>
        <w:spacing w:line="331" w:lineRule="auto" w:before="0"/>
        <w:ind w:left="141" w:right="197" w:firstLine="420"/>
        <w:jc w:val="both"/>
        <w:rPr>
          <w:rFonts w:ascii="宋体" w:hAnsi="宋体" w:cs="宋体" w:eastAsia="宋体" w:hint="default"/>
          <w:sz w:val="21"/>
          <w:szCs w:val="21"/>
        </w:rPr>
      </w:pPr>
      <w:r>
        <w:rPr>
          <w:rFonts w:ascii="宋体" w:hAnsi="宋体" w:cs="宋体" w:eastAsia="宋体" w:hint="default"/>
          <w:sz w:val="21"/>
          <w:szCs w:val="21"/>
        </w:rPr>
        <w:t>自行开发的无形资产，其成本包括自满足一定条件后至达到预定用途前所发生的支出总</w:t>
      </w:r>
      <w:r>
        <w:rPr>
          <w:rFonts w:ascii="宋体" w:hAnsi="宋体" w:cs="宋体" w:eastAsia="宋体" w:hint="default"/>
          <w:w w:val="100"/>
          <w:sz w:val="21"/>
          <w:szCs w:val="21"/>
        </w:rPr>
        <w:t> </w:t>
      </w:r>
      <w:r>
        <w:rPr>
          <w:rFonts w:ascii="宋体" w:hAnsi="宋体" w:cs="宋体" w:eastAsia="宋体" w:hint="default"/>
          <w:sz w:val="21"/>
          <w:szCs w:val="21"/>
        </w:rPr>
        <w:t>额。</w:t>
      </w:r>
    </w:p>
    <w:p>
      <w:pPr>
        <w:spacing w:line="240" w:lineRule="auto" w:before="8"/>
        <w:rPr>
          <w:rFonts w:ascii="宋体" w:hAnsi="宋体" w:cs="宋体" w:eastAsia="宋体" w:hint="default"/>
          <w:sz w:val="15"/>
          <w:szCs w:val="15"/>
        </w:rPr>
      </w:pPr>
    </w:p>
    <w:p>
      <w:pPr>
        <w:spacing w:before="0"/>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．无形资产摊销</w:t>
      </w:r>
    </w:p>
    <w:p>
      <w:pPr>
        <w:spacing w:line="240" w:lineRule="auto" w:before="7"/>
        <w:rPr>
          <w:rFonts w:ascii="宋体" w:hAnsi="宋体" w:cs="宋体" w:eastAsia="宋体" w:hint="default"/>
          <w:sz w:val="20"/>
          <w:szCs w:val="20"/>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）使用寿命有限的无形资产，在使用寿命期限内，采用与该无形资产有关经济利益的</w:t>
      </w:r>
    </w:p>
    <w:p>
      <w:pPr>
        <w:spacing w:after="0"/>
        <w:jc w:val="left"/>
        <w:rPr>
          <w:rFonts w:ascii="宋体" w:hAnsi="宋体" w:cs="宋体" w:eastAsia="宋体" w:hint="default"/>
          <w:sz w:val="21"/>
          <w:szCs w:val="21"/>
        </w:rPr>
        <w:sectPr>
          <w:pgSz w:w="11910" w:h="16840"/>
          <w:pgMar w:header="943" w:footer="897" w:top="1640" w:bottom="1080" w:left="1560" w:right="1560"/>
        </w:sectPr>
      </w:pPr>
    </w:p>
    <w:p>
      <w:pPr>
        <w:spacing w:line="240" w:lineRule="auto" w:before="11"/>
        <w:rPr>
          <w:rFonts w:ascii="宋体" w:hAnsi="宋体" w:cs="宋体" w:eastAsia="宋体" w:hint="default"/>
          <w:sz w:val="18"/>
          <w:szCs w:val="18"/>
        </w:rPr>
      </w:pPr>
    </w:p>
    <w:p>
      <w:pPr>
        <w:spacing w:before="36"/>
        <w:ind w:left="141" w:right="0" w:firstLine="0"/>
        <w:jc w:val="left"/>
        <w:rPr>
          <w:rFonts w:ascii="宋体" w:hAnsi="宋体" w:cs="宋体" w:eastAsia="宋体" w:hint="default"/>
          <w:sz w:val="21"/>
          <w:szCs w:val="21"/>
        </w:rPr>
      </w:pPr>
      <w:r>
        <w:rPr>
          <w:rFonts w:ascii="宋体" w:hAnsi="宋体" w:cs="宋体" w:eastAsia="宋体" w:hint="default"/>
          <w:sz w:val="21"/>
          <w:szCs w:val="21"/>
        </w:rPr>
        <w:t>预期实现方式一致的方法摊销，无法可靠确定预期实现方式的，采用直线法摊销；</w:t>
      </w:r>
    </w:p>
    <w:p>
      <w:pPr>
        <w:spacing w:line="240" w:lineRule="auto" w:before="10"/>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）使用寿命不确定的无形资产不摊销。</w:t>
      </w:r>
    </w:p>
    <w:p>
      <w:pPr>
        <w:spacing w:line="240" w:lineRule="auto" w:before="7"/>
        <w:rPr>
          <w:rFonts w:ascii="宋体" w:hAnsi="宋体" w:cs="宋体" w:eastAsia="宋体" w:hint="default"/>
          <w:sz w:val="20"/>
          <w:szCs w:val="20"/>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．无形资产减值准备</w:t>
      </w:r>
    </w:p>
    <w:p>
      <w:pPr>
        <w:spacing w:line="240" w:lineRule="auto" w:before="7"/>
        <w:rPr>
          <w:rFonts w:ascii="宋体" w:hAnsi="宋体" w:cs="宋体" w:eastAsia="宋体" w:hint="default"/>
          <w:sz w:val="20"/>
          <w:szCs w:val="20"/>
        </w:rPr>
      </w:pPr>
    </w:p>
    <w:p>
      <w:pPr>
        <w:spacing w:line="331" w:lineRule="auto" w:before="0"/>
        <w:ind w:left="141" w:right="0" w:firstLine="420"/>
        <w:jc w:val="left"/>
        <w:rPr>
          <w:rFonts w:ascii="宋体" w:hAnsi="宋体" w:cs="宋体" w:eastAsia="宋体" w:hint="default"/>
          <w:sz w:val="21"/>
          <w:szCs w:val="21"/>
        </w:rPr>
      </w:pPr>
      <w:r>
        <w:rPr>
          <w:rFonts w:ascii="宋体" w:hAnsi="宋体" w:cs="宋体" w:eastAsia="宋体" w:hint="default"/>
          <w:spacing w:val="-5"/>
          <w:w w:val="100"/>
          <w:sz w:val="21"/>
          <w:szCs w:val="21"/>
        </w:rPr>
        <w:t>对使用寿命不确定的无形资产以及尚未达到可使用状态的无形资产，于资产负债表日进行</w:t>
      </w:r>
      <w:r>
        <w:rPr>
          <w:rFonts w:ascii="宋体" w:hAnsi="宋体" w:cs="宋体" w:eastAsia="宋体" w:hint="default"/>
          <w:w w:val="100"/>
          <w:sz w:val="21"/>
          <w:szCs w:val="21"/>
        </w:rPr>
        <w:t> </w:t>
      </w:r>
      <w:r>
        <w:rPr>
          <w:rFonts w:ascii="宋体" w:hAnsi="宋体" w:cs="宋体" w:eastAsia="宋体" w:hint="default"/>
          <w:sz w:val="21"/>
          <w:szCs w:val="21"/>
        </w:rPr>
        <w:t>减值测试。</w:t>
      </w:r>
    </w:p>
    <w:p>
      <w:pPr>
        <w:spacing w:line="240" w:lineRule="auto" w:before="8"/>
        <w:rPr>
          <w:rFonts w:ascii="宋体" w:hAnsi="宋体" w:cs="宋体" w:eastAsia="宋体" w:hint="default"/>
          <w:sz w:val="15"/>
          <w:szCs w:val="15"/>
        </w:rPr>
      </w:pPr>
    </w:p>
    <w:p>
      <w:pPr>
        <w:spacing w:line="350"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对使用寿命有限的无形资产，于资产负债表日，存在减值迹象，估计其可收回金额。可收</w:t>
      </w:r>
      <w:r>
        <w:rPr>
          <w:rFonts w:ascii="宋体" w:hAnsi="宋体" w:cs="宋体" w:eastAsia="宋体" w:hint="default"/>
          <w:w w:val="100"/>
          <w:sz w:val="21"/>
          <w:szCs w:val="21"/>
        </w:rPr>
        <w:t> </w:t>
      </w:r>
      <w:r>
        <w:rPr>
          <w:rFonts w:ascii="宋体" w:hAnsi="宋体" w:cs="宋体" w:eastAsia="宋体" w:hint="default"/>
          <w:spacing w:val="-5"/>
          <w:sz w:val="21"/>
          <w:szCs w:val="21"/>
        </w:rPr>
        <w:t>回金额低于其账面价值的，将无形资产的账面价值减记至可收回金额，减记的金额确认为无形</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资产减值损失，计入当期损益，同时计提相应的无形资产减值准备。</w:t>
      </w:r>
    </w:p>
    <w:p>
      <w:pPr>
        <w:spacing w:line="240" w:lineRule="auto" w:before="11"/>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无形资产减值损失一经确认，在以后会计期间不予转回。</w:t>
      </w:r>
    </w:p>
    <w:p>
      <w:pPr>
        <w:spacing w:line="240" w:lineRule="auto" w:before="10"/>
        <w:rPr>
          <w:rFonts w:ascii="宋体" w:hAnsi="宋体" w:cs="宋体" w:eastAsia="宋体" w:hint="default"/>
          <w:sz w:val="25"/>
          <w:szCs w:val="25"/>
        </w:rPr>
      </w:pPr>
    </w:p>
    <w:p>
      <w:pPr>
        <w:tabs>
          <w:tab w:pos="1821" w:val="left" w:leader="none"/>
        </w:tabs>
        <w:spacing w:before="0"/>
        <w:ind w:left="561" w:right="0" w:firstLine="0"/>
        <w:jc w:val="left"/>
        <w:rPr>
          <w:rFonts w:ascii="宋体" w:hAnsi="宋体" w:cs="宋体" w:eastAsia="宋体" w:hint="default"/>
          <w:sz w:val="21"/>
          <w:szCs w:val="21"/>
        </w:rPr>
      </w:pPr>
      <w:r>
        <w:rPr>
          <w:rFonts w:ascii="宋体" w:hAnsi="宋体" w:cs="宋体" w:eastAsia="宋体" w:hint="default"/>
          <w:spacing w:val="-1"/>
          <w:sz w:val="21"/>
          <w:szCs w:val="21"/>
        </w:rPr>
        <w:t>（十九）</w:t>
        <w:tab/>
        <w:t>长期待摊费用</w:t>
      </w:r>
    </w:p>
    <w:p>
      <w:pPr>
        <w:spacing w:line="240" w:lineRule="auto" w:before="2"/>
        <w:rPr>
          <w:rFonts w:ascii="宋体" w:hAnsi="宋体" w:cs="宋体" w:eastAsia="宋体" w:hint="default"/>
          <w:sz w:val="26"/>
          <w:szCs w:val="26"/>
        </w:rPr>
      </w:pPr>
    </w:p>
    <w:p>
      <w:pPr>
        <w:spacing w:line="386" w:lineRule="auto" w:before="0"/>
        <w:ind w:left="141" w:right="0" w:firstLine="420"/>
        <w:jc w:val="left"/>
        <w:rPr>
          <w:rFonts w:ascii="宋体" w:hAnsi="宋体" w:cs="宋体" w:eastAsia="宋体" w:hint="default"/>
          <w:sz w:val="21"/>
          <w:szCs w:val="21"/>
        </w:rPr>
      </w:pPr>
      <w:r>
        <w:rPr>
          <w:rFonts w:ascii="宋体" w:hAnsi="宋体" w:cs="宋体" w:eastAsia="宋体" w:hint="default"/>
          <w:spacing w:val="-5"/>
          <w:sz w:val="21"/>
          <w:szCs w:val="21"/>
        </w:rPr>
        <w:t>长期待摊费用能确定受益期限的，按受益期限分期平均摊销，不能确定受益期限的按不超</w:t>
      </w:r>
      <w:r>
        <w:rPr>
          <w:rFonts w:ascii="宋体" w:hAnsi="宋体" w:cs="宋体" w:eastAsia="宋体" w:hint="default"/>
          <w:w w:val="100"/>
          <w:sz w:val="21"/>
          <w:szCs w:val="21"/>
        </w:rPr>
        <w:t> </w:t>
      </w:r>
      <w:r>
        <w:rPr>
          <w:rFonts w:ascii="宋体" w:hAnsi="宋体" w:cs="宋体" w:eastAsia="宋体" w:hint="default"/>
          <w:sz w:val="21"/>
          <w:szCs w:val="21"/>
        </w:rPr>
        <w:t>过十年的期限平均摊销。</w:t>
      </w:r>
    </w:p>
    <w:p>
      <w:pPr>
        <w:spacing w:line="240" w:lineRule="auto" w:before="7"/>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（二十）职工薪酬</w:t>
      </w:r>
    </w:p>
    <w:p>
      <w:pPr>
        <w:spacing w:line="240" w:lineRule="auto" w:before="4"/>
        <w:rPr>
          <w:rFonts w:ascii="宋体" w:hAnsi="宋体" w:cs="宋体" w:eastAsia="宋体" w:hint="default"/>
          <w:sz w:val="26"/>
          <w:szCs w:val="26"/>
        </w:rPr>
      </w:pPr>
    </w:p>
    <w:p>
      <w:pPr>
        <w:spacing w:line="367" w:lineRule="auto" w:before="0"/>
        <w:ind w:left="141" w:right="85" w:firstLine="420"/>
        <w:jc w:val="left"/>
        <w:rPr>
          <w:rFonts w:ascii="宋体" w:hAnsi="宋体" w:cs="宋体" w:eastAsia="宋体" w:hint="default"/>
          <w:sz w:val="21"/>
          <w:szCs w:val="21"/>
        </w:rPr>
      </w:pPr>
      <w:r>
        <w:rPr>
          <w:rFonts w:ascii="宋体" w:hAnsi="宋体" w:cs="宋体" w:eastAsia="宋体" w:hint="default"/>
          <w:spacing w:val="-2"/>
          <w:sz w:val="21"/>
          <w:szCs w:val="21"/>
        </w:rPr>
        <w:t>本公司职工薪酬，是指为获得职工提供的服务而给予各种形式的报酬以及其他相关支出。</w:t>
      </w:r>
      <w:r>
        <w:rPr>
          <w:rFonts w:ascii="宋体" w:hAnsi="宋体" w:cs="宋体" w:eastAsia="宋体" w:hint="default"/>
          <w:w w:val="100"/>
          <w:sz w:val="21"/>
          <w:szCs w:val="21"/>
        </w:rPr>
        <w:t> </w:t>
      </w:r>
      <w:r>
        <w:rPr>
          <w:rFonts w:ascii="宋体" w:hAnsi="宋体" w:cs="宋体" w:eastAsia="宋体" w:hint="default"/>
          <w:w w:val="87"/>
          <w:sz w:val="21"/>
          <w:szCs w:val="21"/>
        </w:rPr>
        <w:t>包</w:t>
      </w:r>
      <w:r>
        <w:rPr>
          <w:rFonts w:ascii="宋体" w:hAnsi="宋体" w:cs="宋体" w:eastAsia="宋体" w:hint="default"/>
          <w:spacing w:val="-60"/>
          <w:w w:val="87"/>
          <w:sz w:val="21"/>
          <w:szCs w:val="21"/>
        </w:rPr>
        <w:t> </w:t>
      </w:r>
      <w:r>
        <w:rPr>
          <w:rFonts w:ascii="宋体" w:hAnsi="宋体" w:cs="宋体" w:eastAsia="宋体" w:hint="default"/>
          <w:w w:val="87"/>
          <w:sz w:val="21"/>
          <w:szCs w:val="21"/>
        </w:rPr>
        <w:t>括</w:t>
      </w:r>
      <w:r>
        <w:rPr>
          <w:rFonts w:ascii="宋体" w:hAnsi="宋体" w:cs="宋体" w:eastAsia="宋体" w:hint="default"/>
          <w:spacing w:val="-62"/>
          <w:w w:val="87"/>
          <w:sz w:val="21"/>
          <w:szCs w:val="21"/>
        </w:rPr>
        <w:t> </w:t>
      </w:r>
      <w:r>
        <w:rPr>
          <w:rFonts w:ascii="宋体" w:hAnsi="宋体" w:cs="宋体" w:eastAsia="宋体" w:hint="default"/>
          <w:spacing w:val="-44"/>
          <w:w w:val="87"/>
          <w:sz w:val="21"/>
          <w:szCs w:val="21"/>
        </w:rPr>
        <w:t>：（</w:t>
      </w:r>
      <w:r>
        <w:rPr>
          <w:rFonts w:ascii="宋体" w:hAnsi="宋体" w:cs="宋体" w:eastAsia="宋体" w:hint="default"/>
          <w:spacing w:val="-66"/>
          <w:w w:val="87"/>
          <w:sz w:val="21"/>
          <w:szCs w:val="21"/>
        </w:rPr>
        <w:t> </w:t>
      </w:r>
      <w:r>
        <w:rPr>
          <w:rFonts w:ascii="Times New Roman" w:hAnsi="Times New Roman" w:cs="Times New Roman" w:eastAsia="Times New Roman" w:hint="default"/>
          <w:spacing w:val="-4"/>
          <w:w w:val="99"/>
          <w:sz w:val="21"/>
          <w:szCs w:val="21"/>
        </w:rPr>
        <w:t>1</w:t>
      </w:r>
      <w:r>
        <w:rPr>
          <w:rFonts w:ascii="宋体" w:hAnsi="宋体" w:cs="宋体" w:eastAsia="宋体" w:hint="default"/>
          <w:spacing w:val="-4"/>
          <w:w w:val="99"/>
          <w:sz w:val="21"/>
          <w:szCs w:val="21"/>
        </w:rPr>
        <w:t>）职工工资、奖金、津贴和补贴；（</w:t>
      </w:r>
      <w:r>
        <w:rPr>
          <w:rFonts w:ascii="Times New Roman" w:hAnsi="Times New Roman" w:cs="Times New Roman" w:eastAsia="Times New Roman" w:hint="default"/>
          <w:spacing w:val="-4"/>
          <w:w w:val="99"/>
          <w:sz w:val="21"/>
          <w:szCs w:val="21"/>
        </w:rPr>
        <w:t>2</w:t>
      </w:r>
      <w:r>
        <w:rPr>
          <w:rFonts w:ascii="宋体" w:hAnsi="宋体" w:cs="宋体" w:eastAsia="宋体" w:hint="default"/>
          <w:spacing w:val="-4"/>
          <w:w w:val="99"/>
          <w:sz w:val="21"/>
          <w:szCs w:val="21"/>
        </w:rPr>
        <w:t>）职工福利费；（</w:t>
      </w:r>
      <w:r>
        <w:rPr>
          <w:rFonts w:ascii="Times New Roman" w:hAnsi="Times New Roman" w:cs="Times New Roman" w:eastAsia="Times New Roman" w:hint="default"/>
          <w:spacing w:val="-4"/>
          <w:w w:val="99"/>
          <w:sz w:val="21"/>
          <w:szCs w:val="21"/>
        </w:rPr>
        <w:t>3</w:t>
      </w:r>
      <w:r>
        <w:rPr>
          <w:rFonts w:ascii="宋体" w:hAnsi="宋体" w:cs="宋体" w:eastAsia="宋体" w:hint="default"/>
          <w:spacing w:val="-4"/>
          <w:w w:val="99"/>
          <w:sz w:val="21"/>
          <w:szCs w:val="21"/>
        </w:rPr>
        <w:t>）医疗保险费、养老保险费、</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spacing w:val="-7"/>
          <w:w w:val="99"/>
          <w:sz w:val="21"/>
          <w:szCs w:val="21"/>
        </w:rPr>
        <w:t>失业保险费、工伤保险费和生育保险费等社会保险费；（</w:t>
      </w:r>
      <w:r>
        <w:rPr>
          <w:rFonts w:ascii="Times New Roman" w:hAnsi="Times New Roman" w:cs="Times New Roman" w:eastAsia="Times New Roman" w:hint="default"/>
          <w:spacing w:val="-7"/>
          <w:w w:val="99"/>
          <w:sz w:val="21"/>
          <w:szCs w:val="21"/>
        </w:rPr>
        <w:t>4</w:t>
      </w:r>
      <w:r>
        <w:rPr>
          <w:rFonts w:ascii="宋体" w:hAnsi="宋体" w:cs="宋体" w:eastAsia="宋体" w:hint="default"/>
          <w:spacing w:val="-7"/>
          <w:w w:val="99"/>
          <w:sz w:val="21"/>
          <w:szCs w:val="21"/>
        </w:rPr>
        <w:t>）住</w:t>
      </w:r>
      <w:r>
        <w:rPr>
          <w:rFonts w:ascii="宋体" w:hAnsi="宋体" w:cs="宋体" w:eastAsia="宋体" w:hint="default"/>
          <w:spacing w:val="-84"/>
          <w:w w:val="99"/>
          <w:sz w:val="21"/>
          <w:szCs w:val="21"/>
        </w:rPr>
        <w:t> </w:t>
      </w:r>
      <w:r>
        <w:rPr>
          <w:rFonts w:ascii="宋体" w:hAnsi="宋体" w:cs="宋体" w:eastAsia="宋体" w:hint="default"/>
          <w:spacing w:val="16"/>
          <w:w w:val="90"/>
          <w:sz w:val="21"/>
          <w:szCs w:val="21"/>
        </w:rPr>
        <w:t>房公积金</w:t>
      </w:r>
      <w:r>
        <w:rPr>
          <w:rFonts w:ascii="宋体" w:hAnsi="宋体" w:cs="宋体" w:eastAsia="宋体" w:hint="default"/>
          <w:spacing w:val="-72"/>
          <w:w w:val="90"/>
          <w:sz w:val="21"/>
          <w:szCs w:val="21"/>
        </w:rPr>
        <w:t> </w:t>
      </w:r>
      <w:r>
        <w:rPr>
          <w:rFonts w:ascii="宋体" w:hAnsi="宋体" w:cs="宋体" w:eastAsia="宋体" w:hint="default"/>
          <w:spacing w:val="-13"/>
          <w:w w:val="98"/>
          <w:sz w:val="21"/>
          <w:szCs w:val="21"/>
        </w:rPr>
        <w:t>；（</w:t>
      </w:r>
      <w:r>
        <w:rPr>
          <w:rFonts w:ascii="Times New Roman" w:hAnsi="Times New Roman" w:cs="Times New Roman" w:eastAsia="Times New Roman" w:hint="default"/>
          <w:spacing w:val="-13"/>
          <w:w w:val="98"/>
          <w:sz w:val="21"/>
          <w:szCs w:val="21"/>
        </w:rPr>
        <w:t>5</w:t>
      </w:r>
      <w:r>
        <w:rPr>
          <w:rFonts w:ascii="宋体" w:hAnsi="宋体" w:cs="宋体" w:eastAsia="宋体" w:hint="default"/>
          <w:spacing w:val="-13"/>
          <w:w w:val="98"/>
          <w:sz w:val="21"/>
          <w:szCs w:val="21"/>
        </w:rPr>
        <w:t>）工会经费和职工</w:t>
      </w:r>
      <w:r>
        <w:rPr>
          <w:rFonts w:ascii="宋体" w:hAnsi="宋体" w:cs="宋体" w:eastAsia="宋体" w:hint="default"/>
          <w:spacing w:val="-88"/>
          <w:w w:val="98"/>
          <w:sz w:val="21"/>
          <w:szCs w:val="21"/>
        </w:rPr>
        <w:t> </w:t>
      </w:r>
      <w:r>
        <w:rPr>
          <w:rFonts w:ascii="宋体" w:hAnsi="宋体" w:cs="宋体" w:eastAsia="宋体" w:hint="default"/>
          <w:spacing w:val="-88"/>
          <w:w w:val="98"/>
          <w:sz w:val="21"/>
          <w:szCs w:val="21"/>
        </w:rPr>
      </w:r>
      <w:r>
        <w:rPr>
          <w:rFonts w:ascii="宋体" w:hAnsi="宋体" w:cs="宋体" w:eastAsia="宋体" w:hint="default"/>
          <w:w w:val="89"/>
          <w:sz w:val="21"/>
          <w:szCs w:val="21"/>
        </w:rPr>
        <w:t>教</w:t>
      </w:r>
      <w:r>
        <w:rPr>
          <w:rFonts w:ascii="宋体" w:hAnsi="宋体" w:cs="宋体" w:eastAsia="宋体" w:hint="default"/>
          <w:spacing w:val="-68"/>
          <w:w w:val="89"/>
          <w:sz w:val="21"/>
          <w:szCs w:val="21"/>
        </w:rPr>
        <w:t> </w:t>
      </w:r>
      <w:r>
        <w:rPr>
          <w:rFonts w:ascii="宋体" w:hAnsi="宋体" w:cs="宋体" w:eastAsia="宋体" w:hint="default"/>
          <w:spacing w:val="11"/>
          <w:w w:val="89"/>
          <w:sz w:val="21"/>
          <w:szCs w:val="21"/>
        </w:rPr>
        <w:t>育经</w:t>
      </w:r>
      <w:r>
        <w:rPr>
          <w:rFonts w:ascii="宋体" w:hAnsi="宋体" w:cs="宋体" w:eastAsia="宋体" w:hint="default"/>
          <w:spacing w:val="-68"/>
          <w:w w:val="89"/>
          <w:sz w:val="21"/>
          <w:szCs w:val="21"/>
        </w:rPr>
        <w:t> </w:t>
      </w:r>
      <w:r>
        <w:rPr>
          <w:rFonts w:ascii="宋体" w:hAnsi="宋体" w:cs="宋体" w:eastAsia="宋体" w:hint="default"/>
          <w:w w:val="89"/>
          <w:sz w:val="21"/>
          <w:szCs w:val="21"/>
        </w:rPr>
        <w:t>费</w:t>
      </w:r>
      <w:r>
        <w:rPr>
          <w:rFonts w:ascii="宋体" w:hAnsi="宋体" w:cs="宋体" w:eastAsia="宋体" w:hint="default"/>
          <w:spacing w:val="-70"/>
          <w:w w:val="89"/>
          <w:sz w:val="21"/>
          <w:szCs w:val="21"/>
        </w:rPr>
        <w:t> </w:t>
      </w:r>
      <w:r>
        <w:rPr>
          <w:rFonts w:ascii="宋体" w:hAnsi="宋体" w:cs="宋体" w:eastAsia="宋体" w:hint="default"/>
          <w:spacing w:val="-56"/>
          <w:w w:val="89"/>
          <w:sz w:val="21"/>
          <w:szCs w:val="21"/>
        </w:rPr>
        <w:t>；（</w:t>
      </w:r>
      <w:r>
        <w:rPr>
          <w:rFonts w:ascii="宋体" w:hAnsi="宋体" w:cs="宋体" w:eastAsia="宋体" w:hint="default"/>
          <w:spacing w:val="-74"/>
          <w:w w:val="89"/>
          <w:sz w:val="21"/>
          <w:szCs w:val="21"/>
        </w:rPr>
        <w:t> </w:t>
      </w:r>
      <w:r>
        <w:rPr>
          <w:rFonts w:ascii="Times New Roman" w:hAnsi="Times New Roman" w:cs="Times New Roman" w:eastAsia="Times New Roman" w:hint="default"/>
          <w:spacing w:val="-6"/>
          <w:w w:val="98"/>
          <w:sz w:val="21"/>
          <w:szCs w:val="21"/>
        </w:rPr>
        <w:t>6</w:t>
      </w:r>
      <w:r>
        <w:rPr>
          <w:rFonts w:ascii="宋体" w:hAnsi="宋体" w:cs="宋体" w:eastAsia="宋体" w:hint="default"/>
          <w:spacing w:val="-6"/>
          <w:w w:val="98"/>
          <w:sz w:val="21"/>
          <w:szCs w:val="21"/>
        </w:rPr>
        <w:t>）非货币性福利；（</w:t>
      </w:r>
      <w:r>
        <w:rPr>
          <w:rFonts w:ascii="Times New Roman" w:hAnsi="Times New Roman" w:cs="Times New Roman" w:eastAsia="Times New Roman" w:hint="default"/>
          <w:spacing w:val="-6"/>
          <w:w w:val="98"/>
          <w:sz w:val="21"/>
          <w:szCs w:val="21"/>
        </w:rPr>
        <w:t>7</w:t>
      </w:r>
      <w:r>
        <w:rPr>
          <w:rFonts w:ascii="宋体" w:hAnsi="宋体" w:cs="宋体" w:eastAsia="宋体" w:hint="default"/>
          <w:spacing w:val="-6"/>
          <w:w w:val="98"/>
          <w:sz w:val="21"/>
          <w:szCs w:val="21"/>
        </w:rPr>
        <w:t>）因解除与职工的劳动关系给予的补偿；（</w:t>
      </w:r>
      <w:r>
        <w:rPr>
          <w:rFonts w:ascii="Times New Roman" w:hAnsi="Times New Roman" w:cs="Times New Roman" w:eastAsia="Times New Roman" w:hint="default"/>
          <w:spacing w:val="-6"/>
          <w:w w:val="98"/>
          <w:sz w:val="21"/>
          <w:szCs w:val="21"/>
        </w:rPr>
        <w:t>8</w:t>
      </w:r>
      <w:r>
        <w:rPr>
          <w:rFonts w:ascii="宋体" w:hAnsi="宋体" w:cs="宋体" w:eastAsia="宋体" w:hint="default"/>
          <w:spacing w:val="-6"/>
          <w:w w:val="98"/>
          <w:sz w:val="21"/>
          <w:szCs w:val="21"/>
        </w:rPr>
        <w:t>）其他与获得职</w:t>
      </w:r>
      <w:r>
        <w:rPr>
          <w:rFonts w:ascii="宋体" w:hAnsi="宋体" w:cs="宋体" w:eastAsia="宋体" w:hint="default"/>
          <w:spacing w:val="-85"/>
          <w:w w:val="98"/>
          <w:sz w:val="21"/>
          <w:szCs w:val="21"/>
        </w:rPr>
        <w:t> </w:t>
      </w:r>
      <w:r>
        <w:rPr>
          <w:rFonts w:ascii="宋体" w:hAnsi="宋体" w:cs="宋体" w:eastAsia="宋体" w:hint="default"/>
          <w:spacing w:val="-85"/>
          <w:w w:val="98"/>
          <w:sz w:val="21"/>
          <w:szCs w:val="21"/>
        </w:rPr>
      </w:r>
      <w:r>
        <w:rPr>
          <w:rFonts w:ascii="宋体" w:hAnsi="宋体" w:cs="宋体" w:eastAsia="宋体" w:hint="default"/>
          <w:sz w:val="21"/>
          <w:szCs w:val="21"/>
        </w:rPr>
        <w:t>工提供的服务相关的支出。</w:t>
      </w:r>
    </w:p>
    <w:p>
      <w:pPr>
        <w:spacing w:line="240" w:lineRule="auto" w:before="11"/>
        <w:rPr>
          <w:rFonts w:ascii="宋体" w:hAnsi="宋体" w:cs="宋体" w:eastAsia="宋体" w:hint="default"/>
          <w:sz w:val="17"/>
          <w:szCs w:val="17"/>
        </w:rPr>
      </w:pPr>
    </w:p>
    <w:p>
      <w:pPr>
        <w:spacing w:line="384"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在职工为本公司提供服务的会计期间，将应付的职工薪酬确认为负债，除因解除与职工的</w:t>
      </w:r>
      <w:r>
        <w:rPr>
          <w:rFonts w:ascii="宋体" w:hAnsi="宋体" w:cs="宋体" w:eastAsia="宋体" w:hint="default"/>
          <w:w w:val="100"/>
          <w:sz w:val="21"/>
          <w:szCs w:val="21"/>
        </w:rPr>
        <w:t> </w:t>
      </w:r>
      <w:r>
        <w:rPr>
          <w:rFonts w:ascii="宋体" w:hAnsi="宋体" w:cs="宋体" w:eastAsia="宋体" w:hint="default"/>
          <w:spacing w:val="-5"/>
          <w:sz w:val="21"/>
          <w:szCs w:val="21"/>
        </w:rPr>
        <w:t>劳动关系给予的补偿外，根据职工提供服务的受益对象，分别计入产品成本、劳务成本、建造</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固定资产成本、无形资产成本或当期损益。</w:t>
      </w:r>
    </w:p>
    <w:p>
      <w:pPr>
        <w:spacing w:line="240" w:lineRule="auto" w:before="9"/>
        <w:rPr>
          <w:rFonts w:ascii="宋体" w:hAnsi="宋体" w:cs="宋体" w:eastAsia="宋体" w:hint="default"/>
          <w:sz w:val="16"/>
          <w:szCs w:val="16"/>
        </w:rPr>
      </w:pPr>
    </w:p>
    <w:p>
      <w:pPr>
        <w:tabs>
          <w:tab w:pos="1821" w:val="left" w:leader="none"/>
        </w:tabs>
        <w:spacing w:before="0"/>
        <w:ind w:left="561" w:right="0" w:firstLine="0"/>
        <w:jc w:val="left"/>
        <w:rPr>
          <w:rFonts w:ascii="宋体" w:hAnsi="宋体" w:cs="宋体" w:eastAsia="宋体" w:hint="default"/>
          <w:sz w:val="21"/>
          <w:szCs w:val="21"/>
        </w:rPr>
      </w:pPr>
      <w:r>
        <w:rPr>
          <w:rFonts w:ascii="宋体" w:hAnsi="宋体" w:cs="宋体" w:eastAsia="宋体" w:hint="default"/>
          <w:spacing w:val="-2"/>
          <w:sz w:val="21"/>
          <w:szCs w:val="21"/>
        </w:rPr>
        <w:t>（二十一）</w:t>
        <w:tab/>
      </w:r>
      <w:r>
        <w:rPr>
          <w:rFonts w:ascii="宋体" w:hAnsi="宋体" w:cs="宋体" w:eastAsia="宋体" w:hint="default"/>
          <w:spacing w:val="-1"/>
          <w:sz w:val="21"/>
          <w:szCs w:val="21"/>
        </w:rPr>
        <w:t>预计负债</w:t>
      </w:r>
    </w:p>
    <w:p>
      <w:pPr>
        <w:spacing w:line="240" w:lineRule="auto" w:before="2"/>
        <w:rPr>
          <w:rFonts w:ascii="宋体" w:hAnsi="宋体" w:cs="宋体" w:eastAsia="宋体" w:hint="default"/>
          <w:sz w:val="26"/>
          <w:szCs w:val="2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若与或有事项相关的义务同时符合以下条件，确认为预计负债：</w:t>
      </w:r>
    </w:p>
    <w:p>
      <w:pPr>
        <w:spacing w:line="240" w:lineRule="auto" w:before="4"/>
        <w:rPr>
          <w:rFonts w:ascii="宋体" w:hAnsi="宋体" w:cs="宋体" w:eastAsia="宋体" w:hint="default"/>
          <w:sz w:val="26"/>
          <w:szCs w:val="2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）该义务是企业承担的现时义务；</w:t>
      </w:r>
    </w:p>
    <w:p>
      <w:pPr>
        <w:spacing w:line="240" w:lineRule="auto" w:before="1"/>
        <w:rPr>
          <w:rFonts w:ascii="宋体" w:hAnsi="宋体" w:cs="宋体" w:eastAsia="宋体" w:hint="default"/>
          <w:sz w:val="25"/>
          <w:szCs w:val="25"/>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）该义务的履行很可能导致经济利益流出企业；</w:t>
      </w:r>
    </w:p>
    <w:p>
      <w:pPr>
        <w:spacing w:after="0"/>
        <w:jc w:val="left"/>
        <w:rPr>
          <w:rFonts w:ascii="宋体" w:hAnsi="宋体" w:cs="宋体" w:eastAsia="宋体" w:hint="default"/>
          <w:sz w:val="21"/>
          <w:szCs w:val="21"/>
        </w:rPr>
        <w:sectPr>
          <w:pgSz w:w="11910" w:h="16840"/>
          <w:pgMar w:header="943" w:footer="897" w:top="1640" w:bottom="1080" w:left="1560" w:right="1480"/>
        </w:sectPr>
      </w:pPr>
    </w:p>
    <w:p>
      <w:pPr>
        <w:spacing w:line="240" w:lineRule="auto" w:before="5"/>
        <w:rPr>
          <w:rFonts w:ascii="宋体" w:hAnsi="宋体" w:cs="宋体" w:eastAsia="宋体" w:hint="default"/>
          <w:sz w:val="21"/>
          <w:szCs w:val="21"/>
        </w:rPr>
      </w:pPr>
    </w:p>
    <w:p>
      <w:pPr>
        <w:spacing w:before="36"/>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p>
    <w:p>
      <w:pPr>
        <w:spacing w:line="240" w:lineRule="auto" w:before="1"/>
        <w:rPr>
          <w:rFonts w:ascii="宋体" w:hAnsi="宋体" w:cs="宋体" w:eastAsia="宋体" w:hint="default"/>
          <w:sz w:val="25"/>
          <w:szCs w:val="25"/>
        </w:rPr>
      </w:pPr>
    </w:p>
    <w:p>
      <w:pPr>
        <w:spacing w:line="384"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w w:val="100"/>
          <w:sz w:val="21"/>
          <w:szCs w:val="21"/>
        </w:rPr>
        <w:t>预计负债按照履行相关现时义务所需支出的最佳估计数进行初始计量，企业清偿预计负债</w:t>
      </w:r>
      <w:r>
        <w:rPr>
          <w:rFonts w:ascii="宋体" w:hAnsi="宋体" w:cs="宋体" w:eastAsia="宋体" w:hint="default"/>
          <w:w w:val="100"/>
          <w:sz w:val="21"/>
          <w:szCs w:val="21"/>
        </w:rPr>
        <w:t> </w:t>
      </w:r>
      <w:r>
        <w:rPr>
          <w:rFonts w:ascii="宋体" w:hAnsi="宋体" w:cs="宋体" w:eastAsia="宋体" w:hint="default"/>
          <w:spacing w:val="-5"/>
          <w:w w:val="100"/>
          <w:sz w:val="21"/>
          <w:szCs w:val="21"/>
        </w:rPr>
        <w:t>所需支出全部或部分预期由第三方补偿的，补偿金额只有在基本确定能够收到时才能作为资产</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单独确认。确认的补偿金额不超过预计负债的账面价值。</w:t>
      </w:r>
    </w:p>
    <w:p>
      <w:pPr>
        <w:spacing w:line="240" w:lineRule="auto" w:before="9"/>
        <w:rPr>
          <w:rFonts w:ascii="宋体" w:hAnsi="宋体" w:cs="宋体" w:eastAsia="宋体" w:hint="default"/>
          <w:sz w:val="16"/>
          <w:szCs w:val="16"/>
        </w:rPr>
      </w:pPr>
    </w:p>
    <w:p>
      <w:pPr>
        <w:spacing w:line="384"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w w:val="100"/>
          <w:sz w:val="21"/>
          <w:szCs w:val="21"/>
        </w:rPr>
        <w:t>本公司亏损合同产生的义务和因重组而承担的重组义务同时符合上述条件的，确认为预计</w:t>
      </w:r>
      <w:r>
        <w:rPr>
          <w:rFonts w:ascii="宋体" w:hAnsi="宋体" w:cs="宋体" w:eastAsia="宋体" w:hint="default"/>
          <w:w w:val="100"/>
          <w:sz w:val="21"/>
          <w:szCs w:val="21"/>
        </w:rPr>
        <w:t> </w:t>
      </w:r>
      <w:r>
        <w:rPr>
          <w:rFonts w:ascii="宋体" w:hAnsi="宋体" w:cs="宋体" w:eastAsia="宋体" w:hint="default"/>
          <w:spacing w:val="-5"/>
          <w:sz w:val="21"/>
          <w:szCs w:val="21"/>
        </w:rPr>
        <w:t>负债。只有在承诺出售部分业务（即签订约束性出售协议）时，才能确认因重组而承担了重组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义务。</w:t>
      </w:r>
    </w:p>
    <w:p>
      <w:pPr>
        <w:spacing w:line="240" w:lineRule="auto" w:before="8"/>
        <w:rPr>
          <w:rFonts w:ascii="宋体" w:hAnsi="宋体" w:cs="宋体" w:eastAsia="宋体" w:hint="default"/>
          <w:sz w:val="15"/>
          <w:szCs w:val="15"/>
        </w:rPr>
      </w:pPr>
    </w:p>
    <w:p>
      <w:pPr>
        <w:tabs>
          <w:tab w:pos="1821" w:val="left" w:leader="none"/>
        </w:tabs>
        <w:spacing w:before="0"/>
        <w:ind w:left="561" w:right="129" w:firstLine="0"/>
        <w:jc w:val="left"/>
        <w:rPr>
          <w:rFonts w:ascii="宋体" w:hAnsi="宋体" w:cs="宋体" w:eastAsia="宋体" w:hint="default"/>
          <w:sz w:val="21"/>
          <w:szCs w:val="21"/>
        </w:rPr>
      </w:pPr>
      <w:r>
        <w:rPr>
          <w:rFonts w:ascii="宋体" w:hAnsi="宋体" w:cs="宋体" w:eastAsia="宋体" w:hint="default"/>
          <w:spacing w:val="-2"/>
          <w:sz w:val="21"/>
          <w:szCs w:val="21"/>
        </w:rPr>
        <w:t>（二十二）</w:t>
        <w:tab/>
      </w:r>
      <w:r>
        <w:rPr>
          <w:rFonts w:ascii="宋体" w:hAnsi="宋体" w:cs="宋体" w:eastAsia="宋体" w:hint="default"/>
          <w:sz w:val="21"/>
          <w:szCs w:val="21"/>
        </w:rPr>
        <w:t>收入</w:t>
      </w:r>
    </w:p>
    <w:p>
      <w:pPr>
        <w:spacing w:line="240" w:lineRule="auto" w:before="5"/>
        <w:rPr>
          <w:rFonts w:ascii="宋体" w:hAnsi="宋体" w:cs="宋体" w:eastAsia="宋体" w:hint="default"/>
          <w:sz w:val="23"/>
          <w:szCs w:val="23"/>
        </w:rPr>
      </w:pPr>
    </w:p>
    <w:p>
      <w:pPr>
        <w:spacing w:before="0"/>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．销售商品收入同时满足下列条件的，予以确认：</w:t>
      </w:r>
    </w:p>
    <w:p>
      <w:pPr>
        <w:spacing w:line="240" w:lineRule="auto" w:before="13"/>
        <w:rPr>
          <w:rFonts w:ascii="宋体" w:hAnsi="宋体" w:cs="宋体" w:eastAsia="宋体" w:hint="default"/>
          <w:sz w:val="21"/>
          <w:szCs w:val="21"/>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）公司已将商品所有权上的主要风险和报酬转移给购货方；</w:t>
      </w:r>
    </w:p>
    <w:p>
      <w:pPr>
        <w:spacing w:line="240" w:lineRule="auto" w:before="13"/>
        <w:rPr>
          <w:rFonts w:ascii="宋体" w:hAnsi="宋体" w:cs="宋体" w:eastAsia="宋体" w:hint="default"/>
          <w:sz w:val="21"/>
          <w:szCs w:val="21"/>
        </w:rPr>
      </w:pPr>
    </w:p>
    <w:p>
      <w:pPr>
        <w:spacing w:line="331"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）公司既没有保留通常与所有权相联系的继续管理权，也没有对已售出的商品实施有</w:t>
      </w:r>
      <w:r>
        <w:rPr>
          <w:rFonts w:ascii="宋体" w:hAnsi="宋体" w:cs="宋体" w:eastAsia="宋体" w:hint="default"/>
          <w:w w:val="100"/>
          <w:sz w:val="21"/>
          <w:szCs w:val="21"/>
        </w:rPr>
        <w:t> </w:t>
      </w:r>
      <w:r>
        <w:rPr>
          <w:rFonts w:ascii="宋体" w:hAnsi="宋体" w:cs="宋体" w:eastAsia="宋体" w:hint="default"/>
          <w:sz w:val="21"/>
          <w:szCs w:val="21"/>
        </w:rPr>
        <w:t>效控制；</w:t>
      </w:r>
    </w:p>
    <w:p>
      <w:pPr>
        <w:spacing w:line="240" w:lineRule="auto" w:before="1"/>
        <w:rPr>
          <w:rFonts w:ascii="宋体" w:hAnsi="宋体" w:cs="宋体" w:eastAsia="宋体" w:hint="default"/>
          <w:sz w:val="17"/>
          <w:szCs w:val="17"/>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）收入的金额能够可靠地计量；</w:t>
      </w:r>
    </w:p>
    <w:p>
      <w:pPr>
        <w:spacing w:line="240" w:lineRule="auto" w:before="13"/>
        <w:rPr>
          <w:rFonts w:ascii="宋体" w:hAnsi="宋体" w:cs="宋体" w:eastAsia="宋体" w:hint="default"/>
          <w:sz w:val="21"/>
          <w:szCs w:val="21"/>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）相关的经济利益很可能流入企业；</w:t>
      </w:r>
    </w:p>
    <w:p>
      <w:pPr>
        <w:spacing w:line="240" w:lineRule="auto" w:before="2"/>
        <w:rPr>
          <w:rFonts w:ascii="宋体" w:hAnsi="宋体" w:cs="宋体" w:eastAsia="宋体" w:hint="default"/>
          <w:sz w:val="22"/>
          <w:szCs w:val="22"/>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）相关的已发生或将发生的成本能够可靠地计量。</w:t>
      </w:r>
    </w:p>
    <w:p>
      <w:pPr>
        <w:spacing w:line="240" w:lineRule="auto" w:before="13"/>
        <w:rPr>
          <w:rFonts w:ascii="宋体" w:hAnsi="宋体" w:cs="宋体" w:eastAsia="宋体" w:hint="default"/>
          <w:sz w:val="21"/>
          <w:szCs w:val="21"/>
        </w:rPr>
      </w:pPr>
    </w:p>
    <w:p>
      <w:pPr>
        <w:spacing w:line="328" w:lineRule="auto" w:before="0"/>
        <w:ind w:left="141" w:right="135"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．提供劳务，在资产负债表日提供劳务交易的结果能够可靠估计的，采用完工百分比法</w:t>
      </w:r>
      <w:r>
        <w:rPr>
          <w:rFonts w:ascii="宋体" w:hAnsi="宋体" w:cs="宋体" w:eastAsia="宋体" w:hint="default"/>
          <w:w w:val="100"/>
          <w:sz w:val="21"/>
          <w:szCs w:val="21"/>
        </w:rPr>
        <w:t> </w:t>
      </w:r>
      <w:r>
        <w:rPr>
          <w:rFonts w:ascii="宋体" w:hAnsi="宋体" w:cs="宋体" w:eastAsia="宋体" w:hint="default"/>
          <w:sz w:val="21"/>
          <w:szCs w:val="21"/>
        </w:rPr>
        <w:t>确认提供劳务收入。</w:t>
      </w:r>
    </w:p>
    <w:p>
      <w:pPr>
        <w:spacing w:line="578" w:lineRule="exact" w:before="11"/>
        <w:ind w:left="561" w:right="125" w:firstLine="0"/>
        <w:jc w:val="left"/>
        <w:rPr>
          <w:rFonts w:ascii="宋体" w:hAnsi="宋体" w:cs="宋体" w:eastAsia="宋体" w:hint="default"/>
          <w:sz w:val="21"/>
          <w:szCs w:val="21"/>
        </w:rPr>
      </w:pPr>
      <w:r>
        <w:rPr>
          <w:rFonts w:ascii="宋体" w:hAnsi="宋体" w:cs="宋体" w:eastAsia="宋体" w:hint="default"/>
          <w:sz w:val="21"/>
          <w:szCs w:val="21"/>
        </w:rPr>
        <w:t>公司采用已经发生的成本占估计总成本的比例确定提供劳务交易的完工进度。</w:t>
      </w:r>
      <w:r>
        <w:rPr>
          <w:rFonts w:ascii="宋体" w:hAnsi="宋体" w:cs="宋体" w:eastAsia="宋体" w:hint="default"/>
          <w:w w:val="100"/>
          <w:sz w:val="21"/>
          <w:szCs w:val="21"/>
        </w:rPr>
        <w:t> </w:t>
      </w:r>
      <w:r>
        <w:rPr>
          <w:rFonts w:ascii="宋体" w:hAnsi="宋体" w:cs="宋体" w:eastAsia="宋体" w:hint="default"/>
          <w:spacing w:val="-4"/>
          <w:w w:val="100"/>
          <w:sz w:val="21"/>
          <w:szCs w:val="21"/>
        </w:rPr>
        <w:t>在资产负债表日提供劳务交易结果不能够可靠估计的，已经发生的劳务成本预计能够得到</w:t>
      </w:r>
    </w:p>
    <w:p>
      <w:pPr>
        <w:spacing w:line="348" w:lineRule="auto" w:before="40"/>
        <w:ind w:left="141" w:right="128" w:firstLine="0"/>
        <w:jc w:val="both"/>
        <w:rPr>
          <w:rFonts w:ascii="宋体" w:hAnsi="宋体" w:cs="宋体" w:eastAsia="宋体" w:hint="default"/>
          <w:sz w:val="21"/>
          <w:szCs w:val="21"/>
        </w:rPr>
      </w:pPr>
      <w:r>
        <w:rPr>
          <w:rFonts w:ascii="宋体" w:hAnsi="宋体" w:cs="宋体" w:eastAsia="宋体" w:hint="default"/>
          <w:spacing w:val="-4"/>
          <w:sz w:val="21"/>
          <w:szCs w:val="21"/>
        </w:rPr>
        <w:t>补偿的，按照已经发生的劳务成本金额确认提供劳务收入，并按相同金额结转劳务成本；已经</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发生的劳务成本预计不能够得到补偿的，将已经发生的劳务成本计入当期损益，不确认提供劳</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务收入。</w:t>
      </w:r>
    </w:p>
    <w:p>
      <w:pPr>
        <w:spacing w:line="240" w:lineRule="auto" w:before="13"/>
        <w:rPr>
          <w:rFonts w:ascii="宋体" w:hAnsi="宋体" w:cs="宋体" w:eastAsia="宋体" w:hint="default"/>
          <w:sz w:val="15"/>
          <w:szCs w:val="15"/>
        </w:rPr>
      </w:pPr>
    </w:p>
    <w:p>
      <w:pPr>
        <w:spacing w:line="340" w:lineRule="auto" w:before="0"/>
        <w:ind w:left="141" w:right="126" w:firstLine="420"/>
        <w:jc w:val="both"/>
        <w:rPr>
          <w:rFonts w:ascii="宋体" w:hAnsi="宋体" w:cs="宋体" w:eastAsia="宋体" w:hint="default"/>
          <w:sz w:val="21"/>
          <w:szCs w:val="21"/>
        </w:rPr>
      </w:pPr>
      <w:r>
        <w:rPr>
          <w:rFonts w:ascii="Times New Roman" w:hAnsi="Times New Roman" w:cs="Times New Roman" w:eastAsia="Times New Roman" w:hint="default"/>
          <w:spacing w:val="-4"/>
          <w:w w:val="95"/>
          <w:sz w:val="21"/>
          <w:szCs w:val="21"/>
        </w:rPr>
        <w:t>3</w:t>
      </w:r>
      <w:r>
        <w:rPr>
          <w:rFonts w:ascii="宋体" w:hAnsi="宋体" w:cs="宋体" w:eastAsia="宋体" w:hint="default"/>
          <w:spacing w:val="-4"/>
          <w:w w:val="95"/>
          <w:sz w:val="21"/>
          <w:szCs w:val="21"/>
        </w:rPr>
        <w:t>．让渡资产使用权，相关的经济利益很可能流入企业，且收入的金额能够可靠地计量的，</w:t>
      </w:r>
      <w:r>
        <w:rPr>
          <w:rFonts w:ascii="宋体" w:hAnsi="宋体" w:cs="宋体" w:eastAsia="宋体" w:hint="default"/>
          <w:w w:val="51"/>
          <w:sz w:val="21"/>
          <w:szCs w:val="21"/>
        </w:rPr>
        <w:t> </w:t>
      </w:r>
      <w:r>
        <w:rPr>
          <w:rFonts w:ascii="宋体" w:hAnsi="宋体" w:cs="宋体" w:eastAsia="宋体" w:hint="default"/>
          <w:spacing w:val="-4"/>
          <w:sz w:val="21"/>
          <w:szCs w:val="21"/>
        </w:rPr>
        <w:t>确认收入。利息收入金额，按照他人使用本企业货币资金的时间和实际利率计算确定。使用费</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收入金额，按照有关合同或协议约定的收费时间和方法计算确定。</w:t>
      </w:r>
    </w:p>
    <w:p>
      <w:pPr>
        <w:spacing w:line="240" w:lineRule="auto" w:before="6"/>
        <w:rPr>
          <w:rFonts w:ascii="宋体" w:hAnsi="宋体" w:cs="宋体" w:eastAsia="宋体" w:hint="default"/>
          <w:sz w:val="16"/>
          <w:szCs w:val="16"/>
        </w:rPr>
      </w:pPr>
    </w:p>
    <w:p>
      <w:pPr>
        <w:tabs>
          <w:tab w:pos="1821" w:val="left" w:leader="none"/>
        </w:tabs>
        <w:spacing w:before="0"/>
        <w:ind w:left="561" w:right="129" w:firstLine="0"/>
        <w:jc w:val="left"/>
        <w:rPr>
          <w:rFonts w:ascii="宋体" w:hAnsi="宋体" w:cs="宋体" w:eastAsia="宋体" w:hint="default"/>
          <w:sz w:val="21"/>
          <w:szCs w:val="21"/>
        </w:rPr>
      </w:pPr>
      <w:r>
        <w:rPr>
          <w:rFonts w:ascii="宋体" w:hAnsi="宋体" w:cs="宋体" w:eastAsia="宋体" w:hint="default"/>
          <w:spacing w:val="-2"/>
          <w:sz w:val="21"/>
          <w:szCs w:val="21"/>
        </w:rPr>
        <w:t>（二十三）</w:t>
        <w:tab/>
      </w:r>
      <w:r>
        <w:rPr>
          <w:rFonts w:ascii="宋体" w:hAnsi="宋体" w:cs="宋体" w:eastAsia="宋体" w:hint="default"/>
          <w:spacing w:val="-1"/>
          <w:sz w:val="21"/>
          <w:szCs w:val="21"/>
        </w:rPr>
        <w:t>政府补助</w:t>
      </w:r>
    </w:p>
    <w:p>
      <w:pPr>
        <w:spacing w:after="0"/>
        <w:jc w:val="left"/>
        <w:rPr>
          <w:rFonts w:ascii="宋体" w:hAnsi="宋体" w:cs="宋体" w:eastAsia="宋体" w:hint="default"/>
          <w:sz w:val="21"/>
          <w:szCs w:val="21"/>
        </w:rPr>
        <w:sectPr>
          <w:pgSz w:w="11910" w:h="16840"/>
          <w:pgMar w:header="943" w:footer="897" w:top="1640" w:bottom="1080" w:left="1560" w:right="1560"/>
        </w:sectPr>
      </w:pPr>
    </w:p>
    <w:p>
      <w:pPr>
        <w:spacing w:line="240" w:lineRule="auto" w:before="4"/>
        <w:rPr>
          <w:rFonts w:ascii="宋体" w:hAnsi="宋体" w:cs="宋体" w:eastAsia="宋体" w:hint="default"/>
          <w:sz w:val="20"/>
          <w:szCs w:val="20"/>
        </w:rPr>
      </w:pPr>
    </w:p>
    <w:p>
      <w:pPr>
        <w:spacing w:line="350" w:lineRule="auto" w:before="36"/>
        <w:ind w:left="141" w:right="0" w:firstLine="420"/>
        <w:jc w:val="left"/>
        <w:rPr>
          <w:rFonts w:ascii="宋体" w:hAnsi="宋体" w:cs="宋体" w:eastAsia="宋体" w:hint="default"/>
          <w:sz w:val="21"/>
          <w:szCs w:val="21"/>
        </w:rPr>
      </w:pPr>
      <w:r>
        <w:rPr>
          <w:rFonts w:ascii="宋体" w:hAnsi="宋体" w:cs="宋体" w:eastAsia="宋体" w:hint="default"/>
          <w:spacing w:val="-5"/>
          <w:sz w:val="21"/>
          <w:szCs w:val="21"/>
        </w:rPr>
        <w:t>政府补助，是指本公司从政府无偿取得货币性资产或非货币性资产，但不包括政府作为企</w:t>
      </w:r>
      <w:r>
        <w:rPr>
          <w:rFonts w:ascii="宋体" w:hAnsi="宋体" w:cs="宋体" w:eastAsia="宋体" w:hint="default"/>
          <w:w w:val="100"/>
          <w:sz w:val="21"/>
          <w:szCs w:val="21"/>
        </w:rPr>
        <w:t> </w:t>
      </w:r>
      <w:r>
        <w:rPr>
          <w:rFonts w:ascii="宋体" w:hAnsi="宋体" w:cs="宋体" w:eastAsia="宋体" w:hint="default"/>
          <w:spacing w:val="-2"/>
          <w:sz w:val="21"/>
          <w:szCs w:val="21"/>
        </w:rPr>
        <w:t>业所有者投入的资本。本公司政府补助分为与资产相关的政府补助和与收益相关的政府补助。</w:t>
      </w:r>
    </w:p>
    <w:p>
      <w:pPr>
        <w:spacing w:line="240" w:lineRule="auto" w:before="11"/>
        <w:rPr>
          <w:rFonts w:ascii="宋体" w:hAnsi="宋体" w:cs="宋体" w:eastAsia="宋体" w:hint="default"/>
          <w:sz w:val="15"/>
          <w:szCs w:val="15"/>
        </w:rPr>
      </w:pPr>
    </w:p>
    <w:p>
      <w:pPr>
        <w:spacing w:line="350"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取得与资产相关的政府补助，确认为递延收益，自相关资产达到预定可使用状态时起，在</w:t>
      </w:r>
      <w:r>
        <w:rPr>
          <w:rFonts w:ascii="宋体" w:hAnsi="宋体" w:cs="宋体" w:eastAsia="宋体" w:hint="default"/>
          <w:w w:val="100"/>
          <w:sz w:val="21"/>
          <w:szCs w:val="21"/>
        </w:rPr>
        <w:t> </w:t>
      </w:r>
      <w:r>
        <w:rPr>
          <w:rFonts w:ascii="宋体" w:hAnsi="宋体" w:cs="宋体" w:eastAsia="宋体" w:hint="default"/>
          <w:spacing w:val="-5"/>
          <w:sz w:val="21"/>
          <w:szCs w:val="21"/>
        </w:rPr>
        <w:t>该资产使用寿命内平均分配，分次计入以后各期的营业外收入。相关资产在使用寿命结束前被</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sz w:val="21"/>
          <w:szCs w:val="21"/>
        </w:rPr>
        <w:t>出售、转让、报废或发生毁损的，将尚未分配的递延收益余额一次性转入资产处置当期的营业</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外收入。</w:t>
      </w:r>
    </w:p>
    <w:p>
      <w:pPr>
        <w:spacing w:line="240" w:lineRule="auto" w:before="11"/>
        <w:rPr>
          <w:rFonts w:ascii="宋体" w:hAnsi="宋体" w:cs="宋体" w:eastAsia="宋体" w:hint="default"/>
          <w:sz w:val="15"/>
          <w:szCs w:val="15"/>
        </w:rPr>
      </w:pPr>
    </w:p>
    <w:p>
      <w:pPr>
        <w:spacing w:line="350" w:lineRule="auto" w:before="0"/>
        <w:ind w:left="141" w:right="0" w:firstLine="420"/>
        <w:jc w:val="left"/>
        <w:rPr>
          <w:rFonts w:ascii="宋体" w:hAnsi="宋体" w:cs="宋体" w:eastAsia="宋体" w:hint="default"/>
          <w:sz w:val="21"/>
          <w:szCs w:val="21"/>
        </w:rPr>
      </w:pPr>
      <w:r>
        <w:rPr>
          <w:rFonts w:ascii="宋体" w:hAnsi="宋体" w:cs="宋体" w:eastAsia="宋体" w:hint="default"/>
          <w:spacing w:val="-5"/>
          <w:sz w:val="21"/>
          <w:szCs w:val="21"/>
        </w:rPr>
        <w:t>与收益相关的政府补助，用于补偿企业以后期间的相关费用或损失的，取得时确认为递延</w:t>
      </w:r>
      <w:r>
        <w:rPr>
          <w:rFonts w:ascii="宋体" w:hAnsi="宋体" w:cs="宋体" w:eastAsia="宋体" w:hint="default"/>
          <w:w w:val="100"/>
          <w:sz w:val="21"/>
          <w:szCs w:val="21"/>
        </w:rPr>
        <w:t> </w:t>
      </w:r>
      <w:r>
        <w:rPr>
          <w:rFonts w:ascii="宋体" w:hAnsi="宋体" w:cs="宋体" w:eastAsia="宋体" w:hint="default"/>
          <w:spacing w:val="-2"/>
          <w:sz w:val="21"/>
          <w:szCs w:val="21"/>
        </w:rPr>
        <w:t>收益，在确认相关费用的期间计入当期营业外收入；用于补偿企业已经发生的费用或损失的，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取得时直接计入当期营业外收入。</w:t>
      </w:r>
    </w:p>
    <w:p>
      <w:pPr>
        <w:spacing w:line="240" w:lineRule="auto" w:before="5"/>
        <w:rPr>
          <w:rFonts w:ascii="宋体" w:hAnsi="宋体" w:cs="宋体" w:eastAsia="宋体" w:hint="default"/>
          <w:sz w:val="14"/>
          <w:szCs w:val="14"/>
        </w:rPr>
      </w:pPr>
    </w:p>
    <w:p>
      <w:pPr>
        <w:tabs>
          <w:tab w:pos="1821" w:val="left" w:leader="none"/>
        </w:tabs>
        <w:spacing w:before="0"/>
        <w:ind w:left="561" w:right="0" w:firstLine="0"/>
        <w:jc w:val="left"/>
        <w:rPr>
          <w:rFonts w:ascii="宋体" w:hAnsi="宋体" w:cs="宋体" w:eastAsia="宋体" w:hint="default"/>
          <w:sz w:val="21"/>
          <w:szCs w:val="21"/>
        </w:rPr>
      </w:pPr>
      <w:r>
        <w:rPr>
          <w:rFonts w:ascii="宋体" w:hAnsi="宋体" w:cs="宋体" w:eastAsia="宋体" w:hint="default"/>
          <w:spacing w:val="-2"/>
          <w:sz w:val="21"/>
          <w:szCs w:val="21"/>
        </w:rPr>
        <w:t>（二十四）</w:t>
        <w:tab/>
        <w:t>递延所得税资产和递延所得税负债</w:t>
      </w:r>
    </w:p>
    <w:p>
      <w:pPr>
        <w:spacing w:line="240" w:lineRule="auto" w:before="3"/>
        <w:rPr>
          <w:rFonts w:ascii="宋体" w:hAnsi="宋体" w:cs="宋体" w:eastAsia="宋体" w:hint="default"/>
          <w:sz w:val="23"/>
          <w:szCs w:val="23"/>
        </w:rPr>
      </w:pPr>
    </w:p>
    <w:p>
      <w:pPr>
        <w:spacing w:line="350" w:lineRule="auto" w:before="0"/>
        <w:ind w:left="141" w:right="215" w:firstLine="420"/>
        <w:jc w:val="both"/>
        <w:rPr>
          <w:rFonts w:ascii="宋体" w:hAnsi="宋体" w:cs="宋体" w:eastAsia="宋体" w:hint="default"/>
          <w:sz w:val="21"/>
          <w:szCs w:val="21"/>
        </w:rPr>
      </w:pPr>
      <w:r>
        <w:rPr>
          <w:rFonts w:ascii="宋体" w:hAnsi="宋体" w:cs="宋体" w:eastAsia="宋体" w:hint="default"/>
          <w:spacing w:val="-5"/>
          <w:w w:val="100"/>
          <w:sz w:val="21"/>
          <w:szCs w:val="21"/>
        </w:rPr>
        <w:t>本公司的所得税费用采用资产负债表债务法核算。递延所得税资产和递延所得税负债根据</w:t>
      </w:r>
      <w:r>
        <w:rPr>
          <w:rFonts w:ascii="宋体" w:hAnsi="宋体" w:cs="宋体" w:eastAsia="宋体" w:hint="default"/>
          <w:w w:val="100"/>
          <w:sz w:val="21"/>
          <w:szCs w:val="21"/>
        </w:rPr>
        <w:t> </w:t>
      </w:r>
      <w:r>
        <w:rPr>
          <w:rFonts w:ascii="宋体" w:hAnsi="宋体" w:cs="宋体" w:eastAsia="宋体" w:hint="default"/>
          <w:spacing w:val="-4"/>
          <w:w w:val="100"/>
          <w:sz w:val="21"/>
          <w:szCs w:val="21"/>
        </w:rPr>
        <w:t>资产和负债的计税基础与账面价值的差额（暂时性差异），于资产负债表日按照预期收回该资</w:t>
      </w:r>
      <w:r>
        <w:rPr>
          <w:rFonts w:ascii="宋体" w:hAnsi="宋体" w:cs="宋体" w:eastAsia="宋体" w:hint="default"/>
          <w:w w:val="100"/>
          <w:sz w:val="21"/>
          <w:szCs w:val="21"/>
        </w:rPr>
        <w:t> </w:t>
      </w:r>
      <w:r>
        <w:rPr>
          <w:rFonts w:ascii="宋体" w:hAnsi="宋体" w:cs="宋体" w:eastAsia="宋体" w:hint="default"/>
          <w:sz w:val="21"/>
          <w:szCs w:val="21"/>
        </w:rPr>
        <w:t>产或清偿该负债期间的适用税率计量确认递延所得税资产和递延所得税负债。</w:t>
      </w:r>
    </w:p>
    <w:p>
      <w:pPr>
        <w:spacing w:line="240" w:lineRule="auto" w:before="11"/>
        <w:rPr>
          <w:rFonts w:ascii="宋体" w:hAnsi="宋体" w:cs="宋体" w:eastAsia="宋体" w:hint="default"/>
          <w:sz w:val="15"/>
          <w:szCs w:val="15"/>
        </w:rPr>
      </w:pPr>
    </w:p>
    <w:p>
      <w:pPr>
        <w:spacing w:line="348" w:lineRule="auto" w:before="0"/>
        <w:ind w:left="141" w:right="217" w:firstLine="420"/>
        <w:jc w:val="both"/>
        <w:rPr>
          <w:rFonts w:ascii="宋体" w:hAnsi="宋体" w:cs="宋体" w:eastAsia="宋体" w:hint="default"/>
          <w:sz w:val="21"/>
          <w:szCs w:val="21"/>
        </w:rPr>
      </w:pPr>
      <w:r>
        <w:rPr>
          <w:rFonts w:ascii="宋体" w:hAnsi="宋体" w:cs="宋体" w:eastAsia="宋体" w:hint="default"/>
          <w:sz w:val="21"/>
          <w:szCs w:val="21"/>
        </w:rPr>
        <w:t>对子公司及联营企业及合营企业投资相关的应纳税暂时性差异确认相应的递延所得税负</w:t>
      </w:r>
      <w:r>
        <w:rPr>
          <w:rFonts w:ascii="宋体" w:hAnsi="宋体" w:cs="宋体" w:eastAsia="宋体" w:hint="default"/>
          <w:w w:val="100"/>
          <w:sz w:val="21"/>
          <w:szCs w:val="21"/>
        </w:rPr>
        <w:t> </w:t>
      </w:r>
      <w:r>
        <w:rPr>
          <w:rFonts w:ascii="宋体" w:hAnsi="宋体" w:cs="宋体" w:eastAsia="宋体" w:hint="default"/>
          <w:spacing w:val="-5"/>
          <w:sz w:val="21"/>
          <w:szCs w:val="21"/>
        </w:rPr>
        <w:t>债，但能够控制暂时性差异转回时间且该暂时性差异在可预见的未来很可能不会转回的，不予</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确认。</w:t>
      </w:r>
    </w:p>
    <w:p>
      <w:pPr>
        <w:spacing w:line="240" w:lineRule="auto" w:before="2"/>
        <w:rPr>
          <w:rFonts w:ascii="宋体" w:hAnsi="宋体" w:cs="宋体" w:eastAsia="宋体" w:hint="default"/>
          <w:sz w:val="16"/>
          <w:szCs w:val="16"/>
        </w:rPr>
      </w:pPr>
    </w:p>
    <w:p>
      <w:pPr>
        <w:spacing w:line="348" w:lineRule="auto" w:before="0"/>
        <w:ind w:left="141" w:right="277" w:firstLine="420"/>
        <w:jc w:val="both"/>
        <w:rPr>
          <w:rFonts w:ascii="宋体" w:hAnsi="宋体" w:cs="宋体" w:eastAsia="宋体" w:hint="default"/>
          <w:sz w:val="21"/>
          <w:szCs w:val="21"/>
        </w:rPr>
      </w:pPr>
      <w:r>
        <w:rPr>
          <w:rFonts w:ascii="宋体" w:hAnsi="宋体" w:cs="宋体" w:eastAsia="宋体" w:hint="default"/>
          <w:sz w:val="21"/>
          <w:szCs w:val="21"/>
        </w:rPr>
        <w:t>递延所得税资产的确认以本公司未来期间很可能取得用来抵扣可抵扣暂时性差异的应纳</w:t>
      </w:r>
      <w:r>
        <w:rPr>
          <w:rFonts w:ascii="宋体" w:hAnsi="宋体" w:cs="宋体" w:eastAsia="宋体" w:hint="default"/>
          <w:w w:val="100"/>
          <w:sz w:val="21"/>
          <w:szCs w:val="21"/>
        </w:rPr>
        <w:t> </w:t>
      </w:r>
      <w:r>
        <w:rPr>
          <w:rFonts w:ascii="宋体" w:hAnsi="宋体" w:cs="宋体" w:eastAsia="宋体" w:hint="default"/>
          <w:sz w:val="21"/>
          <w:szCs w:val="21"/>
        </w:rPr>
        <w:t>税所得额为限。</w:t>
      </w:r>
    </w:p>
    <w:p>
      <w:pPr>
        <w:spacing w:line="240" w:lineRule="auto" w:before="13"/>
        <w:rPr>
          <w:rFonts w:ascii="宋体" w:hAnsi="宋体" w:cs="宋体" w:eastAsia="宋体" w:hint="default"/>
          <w:sz w:val="15"/>
          <w:szCs w:val="15"/>
        </w:rPr>
      </w:pPr>
    </w:p>
    <w:p>
      <w:pPr>
        <w:spacing w:line="350"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w w:val="100"/>
          <w:sz w:val="21"/>
          <w:szCs w:val="21"/>
        </w:rPr>
        <w:t>对子公司、联营企业及合营企业投资相关的可抵扣暂时性差异同时满足暂时性差异在可预</w:t>
      </w:r>
      <w:r>
        <w:rPr>
          <w:rFonts w:ascii="宋体" w:hAnsi="宋体" w:cs="宋体" w:eastAsia="宋体" w:hint="default"/>
          <w:w w:val="100"/>
          <w:sz w:val="21"/>
          <w:szCs w:val="21"/>
        </w:rPr>
        <w:t> </w:t>
      </w:r>
      <w:r>
        <w:rPr>
          <w:rFonts w:ascii="宋体" w:hAnsi="宋体" w:cs="宋体" w:eastAsia="宋体" w:hint="default"/>
          <w:sz w:val="21"/>
          <w:szCs w:val="21"/>
        </w:rPr>
        <w:t>见的未来很可能转回且未来很可能获得用来抵扣暂时性差异的应纳税所得额时确认相应的递</w:t>
      </w:r>
      <w:r>
        <w:rPr>
          <w:rFonts w:ascii="宋体" w:hAnsi="宋体" w:cs="宋体" w:eastAsia="宋体" w:hint="default"/>
          <w:spacing w:val="-57"/>
          <w:sz w:val="21"/>
          <w:szCs w:val="21"/>
        </w:rPr>
        <w:t> </w:t>
      </w:r>
      <w:r>
        <w:rPr>
          <w:rFonts w:ascii="宋体" w:hAnsi="宋体" w:cs="宋体" w:eastAsia="宋体" w:hint="default"/>
          <w:sz w:val="21"/>
          <w:szCs w:val="21"/>
        </w:rPr>
        <w:t>延所得税资产。</w:t>
      </w:r>
    </w:p>
    <w:p>
      <w:pPr>
        <w:spacing w:line="240" w:lineRule="auto" w:before="11"/>
        <w:rPr>
          <w:rFonts w:ascii="宋体" w:hAnsi="宋体" w:cs="宋体" w:eastAsia="宋体" w:hint="default"/>
          <w:sz w:val="15"/>
          <w:szCs w:val="15"/>
        </w:rPr>
      </w:pPr>
    </w:p>
    <w:p>
      <w:pPr>
        <w:spacing w:line="350"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w w:val="100"/>
          <w:sz w:val="21"/>
          <w:szCs w:val="21"/>
        </w:rPr>
        <w:t>对于能够结转以后年度的可抵扣亏损和税款抵减，以很可能获得用来抵扣可抵扣亏损和税</w:t>
      </w:r>
      <w:r>
        <w:rPr>
          <w:rFonts w:ascii="宋体" w:hAnsi="宋体" w:cs="宋体" w:eastAsia="宋体" w:hint="default"/>
          <w:w w:val="100"/>
          <w:sz w:val="21"/>
          <w:szCs w:val="21"/>
        </w:rPr>
        <w:t> </w:t>
      </w:r>
      <w:r>
        <w:rPr>
          <w:rFonts w:ascii="宋体" w:hAnsi="宋体" w:cs="宋体" w:eastAsia="宋体" w:hint="default"/>
          <w:sz w:val="21"/>
          <w:szCs w:val="21"/>
        </w:rPr>
        <w:t>款抵减的未来应纳税所得额为限，确认相应的递延所得税资产。</w:t>
      </w:r>
    </w:p>
    <w:p>
      <w:pPr>
        <w:spacing w:line="240" w:lineRule="auto" w:before="11"/>
        <w:rPr>
          <w:rFonts w:ascii="宋体" w:hAnsi="宋体" w:cs="宋体" w:eastAsia="宋体" w:hint="default"/>
          <w:sz w:val="15"/>
          <w:szCs w:val="15"/>
        </w:rPr>
      </w:pPr>
    </w:p>
    <w:p>
      <w:pPr>
        <w:tabs>
          <w:tab w:pos="1821" w:val="left" w:leader="none"/>
        </w:tabs>
        <w:spacing w:line="491" w:lineRule="auto" w:before="0"/>
        <w:ind w:left="561" w:right="4312" w:firstLine="0"/>
        <w:jc w:val="left"/>
        <w:rPr>
          <w:rFonts w:ascii="宋体" w:hAnsi="宋体" w:cs="宋体" w:eastAsia="宋体" w:hint="default"/>
          <w:sz w:val="21"/>
          <w:szCs w:val="21"/>
        </w:rPr>
      </w:pPr>
      <w:r>
        <w:rPr>
          <w:rFonts w:ascii="宋体" w:hAnsi="宋体" w:cs="宋体" w:eastAsia="宋体" w:hint="default"/>
          <w:spacing w:val="-2"/>
          <w:sz w:val="21"/>
          <w:szCs w:val="21"/>
        </w:rPr>
        <w:t>（二十五）</w:t>
        <w:tab/>
        <w:t>经营租赁、融资租赁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．经营租赁</w:t>
      </w:r>
      <w:r>
        <w:rPr>
          <w:rFonts w:ascii="宋体" w:hAnsi="宋体" w:cs="宋体" w:eastAsia="宋体" w:hint="default"/>
          <w:w w:val="100"/>
          <w:sz w:val="21"/>
          <w:szCs w:val="21"/>
        </w:rPr>
        <w:t> </w:t>
      </w:r>
      <w:r>
        <w:rPr>
          <w:rFonts w:ascii="宋体" w:hAnsi="宋体" w:cs="宋体" w:eastAsia="宋体" w:hint="default"/>
          <w:spacing w:val="-2"/>
          <w:sz w:val="21"/>
          <w:szCs w:val="21"/>
        </w:rPr>
        <w:t>经营租赁是指除融资租赁以外的其它租赁。</w:t>
      </w:r>
    </w:p>
    <w:p>
      <w:pPr>
        <w:spacing w:line="477" w:lineRule="auto" w:before="85"/>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）承租人</w:t>
      </w:r>
      <w:r>
        <w:rPr>
          <w:rFonts w:ascii="宋体" w:hAnsi="宋体" w:cs="宋体" w:eastAsia="宋体" w:hint="default"/>
          <w:w w:val="100"/>
          <w:sz w:val="21"/>
          <w:szCs w:val="21"/>
        </w:rPr>
        <w:t> </w:t>
      </w:r>
      <w:r>
        <w:rPr>
          <w:rFonts w:ascii="宋体" w:hAnsi="宋体" w:cs="宋体" w:eastAsia="宋体" w:hint="default"/>
          <w:spacing w:val="-5"/>
          <w:sz w:val="21"/>
          <w:szCs w:val="21"/>
        </w:rPr>
        <w:t>对于经营租赁的租金，在租赁期内各个期间按照直线法计入相关资产成本或当期损益，发</w:t>
      </w:r>
    </w:p>
    <w:p>
      <w:pPr>
        <w:spacing w:after="0" w:line="477" w:lineRule="auto"/>
        <w:jc w:val="left"/>
        <w:rPr>
          <w:rFonts w:ascii="宋体" w:hAnsi="宋体" w:cs="宋体" w:eastAsia="宋体" w:hint="default"/>
          <w:sz w:val="21"/>
          <w:szCs w:val="21"/>
        </w:rPr>
        <w:sectPr>
          <w:pgSz w:w="11910" w:h="16840"/>
          <w:pgMar w:header="943" w:footer="897" w:top="1640" w:bottom="1080" w:left="1560" w:right="1480"/>
        </w:sectPr>
      </w:pPr>
    </w:p>
    <w:p>
      <w:pPr>
        <w:spacing w:line="240" w:lineRule="auto" w:before="11"/>
        <w:rPr>
          <w:rFonts w:ascii="宋体" w:hAnsi="宋体" w:cs="宋体" w:eastAsia="宋体" w:hint="default"/>
          <w:sz w:val="18"/>
          <w:szCs w:val="18"/>
        </w:rPr>
      </w:pPr>
    </w:p>
    <w:p>
      <w:pPr>
        <w:spacing w:before="36"/>
        <w:ind w:left="141" w:right="0" w:firstLine="0"/>
        <w:jc w:val="left"/>
        <w:rPr>
          <w:rFonts w:ascii="宋体" w:hAnsi="宋体" w:cs="宋体" w:eastAsia="宋体" w:hint="default"/>
          <w:sz w:val="21"/>
          <w:szCs w:val="21"/>
        </w:rPr>
      </w:pPr>
      <w:r>
        <w:rPr>
          <w:rFonts w:ascii="宋体" w:hAnsi="宋体" w:cs="宋体" w:eastAsia="宋体" w:hint="default"/>
          <w:sz w:val="21"/>
          <w:szCs w:val="21"/>
        </w:rPr>
        <w:t>生的初始直接费用计入当期损益。或有租金在实际发生时计入当期损益。</w:t>
      </w:r>
    </w:p>
    <w:p>
      <w:pPr>
        <w:spacing w:line="240" w:lineRule="auto" w:before="5"/>
        <w:rPr>
          <w:rFonts w:ascii="宋体" w:hAnsi="宋体" w:cs="宋体" w:eastAsia="宋体" w:hint="default"/>
          <w:sz w:val="23"/>
          <w:szCs w:val="23"/>
        </w:rPr>
      </w:pPr>
    </w:p>
    <w:p>
      <w:pPr>
        <w:spacing w:line="348"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出租人提供免租期的，将租金总额在不扣除免租期的整个租赁期内，按直线法或其他合理</w:t>
      </w:r>
      <w:r>
        <w:rPr>
          <w:rFonts w:ascii="宋体" w:hAnsi="宋体" w:cs="宋体" w:eastAsia="宋体" w:hint="default"/>
          <w:w w:val="100"/>
          <w:sz w:val="21"/>
          <w:szCs w:val="21"/>
        </w:rPr>
        <w:t> </w:t>
      </w:r>
      <w:r>
        <w:rPr>
          <w:rFonts w:ascii="宋体" w:hAnsi="宋体" w:cs="宋体" w:eastAsia="宋体" w:hint="default"/>
          <w:sz w:val="21"/>
          <w:szCs w:val="21"/>
        </w:rPr>
        <w:t>的方法进行分摊，免租期内确认租金费用。</w:t>
      </w:r>
    </w:p>
    <w:p>
      <w:pPr>
        <w:spacing w:line="240" w:lineRule="auto" w:before="2"/>
        <w:rPr>
          <w:rFonts w:ascii="宋体" w:hAnsi="宋体" w:cs="宋体" w:eastAsia="宋体" w:hint="default"/>
          <w:sz w:val="16"/>
          <w:szCs w:val="16"/>
        </w:rPr>
      </w:pPr>
    </w:p>
    <w:p>
      <w:pPr>
        <w:spacing w:line="348"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sz w:val="21"/>
          <w:szCs w:val="21"/>
        </w:rPr>
        <w:t>出租人承担了某些费用的，将该费用从租金费用总额中扣除，按扣除后的租金费用余额在</w:t>
      </w:r>
      <w:r>
        <w:rPr>
          <w:rFonts w:ascii="宋体" w:hAnsi="宋体" w:cs="宋体" w:eastAsia="宋体" w:hint="default"/>
          <w:w w:val="100"/>
          <w:sz w:val="21"/>
          <w:szCs w:val="21"/>
        </w:rPr>
        <w:t> </w:t>
      </w:r>
      <w:r>
        <w:rPr>
          <w:rFonts w:ascii="宋体" w:hAnsi="宋体" w:cs="宋体" w:eastAsia="宋体" w:hint="default"/>
          <w:sz w:val="21"/>
          <w:szCs w:val="21"/>
        </w:rPr>
        <w:t>租赁期内进行分摊。</w:t>
      </w:r>
    </w:p>
    <w:p>
      <w:pPr>
        <w:spacing w:line="240" w:lineRule="auto" w:before="13"/>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企业的售后租回交易认定为经营租赁的，分别以下情况处理：</w:t>
      </w:r>
    </w:p>
    <w:p>
      <w:pPr>
        <w:spacing w:line="331" w:lineRule="auto" w:before="126"/>
        <w:ind w:left="141" w:right="217"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w:t>
      </w:r>
      <w:r>
        <w:rPr>
          <w:rFonts w:ascii="宋体" w:hAnsi="宋体" w:cs="宋体" w:eastAsia="宋体" w:hint="default"/>
          <w:spacing w:val="-2"/>
          <w:sz w:val="21"/>
          <w:szCs w:val="21"/>
        </w:rPr>
        <w:t>有确凿证据表明售后租回交易是按照公允价值达成的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售价与资产账面价值的差额计入</w:t>
      </w:r>
      <w:r>
        <w:rPr>
          <w:rFonts w:ascii="宋体" w:hAnsi="宋体" w:cs="宋体" w:eastAsia="宋体" w:hint="default"/>
          <w:w w:val="100"/>
          <w:sz w:val="21"/>
          <w:szCs w:val="21"/>
        </w:rPr>
        <w:t> </w:t>
      </w:r>
      <w:r>
        <w:rPr>
          <w:rFonts w:ascii="宋体" w:hAnsi="宋体" w:cs="宋体" w:eastAsia="宋体" w:hint="default"/>
          <w:sz w:val="21"/>
          <w:szCs w:val="21"/>
        </w:rPr>
        <w:t>当期损益。</w:t>
      </w:r>
    </w:p>
    <w:p>
      <w:pPr>
        <w:spacing w:line="336" w:lineRule="auto" w:before="43"/>
        <w:ind w:left="141" w:right="217"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w:t>
      </w:r>
      <w:r>
        <w:rPr>
          <w:rFonts w:ascii="宋体" w:hAnsi="宋体" w:cs="宋体" w:eastAsia="宋体" w:hint="default"/>
          <w:spacing w:val="-2"/>
          <w:sz w:val="21"/>
          <w:szCs w:val="21"/>
        </w:rPr>
        <w:t>售后租回交易如果不是按照公允价值达成的，售价低于公允价值的差额，应计入当期</w:t>
      </w:r>
      <w:r>
        <w:rPr>
          <w:rFonts w:ascii="宋体" w:hAnsi="宋体" w:cs="宋体" w:eastAsia="宋体" w:hint="default"/>
          <w:w w:val="100"/>
          <w:sz w:val="21"/>
          <w:szCs w:val="21"/>
        </w:rPr>
        <w:t> </w:t>
      </w:r>
      <w:r>
        <w:rPr>
          <w:rFonts w:ascii="宋体" w:hAnsi="宋体" w:cs="宋体" w:eastAsia="宋体" w:hint="default"/>
          <w:spacing w:val="-2"/>
          <w:sz w:val="21"/>
          <w:szCs w:val="21"/>
        </w:rPr>
        <w:t>损益；但若该损失将由低于市价的未来租赁付款额补偿时，有关损失应予以递延</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递延收益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w w:val="51"/>
          <w:sz w:val="21"/>
          <w:szCs w:val="21"/>
        </w:rPr>
        <w:t> </w:t>
      </w:r>
      <w:r>
        <w:rPr>
          <w:rFonts w:ascii="宋体" w:hAnsi="宋体" w:cs="宋体" w:eastAsia="宋体" w:hint="default"/>
          <w:spacing w:val="-5"/>
          <w:sz w:val="21"/>
          <w:szCs w:val="21"/>
        </w:rPr>
        <w:t>并按与确认租金费用相一致的方法在租赁期内进行分摊；如果售价大于公允价值，其大于公允</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价值的部分应计入递延收益，并在租赁期内分摊。</w:t>
      </w:r>
    </w:p>
    <w:p>
      <w:pPr>
        <w:spacing w:line="240" w:lineRule="auto" w:before="13"/>
        <w:rPr>
          <w:rFonts w:ascii="宋体" w:hAnsi="宋体" w:cs="宋体" w:eastAsia="宋体" w:hint="default"/>
          <w:sz w:val="16"/>
          <w:szCs w:val="16"/>
        </w:rPr>
      </w:pPr>
    </w:p>
    <w:p>
      <w:pPr>
        <w:spacing w:line="477" w:lineRule="auto" w:before="0"/>
        <w:ind w:left="340" w:right="1475" w:firstLine="2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）出租人</w:t>
      </w:r>
      <w:r>
        <w:rPr>
          <w:rFonts w:ascii="宋体" w:hAnsi="宋体" w:cs="宋体" w:eastAsia="宋体" w:hint="default"/>
          <w:w w:val="100"/>
          <w:sz w:val="21"/>
          <w:szCs w:val="21"/>
        </w:rPr>
        <w:t> </w:t>
      </w:r>
      <w:r>
        <w:rPr>
          <w:rFonts w:ascii="宋体" w:hAnsi="宋体" w:cs="宋体" w:eastAsia="宋体" w:hint="default"/>
          <w:spacing w:val="-2"/>
          <w:sz w:val="21"/>
          <w:szCs w:val="21"/>
        </w:rPr>
        <w:t>按资产的性质将用作经营租赁的资产包括在资产负债表中的相关项目内。</w:t>
      </w:r>
    </w:p>
    <w:p>
      <w:pPr>
        <w:spacing w:line="350" w:lineRule="auto" w:before="95"/>
        <w:ind w:left="141" w:right="112" w:firstLine="199"/>
        <w:jc w:val="both"/>
        <w:rPr>
          <w:rFonts w:ascii="宋体" w:hAnsi="宋体" w:cs="宋体" w:eastAsia="宋体" w:hint="default"/>
          <w:sz w:val="21"/>
          <w:szCs w:val="21"/>
        </w:rPr>
      </w:pPr>
      <w:r>
        <w:rPr>
          <w:rFonts w:ascii="宋体" w:hAnsi="宋体" w:cs="宋体" w:eastAsia="宋体" w:hint="default"/>
          <w:spacing w:val="-4"/>
          <w:sz w:val="21"/>
          <w:szCs w:val="21"/>
        </w:rPr>
        <w:t>对于经营租赁的租金，在租赁期内各个期间按照直线法确认为当期损益。发生的初始直接费</w:t>
      </w:r>
      <w:r>
        <w:rPr>
          <w:rFonts w:ascii="宋体" w:hAnsi="宋体" w:cs="宋体" w:eastAsia="宋体" w:hint="default"/>
          <w:w w:val="100"/>
          <w:sz w:val="21"/>
          <w:szCs w:val="21"/>
        </w:rPr>
        <w:t> </w:t>
      </w:r>
      <w:r>
        <w:rPr>
          <w:rFonts w:ascii="宋体" w:hAnsi="宋体" w:cs="宋体" w:eastAsia="宋体" w:hint="default"/>
          <w:spacing w:val="-5"/>
          <w:sz w:val="21"/>
          <w:szCs w:val="21"/>
        </w:rPr>
        <w:t>用计入当期损益，金额较大的资本化，在整个经营租赁期间内按照与确认租金收入相同的基础</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分期计入当期损益。对于经营租赁资产中的固定资产，采用类似资产的折旧政策计提折旧，对</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于其它经营租赁资产，采用系统合理的方法进行摊销。或有租金在实际发生时计入当期损益。</w:t>
      </w:r>
    </w:p>
    <w:p>
      <w:pPr>
        <w:spacing w:line="240" w:lineRule="auto" w:before="11"/>
        <w:rPr>
          <w:rFonts w:ascii="宋体" w:hAnsi="宋体" w:cs="宋体" w:eastAsia="宋体" w:hint="default"/>
          <w:sz w:val="15"/>
          <w:szCs w:val="15"/>
        </w:rPr>
      </w:pPr>
    </w:p>
    <w:p>
      <w:pPr>
        <w:spacing w:line="350" w:lineRule="auto" w:before="0"/>
        <w:ind w:left="141" w:right="217" w:firstLine="199"/>
        <w:jc w:val="both"/>
        <w:rPr>
          <w:rFonts w:ascii="宋体" w:hAnsi="宋体" w:cs="宋体" w:eastAsia="宋体" w:hint="default"/>
          <w:sz w:val="21"/>
          <w:szCs w:val="21"/>
        </w:rPr>
      </w:pPr>
      <w:r>
        <w:rPr>
          <w:rFonts w:ascii="宋体" w:hAnsi="宋体" w:cs="宋体" w:eastAsia="宋体" w:hint="default"/>
          <w:spacing w:val="-4"/>
          <w:sz w:val="21"/>
          <w:szCs w:val="21"/>
        </w:rPr>
        <w:t>提供免租期的，将租金总额在不扣除免租期的整个租赁期内，按直线法或其他合理的方法进</w:t>
      </w:r>
      <w:r>
        <w:rPr>
          <w:rFonts w:ascii="宋体" w:hAnsi="宋体" w:cs="宋体" w:eastAsia="宋体" w:hint="default"/>
          <w:w w:val="100"/>
          <w:sz w:val="21"/>
          <w:szCs w:val="21"/>
        </w:rPr>
        <w:t> </w:t>
      </w:r>
      <w:r>
        <w:rPr>
          <w:rFonts w:ascii="宋体" w:hAnsi="宋体" w:cs="宋体" w:eastAsia="宋体" w:hint="default"/>
          <w:spacing w:val="-5"/>
          <w:sz w:val="21"/>
          <w:szCs w:val="21"/>
        </w:rPr>
        <w:t>行分配，免租期内出租人确认租金收入。承担了承租人某些费用的，将该费用自租金收入总额</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中扣除，按扣除后的租金收入余额在租赁期内进行分配。</w:t>
      </w:r>
    </w:p>
    <w:p>
      <w:pPr>
        <w:spacing w:line="240" w:lineRule="auto" w:before="11"/>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．融资租赁</w:t>
      </w:r>
    </w:p>
    <w:p>
      <w:pPr>
        <w:spacing w:line="240" w:lineRule="auto" w:before="13"/>
        <w:rPr>
          <w:rFonts w:ascii="宋体" w:hAnsi="宋体" w:cs="宋体" w:eastAsia="宋体" w:hint="default"/>
          <w:sz w:val="21"/>
          <w:szCs w:val="21"/>
        </w:rPr>
      </w:pPr>
    </w:p>
    <w:p>
      <w:pPr>
        <w:spacing w:line="350" w:lineRule="auto" w:before="0"/>
        <w:ind w:left="141" w:right="217" w:firstLine="199"/>
        <w:jc w:val="both"/>
        <w:rPr>
          <w:rFonts w:ascii="宋体" w:hAnsi="宋体" w:cs="宋体" w:eastAsia="宋体" w:hint="default"/>
          <w:sz w:val="21"/>
          <w:szCs w:val="21"/>
        </w:rPr>
      </w:pPr>
      <w:r>
        <w:rPr>
          <w:rFonts w:ascii="宋体" w:hAnsi="宋体" w:cs="宋体" w:eastAsia="宋体" w:hint="default"/>
          <w:spacing w:val="-4"/>
          <w:w w:val="100"/>
          <w:sz w:val="21"/>
          <w:szCs w:val="21"/>
        </w:rPr>
        <w:t>融资租赁是指实质上转移了与资产所有权有关的全部风险和报酬的租赁。其所有权最终可能</w:t>
      </w:r>
      <w:r>
        <w:rPr>
          <w:rFonts w:ascii="宋体" w:hAnsi="宋体" w:cs="宋体" w:eastAsia="宋体" w:hint="default"/>
          <w:w w:val="100"/>
          <w:sz w:val="21"/>
          <w:szCs w:val="21"/>
        </w:rPr>
        <w:t> </w:t>
      </w:r>
      <w:r>
        <w:rPr>
          <w:rFonts w:ascii="宋体" w:hAnsi="宋体" w:cs="宋体" w:eastAsia="宋体" w:hint="default"/>
          <w:sz w:val="21"/>
          <w:szCs w:val="21"/>
        </w:rPr>
        <w:t>转移也可能不转转移。</w:t>
      </w:r>
    </w:p>
    <w:p>
      <w:pPr>
        <w:spacing w:line="240" w:lineRule="auto" w:before="11"/>
        <w:rPr>
          <w:rFonts w:ascii="宋体" w:hAnsi="宋体" w:cs="宋体" w:eastAsia="宋体" w:hint="default"/>
          <w:sz w:val="15"/>
          <w:szCs w:val="15"/>
        </w:rPr>
      </w:pPr>
    </w:p>
    <w:p>
      <w:pPr>
        <w:spacing w:before="0"/>
        <w:ind w:left="3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）承租人</w:t>
      </w:r>
    </w:p>
    <w:p>
      <w:pPr>
        <w:spacing w:line="240" w:lineRule="auto" w:before="13"/>
        <w:rPr>
          <w:rFonts w:ascii="宋体" w:hAnsi="宋体" w:cs="宋体" w:eastAsia="宋体" w:hint="default"/>
          <w:sz w:val="21"/>
          <w:szCs w:val="21"/>
        </w:rPr>
      </w:pPr>
    </w:p>
    <w:p>
      <w:pPr>
        <w:spacing w:line="350" w:lineRule="auto" w:before="0"/>
        <w:ind w:left="141" w:right="217" w:firstLine="420"/>
        <w:jc w:val="both"/>
        <w:rPr>
          <w:rFonts w:ascii="宋体" w:hAnsi="宋体" w:cs="宋体" w:eastAsia="宋体" w:hint="default"/>
          <w:sz w:val="21"/>
          <w:szCs w:val="21"/>
        </w:rPr>
      </w:pPr>
      <w:r>
        <w:rPr>
          <w:rFonts w:ascii="宋体" w:hAnsi="宋体" w:cs="宋体" w:eastAsia="宋体" w:hint="default"/>
          <w:spacing w:val="-5"/>
          <w:w w:val="100"/>
          <w:sz w:val="21"/>
          <w:szCs w:val="21"/>
        </w:rPr>
        <w:t>在租赁期开始日，将租赁开始日租赁资产公允价值与最低租赁付款额现值两者中较低者作</w:t>
      </w:r>
      <w:r>
        <w:rPr>
          <w:rFonts w:ascii="宋体" w:hAnsi="宋体" w:cs="宋体" w:eastAsia="宋体" w:hint="default"/>
          <w:w w:val="100"/>
          <w:sz w:val="21"/>
          <w:szCs w:val="21"/>
        </w:rPr>
        <w:t> </w:t>
      </w:r>
      <w:r>
        <w:rPr>
          <w:rFonts w:ascii="宋体" w:hAnsi="宋体" w:cs="宋体" w:eastAsia="宋体" w:hint="default"/>
          <w:spacing w:val="-5"/>
          <w:sz w:val="21"/>
          <w:szCs w:val="21"/>
        </w:rPr>
        <w:t>为租入资产的入账价值，将最低租赁付款额作为长期应付款的入账价值，其差额作为未确认融</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w w:val="100"/>
          <w:sz w:val="21"/>
          <w:szCs w:val="21"/>
        </w:rPr>
        <w:t>资费用。在租赁谈判和签订租赁合同过程中发生的可归属于租赁项目的初始直接费用计入租入</w:t>
      </w:r>
    </w:p>
    <w:p>
      <w:pPr>
        <w:spacing w:after="0" w:line="350" w:lineRule="auto"/>
        <w:jc w:val="both"/>
        <w:rPr>
          <w:rFonts w:ascii="宋体" w:hAnsi="宋体" w:cs="宋体" w:eastAsia="宋体" w:hint="default"/>
          <w:sz w:val="21"/>
          <w:szCs w:val="21"/>
        </w:rPr>
        <w:sectPr>
          <w:pgSz w:w="11910" w:h="16840"/>
          <w:pgMar w:header="943" w:footer="897" w:top="1640" w:bottom="1080" w:left="1560" w:right="1480"/>
        </w:sectPr>
      </w:pPr>
    </w:p>
    <w:p>
      <w:pPr>
        <w:spacing w:line="240" w:lineRule="auto" w:before="11"/>
        <w:rPr>
          <w:rFonts w:ascii="宋体" w:hAnsi="宋体" w:cs="宋体" w:eastAsia="宋体" w:hint="default"/>
          <w:sz w:val="18"/>
          <w:szCs w:val="18"/>
        </w:rPr>
      </w:pPr>
    </w:p>
    <w:p>
      <w:pPr>
        <w:spacing w:before="36"/>
        <w:ind w:left="141" w:right="0" w:firstLine="0"/>
        <w:jc w:val="both"/>
        <w:rPr>
          <w:rFonts w:ascii="宋体" w:hAnsi="宋体" w:cs="宋体" w:eastAsia="宋体" w:hint="default"/>
          <w:sz w:val="21"/>
          <w:szCs w:val="21"/>
        </w:rPr>
      </w:pPr>
      <w:r>
        <w:rPr>
          <w:rFonts w:ascii="宋体" w:hAnsi="宋体" w:cs="宋体" w:eastAsia="宋体" w:hint="default"/>
          <w:sz w:val="21"/>
          <w:szCs w:val="21"/>
        </w:rPr>
        <w:t>资产价值。</w:t>
      </w:r>
    </w:p>
    <w:p>
      <w:pPr>
        <w:spacing w:line="240" w:lineRule="auto" w:before="11"/>
        <w:rPr>
          <w:rFonts w:ascii="宋体" w:hAnsi="宋体" w:cs="宋体" w:eastAsia="宋体" w:hint="default"/>
          <w:sz w:val="24"/>
          <w:szCs w:val="24"/>
        </w:rPr>
      </w:pPr>
    </w:p>
    <w:p>
      <w:pPr>
        <w:spacing w:line="350"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sz w:val="21"/>
          <w:szCs w:val="21"/>
        </w:rPr>
        <w:t>在计算最低租赁付款额的现值时，能够取得出租人的租赁内含利率的，采用出租人的租赁</w:t>
      </w:r>
      <w:r>
        <w:rPr>
          <w:rFonts w:ascii="宋体" w:hAnsi="宋体" w:cs="宋体" w:eastAsia="宋体" w:hint="default"/>
          <w:w w:val="100"/>
          <w:sz w:val="21"/>
          <w:szCs w:val="21"/>
        </w:rPr>
        <w:t> </w:t>
      </w:r>
      <w:r>
        <w:rPr>
          <w:rFonts w:ascii="宋体" w:hAnsi="宋体" w:cs="宋体" w:eastAsia="宋体" w:hint="default"/>
          <w:spacing w:val="-5"/>
          <w:sz w:val="21"/>
          <w:szCs w:val="21"/>
        </w:rPr>
        <w:t>内含利率作为折现率；否则，采用租赁合同规定的利率作为折现率。无法取得出租人的租赁内</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含利率且租赁合同没有规定利率，采用同期银行贷款利率作为折现率。未确认的融资费用采用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实际利率法在租赁期内各个期间进行分摊。</w:t>
      </w:r>
    </w:p>
    <w:p>
      <w:pPr>
        <w:spacing w:line="240" w:lineRule="auto" w:before="11"/>
        <w:rPr>
          <w:rFonts w:ascii="宋体" w:hAnsi="宋体" w:cs="宋体" w:eastAsia="宋体" w:hint="default"/>
          <w:sz w:val="15"/>
          <w:szCs w:val="15"/>
        </w:rPr>
      </w:pPr>
    </w:p>
    <w:p>
      <w:pPr>
        <w:spacing w:line="348"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5"/>
          <w:w w:val="100"/>
          <w:sz w:val="21"/>
          <w:szCs w:val="21"/>
        </w:rPr>
        <w:t>对租赁资产采用与自有应折旧资产相一致的折旧政策。能够合理确定租赁期满时取得租赁</w:t>
      </w:r>
      <w:r>
        <w:rPr>
          <w:rFonts w:ascii="宋体" w:hAnsi="宋体" w:cs="宋体" w:eastAsia="宋体" w:hint="default"/>
          <w:w w:val="100"/>
          <w:sz w:val="21"/>
          <w:szCs w:val="21"/>
        </w:rPr>
        <w:t> </w:t>
      </w:r>
      <w:r>
        <w:rPr>
          <w:rFonts w:ascii="宋体" w:hAnsi="宋体" w:cs="宋体" w:eastAsia="宋体" w:hint="default"/>
          <w:spacing w:val="-5"/>
          <w:sz w:val="21"/>
          <w:szCs w:val="21"/>
        </w:rPr>
        <w:t>资产所有权的，在租赁资产使用寿命内计提折旧。无法合理确定租赁期满时取得租赁资产所有</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权的，在租赁期与租赁资产使用寿命两者中较短的期间内计提折旧。</w:t>
      </w:r>
    </w:p>
    <w:p>
      <w:pPr>
        <w:spacing w:line="240" w:lineRule="auto" w:before="13"/>
        <w:rPr>
          <w:rFonts w:ascii="宋体" w:hAnsi="宋体" w:cs="宋体" w:eastAsia="宋体" w:hint="default"/>
          <w:sz w:val="15"/>
          <w:szCs w:val="15"/>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或有租金在实际发生时计入当期损益。</w:t>
      </w:r>
    </w:p>
    <w:p>
      <w:pPr>
        <w:spacing w:line="560" w:lineRule="atLeast" w:before="36"/>
        <w:ind w:left="561" w:right="129" w:hanging="2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）出租人</w:t>
      </w:r>
      <w:r>
        <w:rPr>
          <w:rFonts w:ascii="宋体" w:hAnsi="宋体" w:cs="宋体" w:eastAsia="宋体" w:hint="default"/>
          <w:w w:val="100"/>
          <w:sz w:val="21"/>
          <w:szCs w:val="21"/>
        </w:rPr>
        <w:t> </w:t>
      </w:r>
      <w:r>
        <w:rPr>
          <w:rFonts w:ascii="宋体" w:hAnsi="宋体" w:cs="宋体" w:eastAsia="宋体" w:hint="default"/>
          <w:spacing w:val="-5"/>
          <w:w w:val="100"/>
          <w:sz w:val="21"/>
          <w:szCs w:val="21"/>
        </w:rPr>
        <w:t>在租赁期开始日，将租赁开始日最低租赁收款额与初始直接费用之和作为应收融资租赁款</w:t>
      </w:r>
    </w:p>
    <w:p>
      <w:pPr>
        <w:spacing w:line="348" w:lineRule="auto" w:before="126"/>
        <w:ind w:left="141" w:right="137" w:firstLine="0"/>
        <w:jc w:val="both"/>
        <w:rPr>
          <w:rFonts w:ascii="宋体" w:hAnsi="宋体" w:cs="宋体" w:eastAsia="宋体" w:hint="default"/>
          <w:sz w:val="21"/>
          <w:szCs w:val="21"/>
        </w:rPr>
      </w:pPr>
      <w:r>
        <w:rPr>
          <w:rFonts w:ascii="宋体" w:hAnsi="宋体" w:cs="宋体" w:eastAsia="宋体" w:hint="default"/>
          <w:spacing w:val="-5"/>
          <w:sz w:val="21"/>
          <w:szCs w:val="21"/>
        </w:rPr>
        <w:t>的入帐价值，同时记录未担保余值；将最低租赁收款额、初始直接费用及未担保余值之和与其</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w w:val="100"/>
          <w:sz w:val="21"/>
          <w:szCs w:val="21"/>
        </w:rPr>
        <w:t>现值之和的差额确认为未实现融资收益。未实现融资收益采用实际利率法在租赁期内各个期间</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进行分配。</w:t>
      </w:r>
    </w:p>
    <w:p>
      <w:pPr>
        <w:spacing w:line="240" w:lineRule="auto" w:before="13"/>
        <w:rPr>
          <w:rFonts w:ascii="宋体" w:hAnsi="宋体" w:cs="宋体" w:eastAsia="宋体" w:hint="default"/>
          <w:sz w:val="15"/>
          <w:szCs w:val="15"/>
        </w:rPr>
      </w:pPr>
    </w:p>
    <w:p>
      <w:pPr>
        <w:spacing w:line="350" w:lineRule="auto" w:before="0"/>
        <w:ind w:left="141" w:right="137" w:firstLine="199"/>
        <w:jc w:val="both"/>
        <w:rPr>
          <w:rFonts w:ascii="宋体" w:hAnsi="宋体" w:cs="宋体" w:eastAsia="宋体" w:hint="default"/>
          <w:sz w:val="21"/>
          <w:szCs w:val="21"/>
        </w:rPr>
      </w:pPr>
      <w:r>
        <w:rPr>
          <w:rFonts w:ascii="宋体" w:hAnsi="宋体" w:cs="宋体" w:eastAsia="宋体" w:hint="default"/>
          <w:spacing w:val="-4"/>
          <w:sz w:val="21"/>
          <w:szCs w:val="21"/>
        </w:rPr>
        <w:t>每年年度终了，对未担保余值进行复核。未担保余值增加的，不作调整。有证据表明未担保</w:t>
      </w:r>
      <w:r>
        <w:rPr>
          <w:rFonts w:ascii="宋体" w:hAnsi="宋体" w:cs="宋体" w:eastAsia="宋体" w:hint="default"/>
          <w:w w:val="100"/>
          <w:sz w:val="21"/>
          <w:szCs w:val="21"/>
        </w:rPr>
        <w:t> </w:t>
      </w:r>
      <w:r>
        <w:rPr>
          <w:rFonts w:ascii="宋体" w:hAnsi="宋体" w:cs="宋体" w:eastAsia="宋体" w:hint="default"/>
          <w:spacing w:val="-5"/>
          <w:sz w:val="21"/>
          <w:szCs w:val="21"/>
        </w:rPr>
        <w:t>余值已经减少的，重新计算租赁内含利率，由此引起的租赁投资净额的减少计入当期损益；以</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w w:val="100"/>
          <w:sz w:val="21"/>
          <w:szCs w:val="21"/>
        </w:rPr>
        <w:t>后各期根据修正后的租赁投资净额和重新计算的租赁内含利率确认融资收入。租赁投资净额是</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融资租赁中最低租赁收款额及未担保余值之和与未实现融资收益之间的差额。</w:t>
      </w:r>
    </w:p>
    <w:p>
      <w:pPr>
        <w:spacing w:line="240" w:lineRule="auto" w:before="11"/>
        <w:rPr>
          <w:rFonts w:ascii="宋体" w:hAnsi="宋体" w:cs="宋体" w:eastAsia="宋体" w:hint="default"/>
          <w:sz w:val="15"/>
          <w:szCs w:val="15"/>
        </w:rPr>
      </w:pPr>
    </w:p>
    <w:p>
      <w:pPr>
        <w:spacing w:line="350" w:lineRule="auto" w:before="0"/>
        <w:ind w:left="141" w:right="137" w:firstLine="199"/>
        <w:jc w:val="both"/>
        <w:rPr>
          <w:rFonts w:ascii="宋体" w:hAnsi="宋体" w:cs="宋体" w:eastAsia="宋体" w:hint="default"/>
          <w:sz w:val="21"/>
          <w:szCs w:val="21"/>
        </w:rPr>
      </w:pPr>
      <w:r>
        <w:rPr>
          <w:rFonts w:ascii="宋体" w:hAnsi="宋体" w:cs="宋体" w:eastAsia="宋体" w:hint="default"/>
          <w:spacing w:val="-4"/>
          <w:sz w:val="21"/>
          <w:szCs w:val="21"/>
        </w:rPr>
        <w:t>已确认损失的未担保余值得以恢复的，在原已确认的损失金额内转回，并重新计算租赁内含</w:t>
      </w:r>
      <w:r>
        <w:rPr>
          <w:rFonts w:ascii="宋体" w:hAnsi="宋体" w:cs="宋体" w:eastAsia="宋体" w:hint="default"/>
          <w:w w:val="100"/>
          <w:sz w:val="21"/>
          <w:szCs w:val="21"/>
        </w:rPr>
        <w:t> </w:t>
      </w:r>
      <w:r>
        <w:rPr>
          <w:rFonts w:ascii="宋体" w:hAnsi="宋体" w:cs="宋体" w:eastAsia="宋体" w:hint="default"/>
          <w:sz w:val="21"/>
          <w:szCs w:val="21"/>
        </w:rPr>
        <w:t>利率，以后各期根据修正后的租赁投资净额和重新计算的租赁内含利率确认融资收入。</w:t>
      </w:r>
    </w:p>
    <w:p>
      <w:pPr>
        <w:spacing w:line="240" w:lineRule="auto" w:before="11"/>
        <w:rPr>
          <w:rFonts w:ascii="宋体" w:hAnsi="宋体" w:cs="宋体" w:eastAsia="宋体" w:hint="default"/>
          <w:sz w:val="15"/>
          <w:szCs w:val="15"/>
        </w:rPr>
      </w:pPr>
    </w:p>
    <w:p>
      <w:pPr>
        <w:spacing w:before="0"/>
        <w:ind w:left="340" w:right="129" w:firstLine="0"/>
        <w:jc w:val="left"/>
        <w:rPr>
          <w:rFonts w:ascii="宋体" w:hAnsi="宋体" w:cs="宋体" w:eastAsia="宋体" w:hint="default"/>
          <w:sz w:val="21"/>
          <w:szCs w:val="21"/>
        </w:rPr>
      </w:pPr>
      <w:r>
        <w:rPr>
          <w:rFonts w:ascii="宋体" w:hAnsi="宋体" w:cs="宋体" w:eastAsia="宋体" w:hint="default"/>
          <w:sz w:val="21"/>
          <w:szCs w:val="21"/>
        </w:rPr>
        <w:t>或有租金在实际发生时计入当期损益。</w:t>
      </w:r>
    </w:p>
    <w:p>
      <w:pPr>
        <w:spacing w:line="240" w:lineRule="auto" w:before="5"/>
        <w:rPr>
          <w:rFonts w:ascii="宋体" w:hAnsi="宋体" w:cs="宋体" w:eastAsia="宋体" w:hint="default"/>
          <w:sz w:val="23"/>
          <w:szCs w:val="23"/>
        </w:rPr>
      </w:pPr>
    </w:p>
    <w:p>
      <w:pPr>
        <w:tabs>
          <w:tab w:pos="1821" w:val="left" w:leader="none"/>
        </w:tabs>
        <w:spacing w:line="491" w:lineRule="auto" w:before="0"/>
        <w:ind w:left="561" w:right="4021" w:firstLine="0"/>
        <w:jc w:val="left"/>
        <w:rPr>
          <w:rFonts w:ascii="宋体" w:hAnsi="宋体" w:cs="宋体" w:eastAsia="宋体" w:hint="default"/>
          <w:sz w:val="21"/>
          <w:szCs w:val="21"/>
        </w:rPr>
      </w:pPr>
      <w:r>
        <w:rPr>
          <w:rFonts w:ascii="宋体" w:hAnsi="宋体" w:cs="宋体" w:eastAsia="宋体" w:hint="default"/>
          <w:spacing w:val="-2"/>
          <w:sz w:val="21"/>
          <w:szCs w:val="21"/>
        </w:rPr>
        <w:t>（二十六）</w:t>
        <w:tab/>
        <w:t>主要会计政策、会计估计的变更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w:t>
      </w:r>
      <w:r>
        <w:rPr>
          <w:rFonts w:ascii="宋体" w:hAnsi="宋体" w:cs="宋体" w:eastAsia="宋体" w:hint="default"/>
          <w:w w:val="100"/>
          <w:sz w:val="21"/>
          <w:szCs w:val="21"/>
        </w:rPr>
        <w:t> </w:t>
      </w:r>
      <w:r>
        <w:rPr>
          <w:rFonts w:ascii="宋体" w:hAnsi="宋体" w:cs="宋体" w:eastAsia="宋体" w:hint="default"/>
          <w:sz w:val="21"/>
          <w:szCs w:val="21"/>
        </w:rPr>
        <w:t>本报告期内无会计政策变更。</w:t>
      </w:r>
    </w:p>
    <w:p>
      <w:pPr>
        <w:spacing w:before="104"/>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．会计估计变更</w:t>
      </w:r>
    </w:p>
    <w:p>
      <w:pPr>
        <w:spacing w:line="240" w:lineRule="auto" w:before="6"/>
        <w:rPr>
          <w:rFonts w:ascii="宋体" w:hAnsi="宋体" w:cs="宋体" w:eastAsia="宋体" w:hint="default"/>
          <w:sz w:val="23"/>
          <w:szCs w:val="23"/>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本报告期内无会计估计变更。</w:t>
      </w:r>
    </w:p>
    <w:p>
      <w:pPr>
        <w:spacing w:line="240" w:lineRule="auto" w:before="5"/>
        <w:rPr>
          <w:rFonts w:ascii="宋体" w:hAnsi="宋体" w:cs="宋体" w:eastAsia="宋体" w:hint="default"/>
          <w:sz w:val="23"/>
          <w:szCs w:val="23"/>
        </w:rPr>
      </w:pPr>
    </w:p>
    <w:p>
      <w:pPr>
        <w:tabs>
          <w:tab w:pos="1821" w:val="left" w:leader="none"/>
        </w:tabs>
        <w:spacing w:before="0"/>
        <w:ind w:left="561" w:right="129" w:firstLine="0"/>
        <w:jc w:val="left"/>
        <w:rPr>
          <w:rFonts w:ascii="宋体" w:hAnsi="宋体" w:cs="宋体" w:eastAsia="宋体" w:hint="default"/>
          <w:sz w:val="21"/>
          <w:szCs w:val="21"/>
        </w:rPr>
      </w:pPr>
      <w:r>
        <w:rPr>
          <w:rFonts w:ascii="宋体" w:hAnsi="宋体" w:cs="宋体" w:eastAsia="宋体" w:hint="default"/>
          <w:spacing w:val="-2"/>
          <w:sz w:val="21"/>
          <w:szCs w:val="21"/>
        </w:rPr>
        <w:t>（二十七）</w:t>
        <w:tab/>
        <w:t>前期会计差错更正</w:t>
      </w:r>
    </w:p>
    <w:p>
      <w:pPr>
        <w:spacing w:after="0"/>
        <w:jc w:val="left"/>
        <w:rPr>
          <w:rFonts w:ascii="宋体" w:hAnsi="宋体" w:cs="宋体" w:eastAsia="宋体" w:hint="default"/>
          <w:sz w:val="21"/>
          <w:szCs w:val="21"/>
        </w:rPr>
        <w:sectPr>
          <w:pgSz w:w="11910" w:h="16840"/>
          <w:pgMar w:header="943" w:footer="897" w:top="1640" w:bottom="1080" w:left="1560" w:right="1560"/>
        </w:sectPr>
      </w:pPr>
    </w:p>
    <w:p>
      <w:pPr>
        <w:spacing w:line="240" w:lineRule="auto" w:before="4"/>
        <w:rPr>
          <w:rFonts w:ascii="宋体" w:hAnsi="宋体" w:cs="宋体" w:eastAsia="宋体" w:hint="default"/>
          <w:sz w:val="20"/>
          <w:szCs w:val="20"/>
        </w:rPr>
      </w:pPr>
    </w:p>
    <w:p>
      <w:pPr>
        <w:spacing w:before="36"/>
        <w:ind w:left="641" w:right="212" w:firstLine="0"/>
        <w:jc w:val="left"/>
        <w:rPr>
          <w:rFonts w:ascii="宋体" w:hAnsi="宋体" w:cs="宋体" w:eastAsia="宋体" w:hint="default"/>
          <w:sz w:val="21"/>
          <w:szCs w:val="21"/>
        </w:rPr>
      </w:pPr>
      <w:r>
        <w:rPr>
          <w:rFonts w:ascii="宋体" w:hAnsi="宋体" w:cs="宋体" w:eastAsia="宋体" w:hint="default"/>
          <w:sz w:val="21"/>
          <w:szCs w:val="21"/>
        </w:rPr>
        <w:t>本报告期内无重大前期会计差错更正。</w:t>
      </w:r>
    </w:p>
    <w:p>
      <w:pPr>
        <w:spacing w:line="240" w:lineRule="auto" w:before="5"/>
        <w:rPr>
          <w:rFonts w:ascii="宋体" w:hAnsi="宋体" w:cs="宋体" w:eastAsia="宋体" w:hint="default"/>
          <w:sz w:val="23"/>
          <w:szCs w:val="23"/>
        </w:rPr>
      </w:pPr>
    </w:p>
    <w:p>
      <w:pPr>
        <w:spacing w:before="0"/>
        <w:ind w:left="641" w:right="212" w:firstLine="0"/>
        <w:jc w:val="left"/>
        <w:rPr>
          <w:rFonts w:ascii="宋体" w:hAnsi="宋体" w:cs="宋体" w:eastAsia="宋体" w:hint="default"/>
          <w:sz w:val="21"/>
          <w:szCs w:val="21"/>
        </w:rPr>
      </w:pPr>
      <w:r>
        <w:rPr>
          <w:rFonts w:ascii="宋体" w:hAnsi="宋体" w:cs="宋体" w:eastAsia="宋体" w:hint="default"/>
          <w:sz w:val="21"/>
          <w:szCs w:val="21"/>
        </w:rPr>
        <w:t>附注三、税项</w:t>
      </w:r>
    </w:p>
    <w:p>
      <w:pPr>
        <w:spacing w:line="240" w:lineRule="auto" w:before="3"/>
        <w:rPr>
          <w:rFonts w:ascii="宋体" w:hAnsi="宋体" w:cs="宋体" w:eastAsia="宋体" w:hint="default"/>
          <w:sz w:val="23"/>
          <w:szCs w:val="23"/>
        </w:rPr>
      </w:pPr>
    </w:p>
    <w:p>
      <w:pPr>
        <w:spacing w:before="0"/>
        <w:ind w:left="286" w:right="212"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7"/>
          <w:sz w:val="21"/>
          <w:szCs w:val="21"/>
        </w:rPr>
        <w:t> </w:t>
      </w:r>
      <w:r>
        <w:rPr>
          <w:rFonts w:ascii="宋体" w:hAnsi="宋体" w:cs="宋体" w:eastAsia="宋体" w:hint="default"/>
          <w:sz w:val="21"/>
          <w:szCs w:val="21"/>
        </w:rPr>
        <w:t>主要税种及税率</w:t>
      </w:r>
    </w:p>
    <w:p>
      <w:pPr>
        <w:spacing w:line="240" w:lineRule="auto" w:before="4"/>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454" w:hRule="exact"/>
        </w:trPr>
        <w:tc>
          <w:tcPr>
            <w:tcW w:w="2909" w:type="dxa"/>
            <w:tcBorders>
              <w:top w:val="single" w:sz="4" w:space="0" w:color="000008"/>
              <w:left w:val="single" w:sz="4" w:space="0" w:color="000008"/>
              <w:bottom w:val="single" w:sz="6" w:space="0" w:color="000008"/>
              <w:right w:val="single" w:sz="6" w:space="0" w:color="000008"/>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906"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906" w:type="dxa"/>
            <w:tcBorders>
              <w:top w:val="single" w:sz="4" w:space="0" w:color="000008"/>
              <w:left w:val="single" w:sz="6" w:space="0" w:color="000008"/>
              <w:bottom w:val="single" w:sz="6"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6" w:hRule="exact"/>
        </w:trPr>
        <w:tc>
          <w:tcPr>
            <w:tcW w:w="2909"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*1</w:t>
            </w:r>
          </w:p>
        </w:tc>
        <w:tc>
          <w:tcPr>
            <w:tcW w:w="29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5"/>
              <w:ind w:left="146" w:right="0"/>
              <w:jc w:val="left"/>
              <w:rPr>
                <w:rFonts w:ascii="宋体" w:hAnsi="宋体" w:cs="宋体" w:eastAsia="宋体" w:hint="default"/>
                <w:sz w:val="18"/>
                <w:szCs w:val="18"/>
              </w:rPr>
            </w:pPr>
            <w:r>
              <w:rPr>
                <w:rFonts w:ascii="宋体" w:hAnsi="宋体" w:cs="宋体" w:eastAsia="宋体" w:hint="default"/>
                <w:sz w:val="18"/>
                <w:szCs w:val="18"/>
              </w:rPr>
              <w:t>商品销售增值额</w:t>
            </w:r>
          </w:p>
        </w:tc>
        <w:tc>
          <w:tcPr>
            <w:tcW w:w="2906"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45"/>
              <w:ind w:right="6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54" w:hRule="exact"/>
        </w:trPr>
        <w:tc>
          <w:tcPr>
            <w:tcW w:w="2909"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4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营业税</w:t>
            </w:r>
            <w:r>
              <w:rPr>
                <w:rFonts w:ascii="Times New Roman" w:hAnsi="Times New Roman" w:cs="Times New Roman" w:eastAsia="Times New Roman" w:hint="default"/>
                <w:sz w:val="18"/>
                <w:szCs w:val="18"/>
              </w:rPr>
              <w:t>*2</w:t>
            </w:r>
          </w:p>
        </w:tc>
        <w:tc>
          <w:tcPr>
            <w:tcW w:w="29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146"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2906"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40"/>
              <w:ind w:right="6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56" w:hRule="exact"/>
        </w:trPr>
        <w:tc>
          <w:tcPr>
            <w:tcW w:w="2909"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42"/>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r>
            <w:r>
              <w:rPr>
                <w:rFonts w:ascii="Times New Roman" w:hAnsi="Times New Roman" w:cs="Times New Roman" w:eastAsia="Times New Roman" w:hint="default"/>
                <w:sz w:val="18"/>
                <w:szCs w:val="18"/>
              </w:rPr>
              <w:t>*3</w:t>
            </w:r>
          </w:p>
        </w:tc>
        <w:tc>
          <w:tcPr>
            <w:tcW w:w="29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2"/>
              <w:ind w:left="146"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906"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42"/>
              <w:ind w:right="6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51" w:hRule="exact"/>
        </w:trPr>
        <w:tc>
          <w:tcPr>
            <w:tcW w:w="2909" w:type="dxa"/>
            <w:tcBorders>
              <w:top w:val="single" w:sz="6" w:space="0" w:color="000008"/>
              <w:left w:val="single" w:sz="4" w:space="0" w:color="000008"/>
              <w:bottom w:val="single" w:sz="4" w:space="0" w:color="000008"/>
              <w:right w:val="single" w:sz="6" w:space="0" w:color="000008"/>
            </w:tcBorders>
          </w:tcPr>
          <w:p>
            <w:pPr>
              <w:pStyle w:val="TableParagraph"/>
              <w:spacing w:line="240" w:lineRule="auto" w:before="142"/>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企业所得税</w:t>
            </w:r>
            <w:r>
              <w:rPr>
                <w:rFonts w:ascii="Times New Roman" w:hAnsi="Times New Roman" w:cs="Times New Roman" w:eastAsia="Times New Roman" w:hint="default"/>
                <w:sz w:val="18"/>
                <w:szCs w:val="18"/>
              </w:rPr>
              <w:t>*3</w:t>
            </w:r>
          </w:p>
        </w:tc>
        <w:tc>
          <w:tcPr>
            <w:tcW w:w="2906"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42"/>
              <w:ind w:left="14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906" w:type="dxa"/>
            <w:tcBorders>
              <w:top w:val="single" w:sz="6" w:space="0" w:color="000008"/>
              <w:left w:val="single" w:sz="6" w:space="0" w:color="000008"/>
              <w:bottom w:val="single" w:sz="4" w:space="0" w:color="000008"/>
              <w:right w:val="single" w:sz="4" w:space="0" w:color="000008"/>
            </w:tcBorders>
          </w:tcPr>
          <w:p>
            <w:pPr>
              <w:pStyle w:val="TableParagraph"/>
              <w:spacing w:line="240" w:lineRule="auto" w:before="142"/>
              <w:ind w:right="6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240" w:lineRule="auto" w:before="8"/>
        <w:rPr>
          <w:rFonts w:ascii="宋体" w:hAnsi="宋体" w:cs="宋体" w:eastAsia="宋体" w:hint="default"/>
          <w:sz w:val="19"/>
          <w:szCs w:val="19"/>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除农业产品适用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的增值税税率外，其他产品适用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的增值税税率。</w:t>
      </w:r>
    </w:p>
    <w:p>
      <w:pPr>
        <w:spacing w:line="240" w:lineRule="auto" w:before="13"/>
        <w:rPr>
          <w:rFonts w:ascii="宋体" w:hAnsi="宋体" w:cs="宋体" w:eastAsia="宋体" w:hint="default"/>
          <w:sz w:val="21"/>
          <w:szCs w:val="21"/>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本公司软件服务收入和建筑安装收入按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的税率征收，其他适用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的税率。</w:t>
      </w:r>
    </w:p>
    <w:p>
      <w:pPr>
        <w:spacing w:line="240" w:lineRule="auto" w:before="13"/>
        <w:rPr>
          <w:rFonts w:ascii="宋体" w:hAnsi="宋体" w:cs="宋体" w:eastAsia="宋体" w:hint="default"/>
          <w:sz w:val="21"/>
          <w:szCs w:val="21"/>
        </w:rPr>
      </w:pPr>
    </w:p>
    <w:p>
      <w:pPr>
        <w:spacing w:line="331" w:lineRule="auto" w:before="0"/>
        <w:ind w:left="221" w:right="212"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除注册于深圳区域内的公司适用城建税按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征收、企业所得税按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征收外，其他</w:t>
      </w:r>
      <w:r>
        <w:rPr>
          <w:rFonts w:ascii="宋体" w:hAnsi="宋体" w:cs="宋体" w:eastAsia="宋体" w:hint="default"/>
          <w:w w:val="100"/>
          <w:sz w:val="21"/>
          <w:szCs w:val="21"/>
        </w:rPr>
        <w:t> </w:t>
      </w:r>
      <w:r>
        <w:rPr>
          <w:rFonts w:ascii="宋体" w:hAnsi="宋体" w:cs="宋体" w:eastAsia="宋体" w:hint="default"/>
          <w:sz w:val="21"/>
          <w:szCs w:val="21"/>
        </w:rPr>
        <w:t>公司均执行国家普通税率。</w:t>
      </w:r>
    </w:p>
    <w:p>
      <w:pPr>
        <w:spacing w:line="240" w:lineRule="auto" w:before="1"/>
        <w:rPr>
          <w:rFonts w:ascii="宋体" w:hAnsi="宋体" w:cs="宋体" w:eastAsia="宋体" w:hint="default"/>
          <w:sz w:val="17"/>
          <w:szCs w:val="17"/>
        </w:rPr>
      </w:pPr>
    </w:p>
    <w:p>
      <w:pPr>
        <w:spacing w:before="0"/>
        <w:ind w:left="641" w:right="212" w:firstLine="0"/>
        <w:jc w:val="left"/>
        <w:rPr>
          <w:rFonts w:ascii="宋体" w:hAnsi="宋体" w:cs="宋体" w:eastAsia="宋体" w:hint="default"/>
          <w:sz w:val="21"/>
          <w:szCs w:val="21"/>
        </w:rPr>
      </w:pPr>
      <w:r>
        <w:rPr>
          <w:rFonts w:ascii="宋体" w:hAnsi="宋体" w:cs="宋体" w:eastAsia="宋体" w:hint="default"/>
          <w:sz w:val="21"/>
          <w:szCs w:val="21"/>
        </w:rPr>
        <w:t>（二）税收优惠及批文</w:t>
      </w:r>
    </w:p>
    <w:p>
      <w:pPr>
        <w:spacing w:line="240" w:lineRule="auto" w:before="3"/>
        <w:rPr>
          <w:rFonts w:ascii="宋体" w:hAnsi="宋体" w:cs="宋体" w:eastAsia="宋体" w:hint="default"/>
          <w:sz w:val="23"/>
          <w:szCs w:val="23"/>
        </w:rPr>
      </w:pPr>
    </w:p>
    <w:p>
      <w:pPr>
        <w:spacing w:line="331" w:lineRule="auto" w:before="0"/>
        <w:ind w:left="221" w:right="212"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、本公司子公司深圳市农牧实业有限公司经深圳市国家税务局批准，对养殖、饲料收入</w:t>
      </w:r>
      <w:r>
        <w:rPr>
          <w:rFonts w:ascii="宋体" w:hAnsi="宋体" w:cs="宋体" w:eastAsia="宋体" w:hint="default"/>
          <w:w w:val="100"/>
          <w:sz w:val="21"/>
          <w:szCs w:val="21"/>
        </w:rPr>
        <w:t> </w:t>
      </w:r>
      <w:r>
        <w:rPr>
          <w:rFonts w:ascii="宋体" w:hAnsi="宋体" w:cs="宋体" w:eastAsia="宋体" w:hint="default"/>
          <w:sz w:val="21"/>
          <w:szCs w:val="21"/>
        </w:rPr>
        <w:t>免征增值税。</w:t>
      </w:r>
    </w:p>
    <w:p>
      <w:pPr>
        <w:spacing w:line="240" w:lineRule="auto" w:before="1"/>
        <w:rPr>
          <w:rFonts w:ascii="宋体" w:hAnsi="宋体" w:cs="宋体" w:eastAsia="宋体" w:hint="default"/>
          <w:sz w:val="17"/>
          <w:szCs w:val="17"/>
        </w:rPr>
      </w:pPr>
    </w:p>
    <w:p>
      <w:pPr>
        <w:spacing w:line="331" w:lineRule="auto" w:before="0"/>
        <w:ind w:left="221" w:right="2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、本公司子公司深圳市农牧实业有限公司经深圳市地方税务局以深圳税发（</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1998</w:t>
      </w:r>
      <w:r>
        <w:rPr>
          <w:rFonts w:ascii="宋体" w:hAnsi="宋体" w:cs="宋体" w:eastAsia="宋体" w:hint="default"/>
          <w:sz w:val="21"/>
          <w:szCs w:val="21"/>
        </w:rPr>
        <w:t>）</w:t>
      </w:r>
      <w:r>
        <w:rPr>
          <w:rFonts w:ascii="Times New Roman" w:hAnsi="Times New Roman" w:cs="Times New Roman" w:eastAsia="Times New Roman" w:hint="default"/>
          <w:sz w:val="21"/>
          <w:szCs w:val="21"/>
        </w:rPr>
        <w:t>120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号文批准，该公司自</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年度起，逐年获得自种、自养及其连续加工的生产经营所得暂免征</w:t>
      </w:r>
      <w:r>
        <w:rPr>
          <w:rFonts w:ascii="宋体" w:hAnsi="宋体" w:cs="宋体" w:eastAsia="宋体" w:hint="default"/>
          <w:w w:val="100"/>
          <w:sz w:val="21"/>
          <w:szCs w:val="21"/>
        </w:rPr>
        <w:t> </w:t>
      </w:r>
      <w:r>
        <w:rPr>
          <w:rFonts w:ascii="宋体" w:hAnsi="宋体" w:cs="宋体" w:eastAsia="宋体" w:hint="default"/>
          <w:sz w:val="21"/>
          <w:szCs w:val="21"/>
        </w:rPr>
        <w:t>收企业所得税资格。</w:t>
      </w:r>
    </w:p>
    <w:p>
      <w:pPr>
        <w:spacing w:after="0" w:line="331" w:lineRule="auto"/>
        <w:jc w:val="both"/>
        <w:rPr>
          <w:rFonts w:ascii="宋体" w:hAnsi="宋体" w:cs="宋体" w:eastAsia="宋体" w:hint="default"/>
          <w:sz w:val="21"/>
          <w:szCs w:val="21"/>
        </w:rPr>
        <w:sectPr>
          <w:pgSz w:w="11910" w:h="16840"/>
          <w:pgMar w:header="943" w:footer="897" w:top="1640" w:bottom="1080" w:left="1480" w:right="14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638" w:right="0" w:firstLine="0"/>
        <w:jc w:val="left"/>
        <w:rPr>
          <w:rFonts w:ascii="宋体" w:hAnsi="宋体" w:cs="宋体" w:eastAsia="宋体" w:hint="default"/>
          <w:sz w:val="21"/>
          <w:szCs w:val="21"/>
        </w:rPr>
      </w:pPr>
      <w:r>
        <w:rPr>
          <w:rFonts w:ascii="宋体" w:hAnsi="宋体" w:cs="宋体" w:eastAsia="宋体" w:hint="default"/>
          <w:sz w:val="21"/>
          <w:szCs w:val="21"/>
        </w:rPr>
        <w:t>附注四、企业合并及合并财务报表</w:t>
      </w:r>
    </w:p>
    <w:p>
      <w:pPr>
        <w:spacing w:line="240" w:lineRule="auto" w:before="3"/>
        <w:rPr>
          <w:rFonts w:ascii="宋体" w:hAnsi="宋体" w:cs="宋体" w:eastAsia="宋体" w:hint="default"/>
          <w:sz w:val="23"/>
          <w:szCs w:val="23"/>
        </w:rPr>
      </w:pPr>
    </w:p>
    <w:p>
      <w:pPr>
        <w:tabs>
          <w:tab w:pos="2918" w:val="left" w:leader="none"/>
        </w:tabs>
        <w:spacing w:before="0"/>
        <w:ind w:left="638" w:right="0" w:firstLine="0"/>
        <w:jc w:val="left"/>
        <w:rPr>
          <w:rFonts w:ascii="宋体" w:hAnsi="宋体" w:cs="宋体" w:eastAsia="宋体" w:hint="default"/>
          <w:sz w:val="21"/>
          <w:szCs w:val="21"/>
        </w:rPr>
      </w:pPr>
      <w:r>
        <w:rPr>
          <w:rFonts w:ascii="宋体" w:hAnsi="宋体" w:cs="宋体" w:eastAsia="宋体" w:hint="default"/>
          <w:spacing w:val="-1"/>
          <w:sz w:val="21"/>
          <w:szCs w:val="21"/>
        </w:rPr>
        <w:t>（一）</w:t>
        <w:tab/>
      </w:r>
      <w:r>
        <w:rPr>
          <w:rFonts w:ascii="宋体" w:hAnsi="宋体" w:cs="宋体" w:eastAsia="宋体" w:hint="default"/>
          <w:spacing w:val="-2"/>
          <w:sz w:val="21"/>
          <w:szCs w:val="21"/>
        </w:rPr>
        <w:t>子公司情况</w:t>
      </w:r>
    </w:p>
    <w:p>
      <w:pPr>
        <w:spacing w:line="240" w:lineRule="auto" w:before="3"/>
        <w:rPr>
          <w:rFonts w:ascii="宋体" w:hAnsi="宋体" w:cs="宋体" w:eastAsia="宋体" w:hint="default"/>
          <w:sz w:val="23"/>
          <w:szCs w:val="23"/>
        </w:rPr>
      </w:pPr>
    </w:p>
    <w:p>
      <w:pPr>
        <w:spacing w:before="0"/>
        <w:ind w:left="6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1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718"/>
        <w:gridCol w:w="1234"/>
        <w:gridCol w:w="934"/>
        <w:gridCol w:w="1714"/>
        <w:gridCol w:w="974"/>
        <w:gridCol w:w="2719"/>
        <w:gridCol w:w="967"/>
        <w:gridCol w:w="941"/>
        <w:gridCol w:w="938"/>
        <w:gridCol w:w="641"/>
      </w:tblGrid>
      <w:tr>
        <w:trPr>
          <w:trHeight w:val="1330"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446" w:lineRule="auto" w:before="149"/>
              <w:ind w:left="302" w:right="300"/>
              <w:jc w:val="center"/>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446" w:lineRule="auto" w:before="149"/>
              <w:ind w:left="208" w:right="119"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446" w:lineRule="auto" w:before="132"/>
              <w:ind w:left="148" w:right="151" w:firstLine="13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446" w:lineRule="auto" w:before="132"/>
              <w:ind w:left="148" w:right="149"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8"/>
              <w:ind w:left="136" w:right="132"/>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451"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14808</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10705</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72.99</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72.99</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2460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1259</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酒店业</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客房餐饮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99</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物业管理、租赁</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4034</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信息咨询、系统开发</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2749</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95</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流通业</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物资供销、配送</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pacing w:val="-2"/>
                <w:sz w:val="18"/>
              </w:rPr>
              <w:t>110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公路货运</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865</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86.5</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86.5</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冷库经营</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云南鲲鹏农产品电子商务批发市场有限公司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食糖、酒精等现货及网上交易</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2200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惠州</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6800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农产品物流、配送</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3468</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3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7000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headerReference w:type="default" r:id="rId157"/>
          <w:footerReference w:type="default" r:id="rId158"/>
          <w:pgSz w:w="16840" w:h="11910" w:orient="landscape"/>
          <w:pgMar w:header="943" w:footer="896" w:top="1640" w:bottom="1080" w:left="1200" w:right="640"/>
          <w:pgNumType w:start="138"/>
        </w:sectPr>
      </w:pPr>
    </w:p>
    <w:p>
      <w:pPr>
        <w:spacing w:line="240" w:lineRule="auto" w:before="13"/>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3720"/>
        <w:gridCol w:w="1234"/>
        <w:gridCol w:w="934"/>
        <w:gridCol w:w="1714"/>
        <w:gridCol w:w="974"/>
        <w:gridCol w:w="2719"/>
        <w:gridCol w:w="967"/>
        <w:gridCol w:w="941"/>
        <w:gridCol w:w="938"/>
        <w:gridCol w:w="641"/>
      </w:tblGrid>
      <w:tr>
        <w:trPr>
          <w:trHeight w:val="408" w:hRule="exact"/>
        </w:trPr>
        <w:tc>
          <w:tcPr>
            <w:tcW w:w="3720" w:type="dxa"/>
            <w:tcBorders>
              <w:top w:val="single" w:sz="4" w:space="0" w:color="000008"/>
              <w:left w:val="single" w:sz="4" w:space="0" w:color="000008"/>
              <w:bottom w:val="nil" w:sz="6" w:space="0" w:color="auto"/>
              <w:right w:val="single" w:sz="4" w:space="0" w:color="000008"/>
            </w:tcBorders>
          </w:tcPr>
          <w:p>
            <w:pPr/>
          </w:p>
        </w:tc>
        <w:tc>
          <w:tcPr>
            <w:tcW w:w="1234" w:type="dxa"/>
            <w:tcBorders>
              <w:top w:val="single" w:sz="4" w:space="0" w:color="000008"/>
              <w:left w:val="single" w:sz="4" w:space="0" w:color="000008"/>
              <w:bottom w:val="nil" w:sz="6" w:space="0" w:color="auto"/>
              <w:right w:val="single" w:sz="4" w:space="0" w:color="000008"/>
            </w:tcBorders>
          </w:tcPr>
          <w:p>
            <w:pPr/>
          </w:p>
        </w:tc>
        <w:tc>
          <w:tcPr>
            <w:tcW w:w="934" w:type="dxa"/>
            <w:tcBorders>
              <w:top w:val="single" w:sz="4" w:space="0" w:color="000008"/>
              <w:left w:val="single" w:sz="4" w:space="0" w:color="000008"/>
              <w:bottom w:val="nil" w:sz="6" w:space="0" w:color="auto"/>
              <w:right w:val="single" w:sz="4" w:space="0" w:color="000008"/>
            </w:tcBorders>
          </w:tcPr>
          <w:p>
            <w:pPr/>
          </w:p>
        </w:tc>
        <w:tc>
          <w:tcPr>
            <w:tcW w:w="1714" w:type="dxa"/>
            <w:tcBorders>
              <w:top w:val="single" w:sz="4" w:space="0" w:color="000008"/>
              <w:left w:val="single" w:sz="4" w:space="0" w:color="000008"/>
              <w:bottom w:val="nil" w:sz="6" w:space="0" w:color="auto"/>
              <w:right w:val="single" w:sz="4" w:space="0" w:color="000008"/>
            </w:tcBorders>
          </w:tcPr>
          <w:p>
            <w:pPr/>
          </w:p>
        </w:tc>
        <w:tc>
          <w:tcPr>
            <w:tcW w:w="9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注册</w:t>
            </w:r>
          </w:p>
        </w:tc>
        <w:tc>
          <w:tcPr>
            <w:tcW w:w="2719" w:type="dxa"/>
            <w:tcBorders>
              <w:top w:val="single" w:sz="4" w:space="0" w:color="000008"/>
              <w:left w:val="single" w:sz="4" w:space="0" w:color="000008"/>
              <w:bottom w:val="nil" w:sz="6" w:space="0" w:color="auto"/>
              <w:right w:val="single" w:sz="4" w:space="0" w:color="000008"/>
            </w:tcBorders>
          </w:tcPr>
          <w:p>
            <w:pPr/>
          </w:p>
        </w:tc>
        <w:tc>
          <w:tcPr>
            <w:tcW w:w="967"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47"/>
              <w:ind w:left="117" w:right="0"/>
              <w:jc w:val="left"/>
              <w:rPr>
                <w:rFonts w:ascii="宋体" w:hAnsi="宋体" w:cs="宋体" w:eastAsia="宋体" w:hint="default"/>
                <w:sz w:val="18"/>
                <w:szCs w:val="18"/>
              </w:rPr>
            </w:pPr>
            <w:r>
              <w:rPr>
                <w:rFonts w:ascii="宋体" w:hAnsi="宋体" w:cs="宋体" w:eastAsia="宋体" w:hint="default"/>
                <w:sz w:val="18"/>
                <w:szCs w:val="18"/>
              </w:rPr>
              <w:t>期末实际</w:t>
            </w:r>
          </w:p>
        </w:tc>
        <w:tc>
          <w:tcPr>
            <w:tcW w:w="941" w:type="dxa"/>
            <w:tcBorders>
              <w:top w:val="single" w:sz="4" w:space="0" w:color="000008"/>
              <w:left w:val="single" w:sz="4" w:space="0" w:color="000008"/>
              <w:bottom w:val="nil" w:sz="6" w:space="0" w:color="auto"/>
              <w:right w:val="single" w:sz="4" w:space="0" w:color="000008"/>
            </w:tcBorders>
          </w:tcPr>
          <w:p>
            <w:pPr/>
          </w:p>
        </w:tc>
        <w:tc>
          <w:tcPr>
            <w:tcW w:w="938" w:type="dxa"/>
            <w:tcBorders>
              <w:top w:val="single" w:sz="4" w:space="0" w:color="000008"/>
              <w:left w:val="single" w:sz="4" w:space="0" w:color="000008"/>
              <w:bottom w:val="nil" w:sz="6" w:space="0" w:color="auto"/>
              <w:right w:val="single" w:sz="4" w:space="0" w:color="000008"/>
            </w:tcBorders>
          </w:tcPr>
          <w:p>
            <w:pPr/>
          </w:p>
        </w:tc>
        <w:tc>
          <w:tcPr>
            <w:tcW w:w="641"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是否</w:t>
            </w:r>
          </w:p>
        </w:tc>
      </w:tr>
      <w:tr>
        <w:trPr>
          <w:trHeight w:val="220" w:hRule="exact"/>
        </w:trPr>
        <w:tc>
          <w:tcPr>
            <w:tcW w:w="3720" w:type="dxa"/>
            <w:tcBorders>
              <w:top w:val="nil" w:sz="6" w:space="0" w:color="auto"/>
              <w:left w:val="single" w:sz="4" w:space="0" w:color="000008"/>
              <w:bottom w:val="nil" w:sz="6" w:space="0" w:color="auto"/>
              <w:right w:val="single" w:sz="4" w:space="0" w:color="000008"/>
            </w:tcBorders>
          </w:tcPr>
          <w:p>
            <w:pPr/>
          </w:p>
        </w:tc>
        <w:tc>
          <w:tcPr>
            <w:tcW w:w="1234" w:type="dxa"/>
            <w:tcBorders>
              <w:top w:val="nil" w:sz="6" w:space="0" w:color="auto"/>
              <w:left w:val="single" w:sz="4" w:space="0" w:color="000008"/>
              <w:bottom w:val="nil" w:sz="6" w:space="0" w:color="auto"/>
              <w:right w:val="single" w:sz="4" w:space="0" w:color="000008"/>
            </w:tcBorders>
          </w:tcPr>
          <w:p>
            <w:pPr/>
          </w:p>
        </w:tc>
        <w:tc>
          <w:tcPr>
            <w:tcW w:w="934" w:type="dxa"/>
            <w:tcBorders>
              <w:top w:val="nil" w:sz="6" w:space="0" w:color="auto"/>
              <w:left w:val="single" w:sz="4" w:space="0" w:color="000008"/>
              <w:bottom w:val="nil" w:sz="6" w:space="0" w:color="auto"/>
              <w:right w:val="single" w:sz="4" w:space="0" w:color="000008"/>
            </w:tcBorders>
          </w:tcPr>
          <w:p>
            <w:pPr/>
          </w:p>
        </w:tc>
        <w:tc>
          <w:tcPr>
            <w:tcW w:w="1714" w:type="dxa"/>
            <w:tcBorders>
              <w:top w:val="nil" w:sz="6" w:space="0" w:color="auto"/>
              <w:left w:val="single" w:sz="4" w:space="0" w:color="000008"/>
              <w:bottom w:val="nil" w:sz="6" w:space="0" w:color="auto"/>
              <w:right w:val="single" w:sz="4" w:space="0" w:color="000008"/>
            </w:tcBorders>
          </w:tcPr>
          <w:p>
            <w:pPr/>
          </w:p>
        </w:tc>
        <w:tc>
          <w:tcPr>
            <w:tcW w:w="974" w:type="dxa"/>
            <w:tcBorders>
              <w:top w:val="nil" w:sz="6" w:space="0" w:color="auto"/>
              <w:left w:val="single" w:sz="4" w:space="0" w:color="000008"/>
              <w:bottom w:val="nil" w:sz="6" w:space="0" w:color="auto"/>
              <w:right w:val="single" w:sz="4" w:space="0" w:color="000008"/>
            </w:tcBorders>
          </w:tcPr>
          <w:p>
            <w:pPr/>
          </w:p>
        </w:tc>
        <w:tc>
          <w:tcPr>
            <w:tcW w:w="2719" w:type="dxa"/>
            <w:tcBorders>
              <w:top w:val="nil" w:sz="6" w:space="0" w:color="auto"/>
              <w:left w:val="single" w:sz="4" w:space="0" w:color="000008"/>
              <w:bottom w:val="nil" w:sz="6" w:space="0" w:color="auto"/>
              <w:right w:val="single" w:sz="4" w:space="0" w:color="000008"/>
            </w:tcBorders>
          </w:tcPr>
          <w:p>
            <w:pPr/>
          </w:p>
        </w:tc>
        <w:tc>
          <w:tcPr>
            <w:tcW w:w="967" w:type="dxa"/>
            <w:tcBorders>
              <w:top w:val="nil" w:sz="6" w:space="0" w:color="auto"/>
              <w:left w:val="single" w:sz="4" w:space="0" w:color="000008"/>
              <w:bottom w:val="nil" w:sz="6" w:space="0" w:color="auto"/>
              <w:right w:val="single" w:sz="4" w:space="0" w:color="000008"/>
            </w:tcBorders>
          </w:tcPr>
          <w:p>
            <w:pPr/>
          </w:p>
        </w:tc>
        <w:tc>
          <w:tcPr>
            <w:tcW w:w="941" w:type="dxa"/>
            <w:tcBorders>
              <w:top w:val="nil" w:sz="6" w:space="0" w:color="auto"/>
              <w:left w:val="single" w:sz="4" w:space="0" w:color="000008"/>
              <w:bottom w:val="nil" w:sz="6" w:space="0" w:color="auto"/>
              <w:right w:val="single" w:sz="4" w:space="0" w:color="000008"/>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938" w:type="dxa"/>
            <w:tcBorders>
              <w:top w:val="nil" w:sz="6" w:space="0" w:color="auto"/>
              <w:left w:val="single" w:sz="4" w:space="0" w:color="000008"/>
              <w:bottom w:val="nil" w:sz="6" w:space="0" w:color="auto"/>
              <w:right w:val="single" w:sz="4" w:space="0" w:color="000008"/>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641" w:type="dxa"/>
            <w:tcBorders>
              <w:top w:val="nil" w:sz="6" w:space="0" w:color="auto"/>
              <w:left w:val="single" w:sz="4" w:space="0" w:color="000008"/>
              <w:bottom w:val="nil" w:sz="6" w:space="0" w:color="auto"/>
              <w:right w:val="single" w:sz="4" w:space="0" w:color="000008"/>
            </w:tcBorders>
          </w:tcPr>
          <w:p>
            <w:pPr/>
          </w:p>
        </w:tc>
      </w:tr>
      <w:tr>
        <w:trPr>
          <w:trHeight w:val="221" w:hRule="exact"/>
        </w:trPr>
        <w:tc>
          <w:tcPr>
            <w:tcW w:w="3720" w:type="dxa"/>
            <w:tcBorders>
              <w:top w:val="nil" w:sz="6" w:space="0" w:color="auto"/>
              <w:left w:val="single" w:sz="4" w:space="0" w:color="000008"/>
              <w:bottom w:val="nil" w:sz="6" w:space="0" w:color="auto"/>
              <w:right w:val="single" w:sz="4" w:space="0" w:color="000008"/>
            </w:tcBorders>
          </w:tcPr>
          <w:p>
            <w:pPr>
              <w:pStyle w:val="TableParagraph"/>
              <w:spacing w:line="202" w:lineRule="exact"/>
              <w:ind w:left="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nil" w:sz="6" w:space="0" w:color="auto"/>
              <w:left w:val="single" w:sz="4" w:space="0" w:color="000008"/>
              <w:bottom w:val="nil" w:sz="6" w:space="0" w:color="auto"/>
              <w:right w:val="single" w:sz="4" w:space="0" w:color="000008"/>
            </w:tcBorders>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34" w:type="dxa"/>
            <w:tcBorders>
              <w:top w:val="nil" w:sz="6" w:space="0" w:color="auto"/>
              <w:left w:val="single" w:sz="4" w:space="0" w:color="000008"/>
              <w:bottom w:val="nil" w:sz="6" w:space="0" w:color="auto"/>
              <w:right w:val="single" w:sz="4" w:space="0" w:color="000008"/>
            </w:tcBorders>
          </w:tcPr>
          <w:p>
            <w:pPr>
              <w:pStyle w:val="TableParagraph"/>
              <w:spacing w:line="202" w:lineRule="exact"/>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14" w:type="dxa"/>
            <w:tcBorders>
              <w:top w:val="nil" w:sz="6" w:space="0" w:color="auto"/>
              <w:left w:val="single" w:sz="4" w:space="0" w:color="000008"/>
              <w:bottom w:val="nil" w:sz="6" w:space="0" w:color="auto"/>
              <w:right w:val="single" w:sz="4" w:space="0" w:color="000008"/>
            </w:tcBorders>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74" w:type="dxa"/>
            <w:tcBorders>
              <w:top w:val="nil" w:sz="6" w:space="0" w:color="auto"/>
              <w:left w:val="single" w:sz="4" w:space="0" w:color="000008"/>
              <w:bottom w:val="nil" w:sz="6" w:space="0" w:color="auto"/>
              <w:right w:val="single" w:sz="4" w:space="0" w:color="000008"/>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2719" w:type="dxa"/>
            <w:tcBorders>
              <w:top w:val="nil" w:sz="6" w:space="0" w:color="auto"/>
              <w:left w:val="single" w:sz="4" w:space="0" w:color="000008"/>
              <w:bottom w:val="nil" w:sz="6" w:space="0" w:color="auto"/>
              <w:right w:val="single" w:sz="4" w:space="0" w:color="000008"/>
            </w:tcBorders>
          </w:tcPr>
          <w:p>
            <w:pPr>
              <w:pStyle w:val="TableParagraph"/>
              <w:spacing w:line="202" w:lineRule="exact"/>
              <w:ind w:left="2"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67" w:type="dxa"/>
            <w:tcBorders>
              <w:top w:val="nil" w:sz="6" w:space="0" w:color="auto"/>
              <w:left w:val="single" w:sz="4" w:space="0" w:color="000008"/>
              <w:bottom w:val="nil" w:sz="6" w:space="0" w:color="auto"/>
              <w:right w:val="single" w:sz="4" w:space="0" w:color="000008"/>
            </w:tcBorders>
          </w:tcPr>
          <w:p>
            <w:pPr>
              <w:pStyle w:val="TableParagraph"/>
              <w:spacing w:line="199" w:lineRule="exact"/>
              <w:ind w:left="208"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941" w:type="dxa"/>
            <w:tcBorders>
              <w:top w:val="nil" w:sz="6" w:space="0" w:color="auto"/>
              <w:left w:val="single" w:sz="4" w:space="0" w:color="000008"/>
              <w:bottom w:val="nil" w:sz="6" w:space="0" w:color="auto"/>
              <w:right w:val="single" w:sz="4" w:space="0" w:color="000008"/>
            </w:tcBorders>
          </w:tcPr>
          <w:p>
            <w:pPr/>
          </w:p>
        </w:tc>
        <w:tc>
          <w:tcPr>
            <w:tcW w:w="938" w:type="dxa"/>
            <w:tcBorders>
              <w:top w:val="nil" w:sz="6" w:space="0" w:color="auto"/>
              <w:left w:val="single" w:sz="4" w:space="0" w:color="000008"/>
              <w:bottom w:val="nil" w:sz="6" w:space="0" w:color="auto"/>
              <w:right w:val="single" w:sz="4" w:space="0" w:color="000008"/>
            </w:tcBorders>
          </w:tcPr>
          <w:p>
            <w:pPr/>
          </w:p>
        </w:tc>
        <w:tc>
          <w:tcPr>
            <w:tcW w:w="641" w:type="dxa"/>
            <w:tcBorders>
              <w:top w:val="nil" w:sz="6" w:space="0" w:color="auto"/>
              <w:left w:val="single" w:sz="4" w:space="0" w:color="000008"/>
              <w:bottom w:val="nil" w:sz="6" w:space="0" w:color="auto"/>
              <w:right w:val="single" w:sz="4" w:space="0" w:color="000008"/>
            </w:tcBorders>
          </w:tcPr>
          <w:p>
            <w:pPr>
              <w:pStyle w:val="TableParagraph"/>
              <w:spacing w:line="199" w:lineRule="exact"/>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223" w:hRule="exact"/>
        </w:trPr>
        <w:tc>
          <w:tcPr>
            <w:tcW w:w="3720" w:type="dxa"/>
            <w:tcBorders>
              <w:top w:val="nil" w:sz="6" w:space="0" w:color="auto"/>
              <w:left w:val="single" w:sz="4" w:space="0" w:color="000008"/>
              <w:bottom w:val="nil" w:sz="6" w:space="0" w:color="auto"/>
              <w:right w:val="single" w:sz="4" w:space="0" w:color="000008"/>
            </w:tcBorders>
          </w:tcPr>
          <w:p>
            <w:pPr/>
          </w:p>
        </w:tc>
        <w:tc>
          <w:tcPr>
            <w:tcW w:w="1234" w:type="dxa"/>
            <w:tcBorders>
              <w:top w:val="nil" w:sz="6" w:space="0" w:color="auto"/>
              <w:left w:val="single" w:sz="4" w:space="0" w:color="000008"/>
              <w:bottom w:val="nil" w:sz="6" w:space="0" w:color="auto"/>
              <w:right w:val="single" w:sz="4" w:space="0" w:color="000008"/>
            </w:tcBorders>
          </w:tcPr>
          <w:p>
            <w:pPr/>
          </w:p>
        </w:tc>
        <w:tc>
          <w:tcPr>
            <w:tcW w:w="934" w:type="dxa"/>
            <w:tcBorders>
              <w:top w:val="nil" w:sz="6" w:space="0" w:color="auto"/>
              <w:left w:val="single" w:sz="4" w:space="0" w:color="000008"/>
              <w:bottom w:val="nil" w:sz="6" w:space="0" w:color="auto"/>
              <w:right w:val="single" w:sz="4" w:space="0" w:color="000008"/>
            </w:tcBorders>
          </w:tcPr>
          <w:p>
            <w:pPr/>
          </w:p>
        </w:tc>
        <w:tc>
          <w:tcPr>
            <w:tcW w:w="1714" w:type="dxa"/>
            <w:tcBorders>
              <w:top w:val="nil" w:sz="6" w:space="0" w:color="auto"/>
              <w:left w:val="single" w:sz="4" w:space="0" w:color="000008"/>
              <w:bottom w:val="nil" w:sz="6" w:space="0" w:color="auto"/>
              <w:right w:val="single" w:sz="4" w:space="0" w:color="000008"/>
            </w:tcBorders>
          </w:tcPr>
          <w:p>
            <w:pPr/>
          </w:p>
        </w:tc>
        <w:tc>
          <w:tcPr>
            <w:tcW w:w="974" w:type="dxa"/>
            <w:tcBorders>
              <w:top w:val="nil" w:sz="6" w:space="0" w:color="auto"/>
              <w:left w:val="single" w:sz="4" w:space="0" w:color="000008"/>
              <w:bottom w:val="nil" w:sz="6" w:space="0" w:color="auto"/>
              <w:right w:val="single" w:sz="4" w:space="0" w:color="000008"/>
            </w:tcBorders>
          </w:tcPr>
          <w:p>
            <w:pPr/>
          </w:p>
        </w:tc>
        <w:tc>
          <w:tcPr>
            <w:tcW w:w="2719" w:type="dxa"/>
            <w:tcBorders>
              <w:top w:val="nil" w:sz="6" w:space="0" w:color="auto"/>
              <w:left w:val="single" w:sz="4" w:space="0" w:color="000008"/>
              <w:bottom w:val="nil" w:sz="6" w:space="0" w:color="auto"/>
              <w:right w:val="single" w:sz="4" w:space="0" w:color="000008"/>
            </w:tcBorders>
          </w:tcPr>
          <w:p>
            <w:pPr/>
          </w:p>
        </w:tc>
        <w:tc>
          <w:tcPr>
            <w:tcW w:w="967" w:type="dxa"/>
            <w:tcBorders>
              <w:top w:val="nil" w:sz="6" w:space="0" w:color="auto"/>
              <w:left w:val="single" w:sz="4" w:space="0" w:color="000008"/>
              <w:bottom w:val="nil" w:sz="6" w:space="0" w:color="auto"/>
              <w:right w:val="single" w:sz="4" w:space="0" w:color="000008"/>
            </w:tcBorders>
          </w:tcPr>
          <w:p>
            <w:pPr/>
          </w:p>
        </w:tc>
        <w:tc>
          <w:tcPr>
            <w:tcW w:w="941" w:type="dxa"/>
            <w:tcBorders>
              <w:top w:val="nil" w:sz="6" w:space="0" w:color="auto"/>
              <w:left w:val="single" w:sz="4" w:space="0" w:color="000008"/>
              <w:bottom w:val="nil" w:sz="6" w:space="0" w:color="auto"/>
              <w:right w:val="single" w:sz="4" w:space="0" w:color="000008"/>
            </w:tcBorders>
          </w:tcPr>
          <w:p>
            <w:pPr>
              <w:pStyle w:val="TableParagraph"/>
              <w:spacing w:line="213" w:lineRule="exact"/>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38" w:type="dxa"/>
            <w:tcBorders>
              <w:top w:val="nil" w:sz="6" w:space="0" w:color="auto"/>
              <w:left w:val="single" w:sz="4" w:space="0" w:color="000008"/>
              <w:bottom w:val="nil" w:sz="6" w:space="0" w:color="auto"/>
              <w:right w:val="single" w:sz="4" w:space="0" w:color="000008"/>
            </w:tcBorders>
          </w:tcPr>
          <w:p>
            <w:pPr>
              <w:pStyle w:val="TableParagraph"/>
              <w:spacing w:line="213"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641" w:type="dxa"/>
            <w:tcBorders>
              <w:top w:val="nil" w:sz="6" w:space="0" w:color="auto"/>
              <w:left w:val="single" w:sz="4" w:space="0" w:color="000008"/>
              <w:bottom w:val="nil" w:sz="6" w:space="0" w:color="auto"/>
              <w:right w:val="single" w:sz="4" w:space="0" w:color="000008"/>
            </w:tcBorders>
          </w:tcPr>
          <w:p>
            <w:pPr/>
          </w:p>
        </w:tc>
      </w:tr>
      <w:tr>
        <w:trPr>
          <w:trHeight w:val="258" w:hRule="exact"/>
        </w:trPr>
        <w:tc>
          <w:tcPr>
            <w:tcW w:w="3720" w:type="dxa"/>
            <w:tcBorders>
              <w:top w:val="nil" w:sz="6" w:space="0" w:color="auto"/>
              <w:left w:val="single" w:sz="4" w:space="0" w:color="000008"/>
              <w:bottom w:val="single" w:sz="4" w:space="0" w:color="000008"/>
              <w:right w:val="single" w:sz="4" w:space="0" w:color="000008"/>
            </w:tcBorders>
          </w:tcPr>
          <w:p>
            <w:pPr/>
          </w:p>
        </w:tc>
        <w:tc>
          <w:tcPr>
            <w:tcW w:w="1234" w:type="dxa"/>
            <w:tcBorders>
              <w:top w:val="nil" w:sz="6" w:space="0" w:color="auto"/>
              <w:left w:val="single" w:sz="4" w:space="0" w:color="000008"/>
              <w:bottom w:val="single" w:sz="4" w:space="0" w:color="000008"/>
              <w:right w:val="single" w:sz="4" w:space="0" w:color="000008"/>
            </w:tcBorders>
          </w:tcPr>
          <w:p>
            <w:pPr/>
          </w:p>
        </w:tc>
        <w:tc>
          <w:tcPr>
            <w:tcW w:w="934" w:type="dxa"/>
            <w:tcBorders>
              <w:top w:val="nil" w:sz="6" w:space="0" w:color="auto"/>
              <w:left w:val="single" w:sz="4" w:space="0" w:color="000008"/>
              <w:bottom w:val="single" w:sz="4" w:space="0" w:color="000008"/>
              <w:right w:val="single" w:sz="4" w:space="0" w:color="000008"/>
            </w:tcBorders>
          </w:tcPr>
          <w:p>
            <w:pPr/>
          </w:p>
        </w:tc>
        <w:tc>
          <w:tcPr>
            <w:tcW w:w="1714" w:type="dxa"/>
            <w:tcBorders>
              <w:top w:val="nil" w:sz="6" w:space="0" w:color="auto"/>
              <w:left w:val="single" w:sz="4" w:space="0" w:color="000008"/>
              <w:bottom w:val="single" w:sz="4" w:space="0" w:color="000008"/>
              <w:right w:val="single" w:sz="4" w:space="0" w:color="000008"/>
            </w:tcBorders>
          </w:tcPr>
          <w:p>
            <w:pPr/>
          </w:p>
        </w:tc>
        <w:tc>
          <w:tcPr>
            <w:tcW w:w="974" w:type="dxa"/>
            <w:tcBorders>
              <w:top w:val="nil" w:sz="6" w:space="0" w:color="auto"/>
              <w:left w:val="single" w:sz="4" w:space="0" w:color="000008"/>
              <w:bottom w:val="single" w:sz="4" w:space="0" w:color="000008"/>
              <w:right w:val="single" w:sz="4" w:space="0" w:color="000008"/>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719" w:type="dxa"/>
            <w:tcBorders>
              <w:top w:val="nil" w:sz="6" w:space="0" w:color="auto"/>
              <w:left w:val="single" w:sz="4" w:space="0" w:color="000008"/>
              <w:bottom w:val="single" w:sz="4" w:space="0" w:color="000008"/>
              <w:right w:val="single" w:sz="4" w:space="0" w:color="000008"/>
            </w:tcBorders>
          </w:tcPr>
          <w:p>
            <w:pPr/>
          </w:p>
        </w:tc>
        <w:tc>
          <w:tcPr>
            <w:tcW w:w="967" w:type="dxa"/>
            <w:tcBorders>
              <w:top w:val="nil" w:sz="6" w:space="0" w:color="auto"/>
              <w:left w:val="single" w:sz="4" w:space="0" w:color="000008"/>
              <w:bottom w:val="single" w:sz="4" w:space="0" w:color="000008"/>
              <w:right w:val="single" w:sz="4" w:space="0" w:color="000008"/>
            </w:tcBorders>
          </w:tcPr>
          <w:p>
            <w:pPr>
              <w:pStyle w:val="TableParagraph"/>
              <w:spacing w:line="194" w:lineRule="exact"/>
              <w:ind w:left="11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1" w:type="dxa"/>
            <w:tcBorders>
              <w:top w:val="nil" w:sz="6" w:space="0" w:color="auto"/>
              <w:left w:val="single" w:sz="4" w:space="0" w:color="000008"/>
              <w:bottom w:val="single" w:sz="4" w:space="0" w:color="000008"/>
              <w:right w:val="single" w:sz="4" w:space="0" w:color="000008"/>
            </w:tcBorders>
          </w:tcPr>
          <w:p>
            <w:pPr/>
          </w:p>
        </w:tc>
        <w:tc>
          <w:tcPr>
            <w:tcW w:w="938" w:type="dxa"/>
            <w:tcBorders>
              <w:top w:val="nil" w:sz="6" w:space="0" w:color="auto"/>
              <w:left w:val="single" w:sz="4" w:space="0" w:color="000008"/>
              <w:bottom w:val="single" w:sz="4" w:space="0" w:color="000008"/>
              <w:right w:val="single" w:sz="4" w:space="0" w:color="000008"/>
            </w:tcBorders>
          </w:tcPr>
          <w:p>
            <w:pPr/>
          </w:p>
        </w:tc>
        <w:tc>
          <w:tcPr>
            <w:tcW w:w="641" w:type="dxa"/>
            <w:tcBorders>
              <w:top w:val="nil" w:sz="6" w:space="0" w:color="auto"/>
              <w:left w:val="single" w:sz="4" w:space="0" w:color="000008"/>
              <w:bottom w:val="single" w:sz="4" w:space="0" w:color="000008"/>
              <w:right w:val="single" w:sz="4" w:space="0" w:color="000008"/>
            </w:tcBorders>
          </w:tcPr>
          <w:p>
            <w:pPr>
              <w:pStyle w:val="TableParagraph"/>
              <w:spacing w:line="194" w:lineRule="exact"/>
              <w:ind w:left="2" w:right="0"/>
              <w:jc w:val="center"/>
              <w:rPr>
                <w:rFonts w:ascii="宋体" w:hAnsi="宋体" w:cs="宋体" w:eastAsia="宋体" w:hint="default"/>
                <w:sz w:val="18"/>
                <w:szCs w:val="18"/>
              </w:rPr>
            </w:pPr>
            <w:r>
              <w:rPr>
                <w:rFonts w:ascii="宋体" w:hAnsi="宋体" w:cs="宋体" w:eastAsia="宋体" w:hint="default"/>
                <w:sz w:val="18"/>
                <w:szCs w:val="18"/>
              </w:rPr>
              <w:t>报表</w:t>
            </w:r>
          </w:p>
        </w:tc>
      </w:tr>
      <w:tr>
        <w:trPr>
          <w:trHeight w:val="449" w:hRule="exact"/>
        </w:trPr>
        <w:tc>
          <w:tcPr>
            <w:tcW w:w="3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深圳市海吉星国际农产品物流管理有限公司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市场管理、商铺租售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3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商业、投资</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5000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3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15000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3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合肥国家棉花交易中心有限责任公司</w:t>
            </w:r>
            <w:r>
              <w:rPr>
                <w:rFonts w:ascii="Times New Roman" w:hAnsi="Times New Roman" w:cs="Times New Roman" w:eastAsia="Times New Roman" w:hint="default"/>
                <w:sz w:val="18"/>
                <w:szCs w:val="18"/>
              </w:rPr>
              <w:t>*1</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棉花购销与电子交易</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55.55</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3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3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宁夏海吉星国际农产品物流有限公司</w:t>
            </w:r>
            <w:r>
              <w:rPr>
                <w:rFonts w:ascii="Times New Roman" w:hAnsi="Times New Roman" w:cs="Times New Roman" w:eastAsia="Times New Roman" w:hint="default"/>
                <w:sz w:val="18"/>
                <w:szCs w:val="18"/>
              </w:rPr>
              <w:t>*2</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4200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3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青岛市海吉星农产品物流中心有限公司</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3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长春海吉星农产品物流有限公司</w:t>
            </w:r>
            <w:r>
              <w:rPr>
                <w:rFonts w:ascii="Times New Roman" w:hAnsi="Times New Roman" w:cs="Times New Roman" w:eastAsia="Times New Roman" w:hint="default"/>
                <w:sz w:val="18"/>
                <w:szCs w:val="18"/>
              </w:rPr>
              <w:t>*3</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4000</w:t>
            </w:r>
          </w:p>
        </w:tc>
        <w:tc>
          <w:tcPr>
            <w:tcW w:w="27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2040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63.75</w:t>
            </w:r>
          </w:p>
        </w:tc>
        <w:tc>
          <w:tcPr>
            <w:tcW w:w="9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63.75</w:t>
            </w:r>
          </w:p>
        </w:tc>
        <w:tc>
          <w:tcPr>
            <w:tcW w:w="6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8"/>
        <w:rPr>
          <w:rFonts w:ascii="宋体" w:hAnsi="宋体" w:cs="宋体" w:eastAsia="宋体" w:hint="default"/>
          <w:sz w:val="16"/>
          <w:szCs w:val="16"/>
        </w:rPr>
      </w:pPr>
    </w:p>
    <w:p>
      <w:pPr>
        <w:spacing w:before="36"/>
        <w:ind w:left="6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本公司持有合肥国家棉花交易中心有限责任公司</w:t>
      </w:r>
      <w:r>
        <w:rPr>
          <w:rFonts w:ascii="宋体" w:hAnsi="宋体" w:cs="宋体" w:eastAsia="宋体" w:hint="default"/>
          <w:spacing w:val="-81"/>
          <w:sz w:val="21"/>
          <w:szCs w:val="21"/>
        </w:rPr>
        <w:t> </w:t>
      </w:r>
      <w:r>
        <w:rPr>
          <w:rFonts w:ascii="Times New Roman" w:hAnsi="Times New Roman" w:cs="Times New Roman" w:eastAsia="Times New Roman" w:hint="default"/>
          <w:spacing w:val="-4"/>
          <w:sz w:val="21"/>
          <w:szCs w:val="21"/>
        </w:rPr>
        <w:t>40%</w:t>
      </w:r>
      <w:r>
        <w:rPr>
          <w:rFonts w:ascii="宋体" w:hAnsi="宋体" w:cs="宋体" w:eastAsia="宋体" w:hint="default"/>
          <w:spacing w:val="-4"/>
          <w:sz w:val="21"/>
          <w:szCs w:val="21"/>
        </w:rPr>
        <w:t>股权，但在董事会中享有多数表决权，实际控制该公司经营，故将该公司纳入合并报表范围。</w:t>
      </w:r>
    </w:p>
    <w:p>
      <w:pPr>
        <w:spacing w:line="240" w:lineRule="auto" w:before="2"/>
        <w:rPr>
          <w:rFonts w:ascii="宋体" w:hAnsi="宋体" w:cs="宋体" w:eastAsia="宋体" w:hint="default"/>
          <w:sz w:val="22"/>
          <w:szCs w:val="22"/>
        </w:rPr>
      </w:pPr>
    </w:p>
    <w:p>
      <w:pPr>
        <w:spacing w:before="0"/>
        <w:ind w:left="63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与</w:t>
      </w:r>
      <w:r>
        <w:rPr>
          <w:rFonts w:ascii="宋体" w:hAnsi="宋体" w:cs="宋体" w:eastAsia="宋体" w:hint="default"/>
          <w:w w:val="100"/>
          <w:sz w:val="21"/>
          <w:szCs w:val="21"/>
        </w:rPr>
        <w:t>宁</w:t>
      </w:r>
      <w:r>
        <w:rPr>
          <w:rFonts w:ascii="宋体" w:hAnsi="宋体" w:cs="宋体" w:eastAsia="宋体" w:hint="default"/>
          <w:spacing w:val="-3"/>
          <w:w w:val="100"/>
          <w:sz w:val="21"/>
          <w:szCs w:val="21"/>
        </w:rPr>
        <w:t>夏</w:t>
      </w:r>
      <w:r>
        <w:rPr>
          <w:rFonts w:ascii="宋体" w:hAnsi="宋体" w:cs="宋体" w:eastAsia="宋体" w:hint="default"/>
          <w:w w:val="100"/>
          <w:sz w:val="21"/>
          <w:szCs w:val="21"/>
        </w:rPr>
        <w:t>土</w:t>
      </w:r>
      <w:r>
        <w:rPr>
          <w:rFonts w:ascii="宋体" w:hAnsi="宋体" w:cs="宋体" w:eastAsia="宋体" w:hint="default"/>
          <w:spacing w:val="-3"/>
          <w:w w:val="100"/>
          <w:sz w:val="21"/>
          <w:szCs w:val="21"/>
        </w:rPr>
        <w:t>木</w:t>
      </w:r>
      <w:r>
        <w:rPr>
          <w:rFonts w:ascii="宋体" w:hAnsi="宋体" w:cs="宋体" w:eastAsia="宋体" w:hint="default"/>
          <w:w w:val="100"/>
          <w:sz w:val="21"/>
          <w:szCs w:val="21"/>
        </w:rPr>
        <w:t>基</w:t>
      </w:r>
      <w:r>
        <w:rPr>
          <w:rFonts w:ascii="宋体" w:hAnsi="宋体" w:cs="宋体" w:eastAsia="宋体" w:hint="default"/>
          <w:spacing w:val="-3"/>
          <w:w w:val="100"/>
          <w:sz w:val="21"/>
          <w:szCs w:val="21"/>
        </w:rPr>
        <w:t>业</w:t>
      </w:r>
      <w:r>
        <w:rPr>
          <w:rFonts w:ascii="宋体" w:hAnsi="宋体" w:cs="宋体" w:eastAsia="宋体" w:hint="default"/>
          <w:w w:val="100"/>
          <w:sz w:val="21"/>
          <w:szCs w:val="21"/>
        </w:rPr>
        <w:t>房</w:t>
      </w:r>
      <w:r>
        <w:rPr>
          <w:rFonts w:ascii="宋体" w:hAnsi="宋体" w:cs="宋体" w:eastAsia="宋体" w:hint="default"/>
          <w:spacing w:val="-3"/>
          <w:w w:val="100"/>
          <w:sz w:val="21"/>
          <w:szCs w:val="21"/>
        </w:rPr>
        <w:t>地</w:t>
      </w:r>
      <w:r>
        <w:rPr>
          <w:rFonts w:ascii="宋体" w:hAnsi="宋体" w:cs="宋体" w:eastAsia="宋体" w:hint="default"/>
          <w:w w:val="100"/>
          <w:sz w:val="21"/>
          <w:szCs w:val="21"/>
        </w:rPr>
        <w:t>产</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合</w:t>
      </w:r>
      <w:r>
        <w:rPr>
          <w:rFonts w:ascii="宋体" w:hAnsi="宋体" w:cs="宋体" w:eastAsia="宋体" w:hint="default"/>
          <w:w w:val="100"/>
          <w:sz w:val="21"/>
          <w:szCs w:val="21"/>
        </w:rPr>
        <w:t>作</w:t>
      </w:r>
      <w:r>
        <w:rPr>
          <w:rFonts w:ascii="宋体" w:hAnsi="宋体" w:cs="宋体" w:eastAsia="宋体" w:hint="default"/>
          <w:spacing w:val="-3"/>
          <w:w w:val="100"/>
          <w:sz w:val="21"/>
          <w:szCs w:val="21"/>
        </w:rPr>
        <w:t>设</w:t>
      </w:r>
      <w:r>
        <w:rPr>
          <w:rFonts w:ascii="宋体" w:hAnsi="宋体" w:cs="宋体" w:eastAsia="宋体" w:hint="default"/>
          <w:w w:val="100"/>
          <w:sz w:val="21"/>
          <w:szCs w:val="21"/>
        </w:rPr>
        <w:t>立宁</w:t>
      </w:r>
      <w:r>
        <w:rPr>
          <w:rFonts w:ascii="宋体" w:hAnsi="宋体" w:cs="宋体" w:eastAsia="宋体" w:hint="default"/>
          <w:spacing w:val="-3"/>
          <w:w w:val="100"/>
          <w:sz w:val="21"/>
          <w:szCs w:val="21"/>
        </w:rPr>
        <w:t>夏</w:t>
      </w:r>
      <w:r>
        <w:rPr>
          <w:rFonts w:ascii="宋体" w:hAnsi="宋体" w:cs="宋体" w:eastAsia="宋体" w:hint="default"/>
          <w:w w:val="100"/>
          <w:sz w:val="21"/>
          <w:szCs w:val="21"/>
        </w:rPr>
        <w:t>海</w:t>
      </w:r>
      <w:r>
        <w:rPr>
          <w:rFonts w:ascii="宋体" w:hAnsi="宋体" w:cs="宋体" w:eastAsia="宋体" w:hint="default"/>
          <w:spacing w:val="-3"/>
          <w:w w:val="100"/>
          <w:sz w:val="21"/>
          <w:szCs w:val="21"/>
        </w:rPr>
        <w:t>吉</w:t>
      </w:r>
      <w:r>
        <w:rPr>
          <w:rFonts w:ascii="宋体" w:hAnsi="宋体" w:cs="宋体" w:eastAsia="宋体" w:hint="default"/>
          <w:w w:val="100"/>
          <w:sz w:val="21"/>
          <w:szCs w:val="21"/>
        </w:rPr>
        <w:t>星</w:t>
      </w:r>
      <w:r>
        <w:rPr>
          <w:rFonts w:ascii="宋体" w:hAnsi="宋体" w:cs="宋体" w:eastAsia="宋体" w:hint="default"/>
          <w:spacing w:val="-3"/>
          <w:w w:val="100"/>
          <w:sz w:val="21"/>
          <w:szCs w:val="21"/>
        </w:rPr>
        <w:t>国</w:t>
      </w:r>
      <w:r>
        <w:rPr>
          <w:rFonts w:ascii="宋体" w:hAnsi="宋体" w:cs="宋体" w:eastAsia="宋体" w:hint="default"/>
          <w:w w:val="100"/>
          <w:sz w:val="21"/>
          <w:szCs w:val="21"/>
        </w:rPr>
        <w:t>际</w:t>
      </w:r>
      <w:r>
        <w:rPr>
          <w:rFonts w:ascii="宋体" w:hAnsi="宋体" w:cs="宋体" w:eastAsia="宋体" w:hint="default"/>
          <w:spacing w:val="-3"/>
          <w:w w:val="100"/>
          <w:sz w:val="21"/>
          <w:szCs w:val="21"/>
        </w:rPr>
        <w:t>农</w:t>
      </w:r>
      <w:r>
        <w:rPr>
          <w:rFonts w:ascii="宋体" w:hAnsi="宋体" w:cs="宋体" w:eastAsia="宋体" w:hint="default"/>
          <w:w w:val="100"/>
          <w:sz w:val="21"/>
          <w:szCs w:val="21"/>
        </w:rPr>
        <w:t>产</w:t>
      </w:r>
      <w:r>
        <w:rPr>
          <w:rFonts w:ascii="宋体" w:hAnsi="宋体" w:cs="宋体" w:eastAsia="宋体" w:hint="default"/>
          <w:spacing w:val="-3"/>
          <w:w w:val="100"/>
          <w:sz w:val="21"/>
          <w:szCs w:val="21"/>
        </w:rPr>
        <w:t>品</w:t>
      </w:r>
      <w:r>
        <w:rPr>
          <w:rFonts w:ascii="宋体" w:hAnsi="宋体" w:cs="宋体" w:eastAsia="宋体" w:hint="default"/>
          <w:w w:val="100"/>
          <w:sz w:val="21"/>
          <w:szCs w:val="21"/>
        </w:rPr>
        <w:t>物</w:t>
      </w:r>
      <w:r>
        <w:rPr>
          <w:rFonts w:ascii="宋体" w:hAnsi="宋体" w:cs="宋体" w:eastAsia="宋体" w:hint="default"/>
          <w:spacing w:val="-3"/>
          <w:w w:val="100"/>
          <w:sz w:val="21"/>
          <w:szCs w:val="21"/>
        </w:rPr>
        <w:t>流</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该公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注</w:t>
      </w:r>
      <w:r>
        <w:rPr>
          <w:rFonts w:ascii="宋体" w:hAnsi="宋体" w:cs="宋体" w:eastAsia="宋体" w:hint="default"/>
          <w:w w:val="100"/>
          <w:sz w:val="21"/>
          <w:szCs w:val="21"/>
        </w:rPr>
        <w:t>册资本</w:t>
      </w:r>
      <w:r>
        <w:rPr>
          <w:rFonts w:ascii="宋体" w:hAnsi="宋体" w:cs="宋体" w:eastAsia="宋体" w:hint="default"/>
          <w:spacing w:val="-74"/>
          <w:sz w:val="21"/>
          <w:szCs w:val="21"/>
        </w:rPr>
        <w:t> </w:t>
      </w:r>
      <w:r>
        <w:rPr>
          <w:rFonts w:ascii="Times New Roman" w:hAnsi="Times New Roman" w:cs="Times New Roman" w:eastAsia="Times New Roman" w:hint="default"/>
          <w:w w:val="100"/>
          <w:sz w:val="21"/>
          <w:szCs w:val="21"/>
        </w:rPr>
        <w:t>12000</w:t>
      </w:r>
      <w:r>
        <w:rPr>
          <w:rFonts w:ascii="Times New Roman" w:hAnsi="Times New Roman" w:cs="Times New Roman" w:eastAsia="Times New Roman" w:hint="default"/>
          <w:spacing w:val="-19"/>
          <w:sz w:val="21"/>
          <w:szCs w:val="21"/>
        </w:rPr>
        <w:t> </w:t>
      </w:r>
      <w:r>
        <w:rPr>
          <w:rFonts w:ascii="宋体" w:hAnsi="宋体" w:cs="宋体" w:eastAsia="宋体" w:hint="default"/>
          <w:w w:val="83"/>
          <w:sz w:val="21"/>
          <w:szCs w:val="21"/>
        </w:rPr>
        <w:t>万</w:t>
      </w:r>
      <w:r>
        <w:rPr>
          <w:rFonts w:ascii="宋体" w:hAnsi="宋体" w:cs="宋体" w:eastAsia="宋体" w:hint="default"/>
          <w:spacing w:val="-70"/>
          <w:sz w:val="21"/>
          <w:szCs w:val="21"/>
        </w:rPr>
        <w:t> </w:t>
      </w:r>
      <w:r>
        <w:rPr>
          <w:rFonts w:ascii="宋体" w:hAnsi="宋体" w:cs="宋体" w:eastAsia="宋体" w:hint="default"/>
          <w:w w:val="83"/>
          <w:sz w:val="21"/>
          <w:szCs w:val="21"/>
        </w:rPr>
        <w:t>元</w:t>
      </w:r>
      <w:r>
        <w:rPr>
          <w:rFonts w:ascii="宋体" w:hAnsi="宋体" w:cs="宋体" w:eastAsia="宋体" w:hint="default"/>
          <w:spacing w:val="-72"/>
          <w:sz w:val="21"/>
          <w:szCs w:val="21"/>
        </w:rPr>
        <w:t> </w:t>
      </w:r>
      <w:r>
        <w:rPr>
          <w:rFonts w:ascii="宋体" w:hAnsi="宋体" w:cs="宋体" w:eastAsia="宋体" w:hint="default"/>
          <w:spacing w:val="-70"/>
          <w:w w:val="83"/>
          <w:sz w:val="21"/>
          <w:szCs w:val="21"/>
        </w:rPr>
        <w:t>，</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首</w:t>
      </w:r>
      <w:r>
        <w:rPr>
          <w:rFonts w:ascii="宋体" w:hAnsi="宋体" w:cs="宋体" w:eastAsia="宋体" w:hint="default"/>
          <w:w w:val="100"/>
          <w:sz w:val="21"/>
          <w:szCs w:val="21"/>
        </w:rPr>
        <w:t>期注资</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6000</w:t>
      </w:r>
    </w:p>
    <w:p>
      <w:pPr>
        <w:spacing w:before="107"/>
        <w:ind w:left="218" w:right="0" w:firstLine="0"/>
        <w:jc w:val="left"/>
        <w:rPr>
          <w:rFonts w:ascii="宋体" w:hAnsi="宋体" w:cs="宋体" w:eastAsia="宋体" w:hint="default"/>
          <w:sz w:val="21"/>
          <w:szCs w:val="21"/>
        </w:rPr>
      </w:pPr>
      <w:r>
        <w:rPr>
          <w:rFonts w:ascii="宋体" w:hAnsi="宋体" w:cs="宋体" w:eastAsia="宋体" w:hint="default"/>
          <w:sz w:val="21"/>
          <w:szCs w:val="21"/>
        </w:rPr>
        <w:t>万元。</w:t>
      </w:r>
    </w:p>
    <w:p>
      <w:pPr>
        <w:spacing w:line="240" w:lineRule="auto" w:before="3"/>
        <w:rPr>
          <w:rFonts w:ascii="宋体" w:hAnsi="宋体" w:cs="宋体" w:eastAsia="宋体" w:hint="default"/>
          <w:sz w:val="23"/>
          <w:szCs w:val="23"/>
        </w:rPr>
      </w:pPr>
    </w:p>
    <w:p>
      <w:pPr>
        <w:spacing w:line="331" w:lineRule="auto" w:before="0"/>
        <w:ind w:left="218" w:right="768"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pacing w:val="43"/>
          <w:sz w:val="21"/>
          <w:szCs w:val="21"/>
        </w:rPr>
        <w:t> </w:t>
      </w:r>
      <w:r>
        <w:rPr>
          <w:rFonts w:ascii="宋体" w:hAnsi="宋体" w:cs="宋体" w:eastAsia="宋体" w:hint="default"/>
          <w:spacing w:val="-2"/>
          <w:sz w:val="21"/>
          <w:szCs w:val="21"/>
        </w:rPr>
        <w:t>本公司本期与与吉林省鑫合国际贸易有限公司、长春市国有资本投资经营有限公司共同投资设立长春海吉星农产品物流有限公司，该公司注册资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年首期注资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3200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after="0" w:line="331" w:lineRule="auto"/>
        <w:jc w:val="left"/>
        <w:rPr>
          <w:rFonts w:ascii="宋体" w:hAnsi="宋体" w:cs="宋体" w:eastAsia="宋体" w:hint="default"/>
          <w:sz w:val="21"/>
          <w:szCs w:val="21"/>
        </w:rPr>
        <w:sectPr>
          <w:pgSz w:w="16840" w:h="11910" w:orient="landscape"/>
          <w:pgMar w:header="943" w:footer="896" w:top="1640" w:bottom="1080" w:left="1200" w:right="640"/>
        </w:sectPr>
      </w:pPr>
    </w:p>
    <w:p>
      <w:pPr>
        <w:spacing w:line="240" w:lineRule="auto" w:before="11"/>
        <w:rPr>
          <w:rFonts w:ascii="宋体" w:hAnsi="宋体" w:cs="宋体" w:eastAsia="宋体" w:hint="default"/>
          <w:sz w:val="18"/>
          <w:szCs w:val="18"/>
        </w:rPr>
      </w:pPr>
    </w:p>
    <w:p>
      <w:pPr>
        <w:spacing w:before="36"/>
        <w:ind w:left="6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．同一控制下的企业合并取得子公司</w:t>
      </w:r>
    </w:p>
    <w:p>
      <w:pPr>
        <w:spacing w:line="240" w:lineRule="auto" w:before="6"/>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261"/>
        <w:gridCol w:w="1150"/>
        <w:gridCol w:w="778"/>
        <w:gridCol w:w="965"/>
        <w:gridCol w:w="965"/>
        <w:gridCol w:w="2446"/>
        <w:gridCol w:w="1522"/>
        <w:gridCol w:w="1241"/>
        <w:gridCol w:w="1428"/>
        <w:gridCol w:w="1334"/>
      </w:tblGrid>
      <w:tr>
        <w:trPr>
          <w:trHeight w:val="811"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20"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10"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36"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农业生产</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254" w:right="0"/>
              <w:jc w:val="left"/>
              <w:rPr>
                <w:rFonts w:ascii="Times New Roman" w:hAnsi="Times New Roman" w:cs="Times New Roman" w:eastAsia="Times New Roman" w:hint="default"/>
                <w:sz w:val="18"/>
                <w:szCs w:val="18"/>
              </w:rPr>
            </w:pPr>
            <w:r>
              <w:rPr>
                <w:rFonts w:ascii="Times New Roman"/>
                <w:sz w:val="18"/>
              </w:rPr>
              <w:t>10000</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36" w:right="0"/>
              <w:jc w:val="left"/>
              <w:rPr>
                <w:rFonts w:ascii="宋体" w:hAnsi="宋体" w:cs="宋体" w:eastAsia="宋体" w:hint="default"/>
                <w:sz w:val="18"/>
                <w:szCs w:val="18"/>
              </w:rPr>
            </w:pPr>
            <w:r>
              <w:rPr>
                <w:rFonts w:ascii="宋体" w:hAnsi="宋体" w:cs="宋体" w:eastAsia="宋体" w:hint="default"/>
                <w:sz w:val="18"/>
                <w:szCs w:val="18"/>
              </w:rPr>
              <w:t>养殖、饲料生产及生猪销售</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5822</w:t>
            </w:r>
          </w:p>
        </w:tc>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51</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6" w:right="0"/>
              <w:jc w:val="center"/>
              <w:rPr>
                <w:rFonts w:ascii="Times New Roman" w:hAnsi="Times New Roman" w:cs="Times New Roman" w:eastAsia="Times New Roman" w:hint="default"/>
                <w:sz w:val="18"/>
                <w:szCs w:val="18"/>
              </w:rPr>
            </w:pPr>
            <w:r>
              <w:rPr>
                <w:rFonts w:ascii="Times New Roman"/>
                <w:sz w:val="18"/>
              </w:rPr>
              <w:t>51</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流通业</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300" w:right="0"/>
              <w:jc w:val="left"/>
              <w:rPr>
                <w:rFonts w:ascii="Times New Roman" w:hAnsi="Times New Roman" w:cs="Times New Roman" w:eastAsia="Times New Roman" w:hint="default"/>
                <w:sz w:val="18"/>
                <w:szCs w:val="18"/>
              </w:rPr>
            </w:pPr>
            <w:r>
              <w:rPr>
                <w:rFonts w:ascii="Times New Roman"/>
                <w:sz w:val="18"/>
              </w:rPr>
              <w:t>2856</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804" w:right="0"/>
              <w:jc w:val="left"/>
              <w:rPr>
                <w:rFonts w:ascii="宋体" w:hAnsi="宋体" w:cs="宋体" w:eastAsia="宋体" w:hint="default"/>
                <w:sz w:val="18"/>
                <w:szCs w:val="18"/>
              </w:rPr>
            </w:pPr>
            <w:r>
              <w:rPr>
                <w:rFonts w:ascii="宋体" w:hAnsi="宋体" w:cs="宋体" w:eastAsia="宋体" w:hint="default"/>
                <w:sz w:val="18"/>
                <w:szCs w:val="18"/>
              </w:rPr>
              <w:t>果菜贸易</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11333</w:t>
            </w:r>
          </w:p>
        </w:tc>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100</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100</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3"/>
        <w:rPr>
          <w:rFonts w:ascii="宋体" w:hAnsi="宋体" w:cs="宋体" w:eastAsia="宋体" w:hint="default"/>
          <w:sz w:val="21"/>
          <w:szCs w:val="21"/>
        </w:rPr>
      </w:pPr>
    </w:p>
    <w:p>
      <w:pPr>
        <w:spacing w:before="0"/>
        <w:ind w:left="6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．非同一控制下企业合并取得子公司</w:t>
      </w:r>
    </w:p>
    <w:p>
      <w:pPr>
        <w:spacing w:line="240" w:lineRule="auto" w:before="4"/>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86"/>
        <w:gridCol w:w="1262"/>
        <w:gridCol w:w="936"/>
        <w:gridCol w:w="1740"/>
        <w:gridCol w:w="982"/>
        <w:gridCol w:w="2446"/>
        <w:gridCol w:w="1116"/>
        <w:gridCol w:w="888"/>
        <w:gridCol w:w="888"/>
        <w:gridCol w:w="605"/>
      </w:tblGrid>
      <w:tr>
        <w:trPr>
          <w:trHeight w:val="395" w:hRule="exact"/>
        </w:trPr>
        <w:tc>
          <w:tcPr>
            <w:tcW w:w="3586" w:type="dxa"/>
            <w:tcBorders>
              <w:top w:val="single" w:sz="4" w:space="0" w:color="000008"/>
              <w:left w:val="single" w:sz="4" w:space="0" w:color="000008"/>
              <w:bottom w:val="nil" w:sz="6" w:space="0" w:color="auto"/>
              <w:right w:val="single" w:sz="4" w:space="0" w:color="000008"/>
            </w:tcBorders>
          </w:tcPr>
          <w:p>
            <w:pPr/>
          </w:p>
        </w:tc>
        <w:tc>
          <w:tcPr>
            <w:tcW w:w="1262" w:type="dxa"/>
            <w:tcBorders>
              <w:top w:val="single" w:sz="4" w:space="0" w:color="000008"/>
              <w:left w:val="single" w:sz="4" w:space="0" w:color="000008"/>
              <w:bottom w:val="nil" w:sz="6" w:space="0" w:color="auto"/>
              <w:right w:val="single" w:sz="4" w:space="0" w:color="000008"/>
            </w:tcBorders>
          </w:tcPr>
          <w:p>
            <w:pPr/>
          </w:p>
        </w:tc>
        <w:tc>
          <w:tcPr>
            <w:tcW w:w="936" w:type="dxa"/>
            <w:tcBorders>
              <w:top w:val="single" w:sz="4" w:space="0" w:color="000008"/>
              <w:left w:val="single" w:sz="4" w:space="0" w:color="000008"/>
              <w:bottom w:val="nil" w:sz="6" w:space="0" w:color="auto"/>
              <w:right w:val="single" w:sz="4" w:space="0" w:color="000008"/>
            </w:tcBorders>
          </w:tcPr>
          <w:p>
            <w:pPr/>
          </w:p>
        </w:tc>
        <w:tc>
          <w:tcPr>
            <w:tcW w:w="1740" w:type="dxa"/>
            <w:tcBorders>
              <w:top w:val="single" w:sz="4" w:space="0" w:color="000008"/>
              <w:left w:val="single" w:sz="4" w:space="0" w:color="000008"/>
              <w:bottom w:val="nil" w:sz="6" w:space="0" w:color="auto"/>
              <w:right w:val="single" w:sz="4" w:space="0" w:color="000008"/>
            </w:tcBorders>
          </w:tcPr>
          <w:p>
            <w:pPr/>
          </w:p>
        </w:tc>
        <w:tc>
          <w:tcPr>
            <w:tcW w:w="982"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注册</w:t>
            </w:r>
          </w:p>
        </w:tc>
        <w:tc>
          <w:tcPr>
            <w:tcW w:w="2446" w:type="dxa"/>
            <w:tcBorders>
              <w:top w:val="single" w:sz="4" w:space="0" w:color="000008"/>
              <w:left w:val="single" w:sz="4" w:space="0" w:color="000008"/>
              <w:bottom w:val="nil" w:sz="6" w:space="0" w:color="auto"/>
              <w:right w:val="single" w:sz="4" w:space="0" w:color="000008"/>
            </w:tcBorders>
          </w:tcPr>
          <w:p>
            <w:pPr/>
          </w:p>
        </w:tc>
        <w:tc>
          <w:tcPr>
            <w:tcW w:w="1116"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期末实际</w:t>
            </w:r>
          </w:p>
        </w:tc>
        <w:tc>
          <w:tcPr>
            <w:tcW w:w="888" w:type="dxa"/>
            <w:tcBorders>
              <w:top w:val="single" w:sz="4" w:space="0" w:color="000008"/>
              <w:left w:val="single" w:sz="4" w:space="0" w:color="000008"/>
              <w:bottom w:val="nil" w:sz="6" w:space="0" w:color="auto"/>
              <w:right w:val="single" w:sz="4" w:space="0" w:color="000008"/>
            </w:tcBorders>
          </w:tcPr>
          <w:p>
            <w:pPr/>
          </w:p>
        </w:tc>
        <w:tc>
          <w:tcPr>
            <w:tcW w:w="888" w:type="dxa"/>
            <w:tcBorders>
              <w:top w:val="single" w:sz="4" w:space="0" w:color="000008"/>
              <w:left w:val="single" w:sz="4" w:space="0" w:color="000008"/>
              <w:bottom w:val="nil" w:sz="6" w:space="0" w:color="auto"/>
              <w:right w:val="single" w:sz="4" w:space="0" w:color="000008"/>
            </w:tcBorders>
          </w:tcPr>
          <w:p>
            <w:pPr/>
          </w:p>
        </w:tc>
        <w:tc>
          <w:tcPr>
            <w:tcW w:w="605"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是否</w:t>
            </w:r>
          </w:p>
        </w:tc>
      </w:tr>
      <w:tr>
        <w:trPr>
          <w:trHeight w:val="199" w:hRule="exact"/>
        </w:trPr>
        <w:tc>
          <w:tcPr>
            <w:tcW w:w="3586" w:type="dxa"/>
            <w:tcBorders>
              <w:top w:val="nil" w:sz="6" w:space="0" w:color="auto"/>
              <w:left w:val="single" w:sz="4" w:space="0" w:color="000008"/>
              <w:bottom w:val="nil" w:sz="6" w:space="0" w:color="auto"/>
              <w:right w:val="single" w:sz="4" w:space="0" w:color="000008"/>
            </w:tcBorders>
          </w:tcPr>
          <w:p>
            <w:pPr/>
          </w:p>
        </w:tc>
        <w:tc>
          <w:tcPr>
            <w:tcW w:w="1262" w:type="dxa"/>
            <w:tcBorders>
              <w:top w:val="nil" w:sz="6" w:space="0" w:color="auto"/>
              <w:left w:val="single" w:sz="4" w:space="0" w:color="000008"/>
              <w:bottom w:val="nil" w:sz="6" w:space="0" w:color="auto"/>
              <w:right w:val="single" w:sz="4" w:space="0" w:color="000008"/>
            </w:tcBorders>
          </w:tcPr>
          <w:p>
            <w:pPr/>
          </w:p>
        </w:tc>
        <w:tc>
          <w:tcPr>
            <w:tcW w:w="936" w:type="dxa"/>
            <w:tcBorders>
              <w:top w:val="nil" w:sz="6" w:space="0" w:color="auto"/>
              <w:left w:val="single" w:sz="4" w:space="0" w:color="000008"/>
              <w:bottom w:val="nil" w:sz="6" w:space="0" w:color="auto"/>
              <w:right w:val="single" w:sz="4" w:space="0" w:color="000008"/>
            </w:tcBorders>
          </w:tcPr>
          <w:p>
            <w:pPr/>
          </w:p>
        </w:tc>
        <w:tc>
          <w:tcPr>
            <w:tcW w:w="1740" w:type="dxa"/>
            <w:tcBorders>
              <w:top w:val="nil" w:sz="6" w:space="0" w:color="auto"/>
              <w:left w:val="single" w:sz="4" w:space="0" w:color="000008"/>
              <w:bottom w:val="nil" w:sz="6" w:space="0" w:color="auto"/>
              <w:right w:val="single" w:sz="4" w:space="0" w:color="000008"/>
            </w:tcBorders>
          </w:tcPr>
          <w:p>
            <w:pPr/>
          </w:p>
        </w:tc>
        <w:tc>
          <w:tcPr>
            <w:tcW w:w="982" w:type="dxa"/>
            <w:tcBorders>
              <w:top w:val="nil" w:sz="6" w:space="0" w:color="auto"/>
              <w:left w:val="single" w:sz="4" w:space="0" w:color="000008"/>
              <w:bottom w:val="nil" w:sz="6" w:space="0" w:color="auto"/>
              <w:right w:val="single" w:sz="4" w:space="0" w:color="000008"/>
            </w:tcBorders>
          </w:tcPr>
          <w:p>
            <w:pPr/>
          </w:p>
        </w:tc>
        <w:tc>
          <w:tcPr>
            <w:tcW w:w="2446" w:type="dxa"/>
            <w:tcBorders>
              <w:top w:val="nil" w:sz="6" w:space="0" w:color="auto"/>
              <w:left w:val="single" w:sz="4" w:space="0" w:color="000008"/>
              <w:bottom w:val="nil" w:sz="6" w:space="0" w:color="auto"/>
              <w:right w:val="single" w:sz="4" w:space="0" w:color="000008"/>
            </w:tcBorders>
          </w:tcPr>
          <w:p>
            <w:pPr/>
          </w:p>
        </w:tc>
        <w:tc>
          <w:tcPr>
            <w:tcW w:w="1116" w:type="dxa"/>
            <w:tcBorders>
              <w:top w:val="nil" w:sz="6" w:space="0" w:color="auto"/>
              <w:left w:val="single" w:sz="4" w:space="0" w:color="000008"/>
              <w:bottom w:val="nil" w:sz="6" w:space="0" w:color="auto"/>
              <w:right w:val="single" w:sz="4" w:space="0" w:color="000008"/>
            </w:tcBorders>
          </w:tcPr>
          <w:p>
            <w:pPr/>
          </w:p>
        </w:tc>
        <w:tc>
          <w:tcPr>
            <w:tcW w:w="888" w:type="dxa"/>
            <w:tcBorders>
              <w:top w:val="nil" w:sz="6" w:space="0" w:color="auto"/>
              <w:left w:val="single" w:sz="4" w:space="0" w:color="000008"/>
              <w:bottom w:val="nil" w:sz="6" w:space="0" w:color="auto"/>
              <w:right w:val="single" w:sz="4" w:space="0" w:color="000008"/>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888" w:type="dxa"/>
            <w:tcBorders>
              <w:top w:val="nil" w:sz="6" w:space="0" w:color="auto"/>
              <w:left w:val="single" w:sz="4" w:space="0" w:color="000008"/>
              <w:bottom w:val="nil" w:sz="6" w:space="0" w:color="auto"/>
              <w:right w:val="single" w:sz="4" w:space="0" w:color="000008"/>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605" w:type="dxa"/>
            <w:tcBorders>
              <w:top w:val="nil" w:sz="6" w:space="0" w:color="auto"/>
              <w:left w:val="single" w:sz="4" w:space="0" w:color="000008"/>
              <w:bottom w:val="nil" w:sz="6" w:space="0" w:color="auto"/>
              <w:right w:val="single" w:sz="4" w:space="0" w:color="000008"/>
            </w:tcBorders>
          </w:tcPr>
          <w:p>
            <w:pPr/>
          </w:p>
        </w:tc>
      </w:tr>
      <w:tr>
        <w:trPr>
          <w:trHeight w:val="202" w:hRule="exact"/>
        </w:trPr>
        <w:tc>
          <w:tcPr>
            <w:tcW w:w="3586" w:type="dxa"/>
            <w:tcBorders>
              <w:top w:val="nil" w:sz="6" w:space="0" w:color="auto"/>
              <w:left w:val="single" w:sz="4" w:space="0" w:color="000008"/>
              <w:bottom w:val="nil" w:sz="6" w:space="0" w:color="auto"/>
              <w:right w:val="single" w:sz="4" w:space="0" w:color="000008"/>
            </w:tcBorders>
          </w:tcPr>
          <w:p>
            <w:pPr>
              <w:pStyle w:val="TableParagraph"/>
              <w:spacing w:line="190" w:lineRule="exact"/>
              <w:ind w:left="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62" w:type="dxa"/>
            <w:tcBorders>
              <w:top w:val="nil" w:sz="6" w:space="0" w:color="auto"/>
              <w:left w:val="single" w:sz="4" w:space="0" w:color="000008"/>
              <w:bottom w:val="nil" w:sz="6" w:space="0" w:color="auto"/>
              <w:right w:val="single" w:sz="4" w:space="0" w:color="000008"/>
            </w:tcBorders>
          </w:tcPr>
          <w:p>
            <w:pPr>
              <w:pStyle w:val="TableParagraph"/>
              <w:spacing w:line="190" w:lineRule="exact"/>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36" w:type="dxa"/>
            <w:tcBorders>
              <w:top w:val="nil" w:sz="6" w:space="0" w:color="auto"/>
              <w:left w:val="single" w:sz="4" w:space="0" w:color="000008"/>
              <w:bottom w:val="nil" w:sz="6" w:space="0" w:color="auto"/>
              <w:right w:val="single" w:sz="4" w:space="0" w:color="000008"/>
            </w:tcBorders>
          </w:tcPr>
          <w:p>
            <w:pPr>
              <w:pStyle w:val="TableParagraph"/>
              <w:spacing w:line="190" w:lineRule="exact"/>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40" w:type="dxa"/>
            <w:tcBorders>
              <w:top w:val="nil" w:sz="6" w:space="0" w:color="auto"/>
              <w:left w:val="single" w:sz="4" w:space="0" w:color="000008"/>
              <w:bottom w:val="nil" w:sz="6" w:space="0" w:color="auto"/>
              <w:right w:val="single" w:sz="4" w:space="0" w:color="000008"/>
            </w:tcBorders>
          </w:tcPr>
          <w:p>
            <w:pPr>
              <w:pStyle w:val="TableParagraph"/>
              <w:spacing w:line="190" w:lineRule="exact"/>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82" w:type="dxa"/>
            <w:tcBorders>
              <w:top w:val="nil" w:sz="6" w:space="0" w:color="auto"/>
              <w:left w:val="single" w:sz="4" w:space="0" w:color="000008"/>
              <w:bottom w:val="nil" w:sz="6" w:space="0" w:color="auto"/>
              <w:right w:val="single" w:sz="4" w:space="0" w:color="000008"/>
            </w:tcBorders>
          </w:tcPr>
          <w:p>
            <w:pPr>
              <w:pStyle w:val="TableParagraph"/>
              <w:spacing w:line="192" w:lineRule="exact"/>
              <w:ind w:left="2"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2446" w:type="dxa"/>
            <w:tcBorders>
              <w:top w:val="nil" w:sz="6" w:space="0" w:color="auto"/>
              <w:left w:val="single" w:sz="4" w:space="0" w:color="000008"/>
              <w:bottom w:val="nil" w:sz="6" w:space="0" w:color="auto"/>
              <w:right w:val="single" w:sz="4" w:space="0" w:color="000008"/>
            </w:tcBorders>
          </w:tcPr>
          <w:p>
            <w:pPr>
              <w:pStyle w:val="TableParagraph"/>
              <w:spacing w:line="190" w:lineRule="exact"/>
              <w:ind w:left="2"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16" w:type="dxa"/>
            <w:tcBorders>
              <w:top w:val="nil" w:sz="6" w:space="0" w:color="auto"/>
              <w:left w:val="single" w:sz="4" w:space="0" w:color="000008"/>
              <w:bottom w:val="nil" w:sz="6" w:space="0" w:color="auto"/>
              <w:right w:val="single" w:sz="4" w:space="0" w:color="000008"/>
            </w:tcBorders>
          </w:tcPr>
          <w:p>
            <w:pPr>
              <w:pStyle w:val="TableParagraph"/>
              <w:spacing w:line="192" w:lineRule="exact"/>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888" w:type="dxa"/>
            <w:tcBorders>
              <w:top w:val="nil" w:sz="6" w:space="0" w:color="auto"/>
              <w:left w:val="single" w:sz="4" w:space="0" w:color="000008"/>
              <w:bottom w:val="nil" w:sz="6" w:space="0" w:color="auto"/>
              <w:right w:val="single" w:sz="4" w:space="0" w:color="000008"/>
            </w:tcBorders>
          </w:tcPr>
          <w:p>
            <w:pPr/>
          </w:p>
        </w:tc>
        <w:tc>
          <w:tcPr>
            <w:tcW w:w="888" w:type="dxa"/>
            <w:tcBorders>
              <w:top w:val="nil" w:sz="6" w:space="0" w:color="auto"/>
              <w:left w:val="single" w:sz="4" w:space="0" w:color="000008"/>
              <w:bottom w:val="nil" w:sz="6" w:space="0" w:color="auto"/>
              <w:right w:val="single" w:sz="4" w:space="0" w:color="000008"/>
            </w:tcBorders>
          </w:tcPr>
          <w:p>
            <w:pPr/>
          </w:p>
        </w:tc>
        <w:tc>
          <w:tcPr>
            <w:tcW w:w="605" w:type="dxa"/>
            <w:tcBorders>
              <w:top w:val="nil" w:sz="6" w:space="0" w:color="auto"/>
              <w:left w:val="single" w:sz="4" w:space="0" w:color="000008"/>
              <w:bottom w:val="nil" w:sz="6" w:space="0" w:color="auto"/>
              <w:right w:val="single" w:sz="4" w:space="0" w:color="000008"/>
            </w:tcBorders>
          </w:tcPr>
          <w:p>
            <w:pPr>
              <w:pStyle w:val="TableParagraph"/>
              <w:spacing w:line="192"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204" w:hRule="exact"/>
        </w:trPr>
        <w:tc>
          <w:tcPr>
            <w:tcW w:w="3586" w:type="dxa"/>
            <w:tcBorders>
              <w:top w:val="nil" w:sz="6" w:space="0" w:color="auto"/>
              <w:left w:val="single" w:sz="4" w:space="0" w:color="000008"/>
              <w:bottom w:val="nil" w:sz="6" w:space="0" w:color="auto"/>
              <w:right w:val="single" w:sz="4" w:space="0" w:color="000008"/>
            </w:tcBorders>
          </w:tcPr>
          <w:p>
            <w:pPr/>
          </w:p>
        </w:tc>
        <w:tc>
          <w:tcPr>
            <w:tcW w:w="1262" w:type="dxa"/>
            <w:tcBorders>
              <w:top w:val="nil" w:sz="6" w:space="0" w:color="auto"/>
              <w:left w:val="single" w:sz="4" w:space="0" w:color="000008"/>
              <w:bottom w:val="nil" w:sz="6" w:space="0" w:color="auto"/>
              <w:right w:val="single" w:sz="4" w:space="0" w:color="000008"/>
            </w:tcBorders>
          </w:tcPr>
          <w:p>
            <w:pPr/>
          </w:p>
        </w:tc>
        <w:tc>
          <w:tcPr>
            <w:tcW w:w="936" w:type="dxa"/>
            <w:tcBorders>
              <w:top w:val="nil" w:sz="6" w:space="0" w:color="auto"/>
              <w:left w:val="single" w:sz="4" w:space="0" w:color="000008"/>
              <w:bottom w:val="nil" w:sz="6" w:space="0" w:color="auto"/>
              <w:right w:val="single" w:sz="4" w:space="0" w:color="000008"/>
            </w:tcBorders>
          </w:tcPr>
          <w:p>
            <w:pPr/>
          </w:p>
        </w:tc>
        <w:tc>
          <w:tcPr>
            <w:tcW w:w="1740" w:type="dxa"/>
            <w:tcBorders>
              <w:top w:val="nil" w:sz="6" w:space="0" w:color="auto"/>
              <w:left w:val="single" w:sz="4" w:space="0" w:color="000008"/>
              <w:bottom w:val="nil" w:sz="6" w:space="0" w:color="auto"/>
              <w:right w:val="single" w:sz="4" w:space="0" w:color="000008"/>
            </w:tcBorders>
          </w:tcPr>
          <w:p>
            <w:pPr/>
          </w:p>
        </w:tc>
        <w:tc>
          <w:tcPr>
            <w:tcW w:w="982" w:type="dxa"/>
            <w:tcBorders>
              <w:top w:val="nil" w:sz="6" w:space="0" w:color="auto"/>
              <w:left w:val="single" w:sz="4" w:space="0" w:color="000008"/>
              <w:bottom w:val="nil" w:sz="6" w:space="0" w:color="auto"/>
              <w:right w:val="single" w:sz="4" w:space="0" w:color="000008"/>
            </w:tcBorders>
          </w:tcPr>
          <w:p>
            <w:pPr/>
          </w:p>
        </w:tc>
        <w:tc>
          <w:tcPr>
            <w:tcW w:w="2446" w:type="dxa"/>
            <w:tcBorders>
              <w:top w:val="nil" w:sz="6" w:space="0" w:color="auto"/>
              <w:left w:val="single" w:sz="4" w:space="0" w:color="000008"/>
              <w:bottom w:val="nil" w:sz="6" w:space="0" w:color="auto"/>
              <w:right w:val="single" w:sz="4" w:space="0" w:color="000008"/>
            </w:tcBorders>
          </w:tcPr>
          <w:p>
            <w:pPr/>
          </w:p>
        </w:tc>
        <w:tc>
          <w:tcPr>
            <w:tcW w:w="1116" w:type="dxa"/>
            <w:tcBorders>
              <w:top w:val="nil" w:sz="6" w:space="0" w:color="auto"/>
              <w:left w:val="single" w:sz="4" w:space="0" w:color="000008"/>
              <w:bottom w:val="nil" w:sz="6" w:space="0" w:color="auto"/>
              <w:right w:val="single" w:sz="4" w:space="0" w:color="000008"/>
            </w:tcBorders>
          </w:tcPr>
          <w:p>
            <w:pPr/>
          </w:p>
        </w:tc>
        <w:tc>
          <w:tcPr>
            <w:tcW w:w="888" w:type="dxa"/>
            <w:tcBorders>
              <w:top w:val="nil" w:sz="6" w:space="0" w:color="auto"/>
              <w:left w:val="single" w:sz="4" w:space="0" w:color="000008"/>
              <w:bottom w:val="nil" w:sz="6" w:space="0" w:color="auto"/>
              <w:right w:val="single" w:sz="4" w:space="0" w:color="000008"/>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88" w:type="dxa"/>
            <w:tcBorders>
              <w:top w:val="nil" w:sz="6" w:space="0" w:color="auto"/>
              <w:left w:val="single" w:sz="4" w:space="0" w:color="000008"/>
              <w:bottom w:val="nil" w:sz="6" w:space="0" w:color="auto"/>
              <w:right w:val="single" w:sz="4" w:space="0" w:color="000008"/>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605" w:type="dxa"/>
            <w:tcBorders>
              <w:top w:val="nil" w:sz="6" w:space="0" w:color="auto"/>
              <w:left w:val="single" w:sz="4" w:space="0" w:color="000008"/>
              <w:bottom w:val="nil" w:sz="6" w:space="0" w:color="auto"/>
              <w:right w:val="single" w:sz="4" w:space="0" w:color="000008"/>
            </w:tcBorders>
          </w:tcPr>
          <w:p>
            <w:pPr/>
          </w:p>
        </w:tc>
      </w:tr>
      <w:tr>
        <w:trPr>
          <w:trHeight w:val="210" w:hRule="exact"/>
        </w:trPr>
        <w:tc>
          <w:tcPr>
            <w:tcW w:w="3586" w:type="dxa"/>
            <w:tcBorders>
              <w:top w:val="nil" w:sz="6" w:space="0" w:color="auto"/>
              <w:left w:val="single" w:sz="4" w:space="0" w:color="000008"/>
              <w:bottom w:val="single" w:sz="4" w:space="0" w:color="000008"/>
              <w:right w:val="single" w:sz="4" w:space="0" w:color="000008"/>
            </w:tcBorders>
          </w:tcPr>
          <w:p>
            <w:pPr/>
          </w:p>
        </w:tc>
        <w:tc>
          <w:tcPr>
            <w:tcW w:w="1262" w:type="dxa"/>
            <w:tcBorders>
              <w:top w:val="nil" w:sz="6" w:space="0" w:color="auto"/>
              <w:left w:val="single" w:sz="4" w:space="0" w:color="000008"/>
              <w:bottom w:val="single" w:sz="4" w:space="0" w:color="000008"/>
              <w:right w:val="single" w:sz="4" w:space="0" w:color="000008"/>
            </w:tcBorders>
          </w:tcPr>
          <w:p>
            <w:pPr/>
          </w:p>
        </w:tc>
        <w:tc>
          <w:tcPr>
            <w:tcW w:w="936" w:type="dxa"/>
            <w:tcBorders>
              <w:top w:val="nil" w:sz="6" w:space="0" w:color="auto"/>
              <w:left w:val="single" w:sz="4" w:space="0" w:color="000008"/>
              <w:bottom w:val="single" w:sz="4" w:space="0" w:color="000008"/>
              <w:right w:val="single" w:sz="4" w:space="0" w:color="000008"/>
            </w:tcBorders>
          </w:tcPr>
          <w:p>
            <w:pPr/>
          </w:p>
        </w:tc>
        <w:tc>
          <w:tcPr>
            <w:tcW w:w="1740" w:type="dxa"/>
            <w:tcBorders>
              <w:top w:val="nil" w:sz="6" w:space="0" w:color="auto"/>
              <w:left w:val="single" w:sz="4" w:space="0" w:color="000008"/>
              <w:bottom w:val="single" w:sz="4" w:space="0" w:color="000008"/>
              <w:right w:val="single" w:sz="4" w:space="0" w:color="000008"/>
            </w:tcBorders>
          </w:tcPr>
          <w:p>
            <w:pPr/>
          </w:p>
        </w:tc>
        <w:tc>
          <w:tcPr>
            <w:tcW w:w="982" w:type="dxa"/>
            <w:tcBorders>
              <w:top w:val="nil" w:sz="6" w:space="0" w:color="auto"/>
              <w:left w:val="single" w:sz="4" w:space="0" w:color="000008"/>
              <w:bottom w:val="single" w:sz="4" w:space="0" w:color="000008"/>
              <w:right w:val="single" w:sz="4" w:space="0" w:color="000008"/>
            </w:tcBorders>
          </w:tcPr>
          <w:p>
            <w:pPr>
              <w:pStyle w:val="TableParagraph"/>
              <w:spacing w:line="185" w:lineRule="exact"/>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446" w:type="dxa"/>
            <w:tcBorders>
              <w:top w:val="nil" w:sz="6" w:space="0" w:color="auto"/>
              <w:left w:val="single" w:sz="4" w:space="0" w:color="000008"/>
              <w:bottom w:val="single" w:sz="4" w:space="0" w:color="000008"/>
              <w:right w:val="single" w:sz="4" w:space="0" w:color="000008"/>
            </w:tcBorders>
          </w:tcPr>
          <w:p>
            <w:pPr/>
          </w:p>
        </w:tc>
        <w:tc>
          <w:tcPr>
            <w:tcW w:w="1116" w:type="dxa"/>
            <w:tcBorders>
              <w:top w:val="nil" w:sz="6" w:space="0" w:color="auto"/>
              <w:left w:val="single" w:sz="4" w:space="0" w:color="000008"/>
              <w:bottom w:val="single" w:sz="4" w:space="0" w:color="000008"/>
              <w:right w:val="single" w:sz="4" w:space="0" w:color="000008"/>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888" w:type="dxa"/>
            <w:tcBorders>
              <w:top w:val="nil" w:sz="6" w:space="0" w:color="auto"/>
              <w:left w:val="single" w:sz="4" w:space="0" w:color="000008"/>
              <w:bottom w:val="single" w:sz="4" w:space="0" w:color="000008"/>
              <w:right w:val="single" w:sz="4" w:space="0" w:color="000008"/>
            </w:tcBorders>
          </w:tcPr>
          <w:p>
            <w:pPr/>
          </w:p>
        </w:tc>
        <w:tc>
          <w:tcPr>
            <w:tcW w:w="888" w:type="dxa"/>
            <w:tcBorders>
              <w:top w:val="nil" w:sz="6" w:space="0" w:color="auto"/>
              <w:left w:val="single" w:sz="4" w:space="0" w:color="000008"/>
              <w:bottom w:val="single" w:sz="4" w:space="0" w:color="000008"/>
              <w:right w:val="single" w:sz="4" w:space="0" w:color="000008"/>
            </w:tcBorders>
          </w:tcPr>
          <w:p>
            <w:pPr/>
          </w:p>
        </w:tc>
        <w:tc>
          <w:tcPr>
            <w:tcW w:w="605" w:type="dxa"/>
            <w:tcBorders>
              <w:top w:val="nil" w:sz="6" w:space="0" w:color="auto"/>
              <w:left w:val="single" w:sz="4" w:space="0" w:color="000008"/>
              <w:bottom w:val="single" w:sz="4" w:space="0" w:color="000008"/>
              <w:right w:val="single" w:sz="4" w:space="0" w:color="000008"/>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z w:val="18"/>
                <w:szCs w:val="18"/>
              </w:rPr>
              <w:t>报表</w:t>
            </w:r>
          </w:p>
        </w:tc>
      </w:tr>
      <w:tr>
        <w:trPr>
          <w:trHeight w:val="410" w:hRule="exact"/>
        </w:trPr>
        <w:tc>
          <w:tcPr>
            <w:tcW w:w="3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pacing w:val="-3"/>
                <w:sz w:val="18"/>
                <w:szCs w:val="18"/>
              </w:rPr>
              <w:t>南昌（深圳）农产品中心批发市场有限公司</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223"/>
              <w:jc w:val="righ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4318</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3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7500</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223"/>
              <w:jc w:val="right"/>
              <w:rPr>
                <w:rFonts w:ascii="宋体" w:hAnsi="宋体" w:cs="宋体" w:eastAsia="宋体" w:hint="default"/>
                <w:sz w:val="18"/>
                <w:szCs w:val="18"/>
              </w:rPr>
            </w:pPr>
            <w:r>
              <w:rPr>
                <w:rFonts w:ascii="宋体" w:hAnsi="宋体" w:cs="宋体" w:eastAsia="宋体" w:hint="default"/>
                <w:sz w:val="18"/>
                <w:szCs w:val="18"/>
              </w:rPr>
              <w:t>农贸市场投资、物业租赁</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6366</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3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7500</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23"/>
              <w:jc w:val="righ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1189</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3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5100</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23"/>
              <w:jc w:val="righ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2388</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50.98</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50.98</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3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23"/>
              <w:jc w:val="righ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3824</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3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深圳市西岸渔人码头商业有限公司</w:t>
            </w:r>
            <w:r>
              <w:rPr>
                <w:rFonts w:ascii="Times New Roman" w:hAnsi="Times New Roman" w:cs="Times New Roman" w:eastAsia="Times New Roman" w:hint="default"/>
                <w:sz w:val="18"/>
                <w:szCs w:val="18"/>
              </w:rPr>
              <w:t>*</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市场配套</w:t>
            </w:r>
          </w:p>
        </w:tc>
        <w:tc>
          <w:tcPr>
            <w:tcW w:w="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39"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1473</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3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7143</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223"/>
              <w:jc w:val="righ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5128</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3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1800</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679" w:right="0"/>
              <w:jc w:val="left"/>
              <w:rPr>
                <w:rFonts w:ascii="宋体" w:hAnsi="宋体" w:cs="宋体" w:eastAsia="宋体" w:hint="default"/>
                <w:sz w:val="18"/>
                <w:szCs w:val="18"/>
              </w:rPr>
            </w:pPr>
            <w:r>
              <w:rPr>
                <w:rFonts w:ascii="宋体" w:hAnsi="宋体" w:cs="宋体" w:eastAsia="宋体" w:hint="default"/>
                <w:sz w:val="18"/>
                <w:szCs w:val="18"/>
              </w:rPr>
              <w:t>茧丝交易服务</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1074</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3"/>
        <w:rPr>
          <w:rFonts w:ascii="宋体" w:hAnsi="宋体" w:cs="宋体" w:eastAsia="宋体" w:hint="default"/>
          <w:sz w:val="21"/>
          <w:szCs w:val="21"/>
        </w:rPr>
      </w:pPr>
    </w:p>
    <w:p>
      <w:pPr>
        <w:spacing w:before="0"/>
        <w:ind w:left="6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深圳市西岸渔人码头商业有限公司原名为深圳市海吉星渔港实业有限公司，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月变更为现名。本公司与本公司子公司深圳市果菜贸易公司</w:t>
      </w:r>
    </w:p>
    <w:p>
      <w:pPr>
        <w:spacing w:after="0"/>
        <w:jc w:val="left"/>
        <w:rPr>
          <w:rFonts w:ascii="宋体" w:hAnsi="宋体" w:cs="宋体" w:eastAsia="宋体" w:hint="default"/>
          <w:sz w:val="21"/>
          <w:szCs w:val="21"/>
        </w:rPr>
        <w:sectPr>
          <w:footerReference w:type="default" r:id="rId159"/>
          <w:pgSz w:w="16840" w:h="11910" w:orient="landscape"/>
          <w:pgMar w:footer="896" w:header="943" w:top="1640" w:bottom="1080" w:left="1200" w:right="960"/>
          <w:pgNumType w:start="140"/>
        </w:sectPr>
      </w:pPr>
    </w:p>
    <w:p>
      <w:pPr>
        <w:spacing w:line="240" w:lineRule="auto" w:before="5"/>
        <w:rPr>
          <w:rFonts w:ascii="宋体" w:hAnsi="宋体" w:cs="宋体" w:eastAsia="宋体" w:hint="default"/>
          <w:sz w:val="21"/>
          <w:szCs w:val="21"/>
        </w:rPr>
      </w:pPr>
    </w:p>
    <w:p>
      <w:pPr>
        <w:spacing w:line="362" w:lineRule="auto" w:before="36"/>
        <w:ind w:left="138" w:right="99" w:firstLine="0"/>
        <w:jc w:val="left"/>
        <w:rPr>
          <w:rFonts w:ascii="宋体" w:hAnsi="宋体" w:cs="宋体" w:eastAsia="宋体" w:hint="default"/>
          <w:sz w:val="21"/>
          <w:szCs w:val="21"/>
        </w:rPr>
      </w:pPr>
      <w:r>
        <w:rPr>
          <w:rFonts w:ascii="宋体" w:hAnsi="宋体" w:cs="宋体" w:eastAsia="宋体" w:hint="default"/>
          <w:sz w:val="21"/>
          <w:szCs w:val="21"/>
        </w:rPr>
        <w:t>原合计持有该公司</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月，果菜公司与深圳市深业物流笋岗仓库有限公司和深圳市笋岗国际电子物流城有限公司签订《股权转让合同》</w:t>
      </w:r>
      <w:r>
        <w:rPr>
          <w:rFonts w:ascii="宋体" w:hAnsi="宋体" w:cs="宋体" w:eastAsia="宋体" w:hint="default"/>
          <w:w w:val="100"/>
          <w:sz w:val="21"/>
          <w:szCs w:val="21"/>
        </w:rPr>
        <w:t> </w:t>
      </w:r>
      <w:r>
        <w:rPr>
          <w:rFonts w:ascii="宋体" w:hAnsi="宋体" w:cs="宋体" w:eastAsia="宋体" w:hint="default"/>
          <w:sz w:val="21"/>
          <w:szCs w:val="21"/>
        </w:rPr>
        <w:t>将其持有的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股权分别转让给该两家公司，转让后本公司与果菜公司合计持有西岸渔人码头商业公司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w:t>
      </w:r>
    </w:p>
    <w:p>
      <w:pPr>
        <w:spacing w:line="240" w:lineRule="auto" w:before="1"/>
        <w:rPr>
          <w:rFonts w:ascii="宋体" w:hAnsi="宋体" w:cs="宋体" w:eastAsia="宋体" w:hint="default"/>
          <w:sz w:val="16"/>
          <w:szCs w:val="16"/>
        </w:rPr>
      </w:pPr>
    </w:p>
    <w:p>
      <w:pPr>
        <w:tabs>
          <w:tab w:pos="2838" w:val="left" w:leader="none"/>
        </w:tabs>
        <w:spacing w:before="0"/>
        <w:ind w:left="558" w:right="99" w:firstLine="0"/>
        <w:jc w:val="left"/>
        <w:rPr>
          <w:rFonts w:ascii="宋体" w:hAnsi="宋体" w:cs="宋体" w:eastAsia="宋体" w:hint="default"/>
          <w:sz w:val="21"/>
          <w:szCs w:val="21"/>
        </w:rPr>
      </w:pPr>
      <w:r>
        <w:rPr>
          <w:rFonts w:ascii="宋体" w:hAnsi="宋体" w:cs="宋体" w:eastAsia="宋体" w:hint="default"/>
          <w:spacing w:val="-1"/>
          <w:sz w:val="21"/>
          <w:szCs w:val="21"/>
        </w:rPr>
        <w:t>（二）</w:t>
        <w:tab/>
      </w:r>
      <w:r>
        <w:rPr>
          <w:rFonts w:ascii="宋体" w:hAnsi="宋体" w:cs="宋体" w:eastAsia="宋体" w:hint="default"/>
          <w:spacing w:val="-2"/>
          <w:sz w:val="21"/>
          <w:szCs w:val="21"/>
        </w:rPr>
        <w:t>子公司少数股东权益情况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130"/>
        <w:gridCol w:w="1349"/>
        <w:gridCol w:w="1404"/>
        <w:gridCol w:w="2218"/>
        <w:gridCol w:w="4973"/>
      </w:tblGrid>
      <w:tr>
        <w:trPr>
          <w:trHeight w:val="809"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少数股权比例</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28"/>
              <w:ind w:left="564" w:right="23" w:hanging="540"/>
              <w:jc w:val="left"/>
              <w:rPr>
                <w:rFonts w:ascii="宋体" w:hAnsi="宋体" w:cs="宋体" w:eastAsia="宋体" w:hint="default"/>
                <w:sz w:val="18"/>
                <w:szCs w:val="18"/>
              </w:rPr>
            </w:pPr>
            <w:r>
              <w:rPr>
                <w:rFonts w:ascii="宋体" w:hAnsi="宋体" w:cs="宋体" w:eastAsia="宋体" w:hint="default"/>
                <w:sz w:val="18"/>
                <w:szCs w:val="18"/>
              </w:rPr>
              <w:t>少数股东权益中冲减少数股 东损益的金额</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224" w:right="0"/>
              <w:jc w:val="left"/>
              <w:rPr>
                <w:rFonts w:ascii="宋体" w:hAnsi="宋体" w:cs="宋体" w:eastAsia="宋体" w:hint="default"/>
                <w:sz w:val="18"/>
                <w:szCs w:val="18"/>
              </w:rPr>
            </w:pPr>
            <w:r>
              <w:rPr>
                <w:rFonts w:ascii="宋体" w:hAnsi="宋体" w:cs="宋体" w:eastAsia="宋体" w:hint="default"/>
                <w:sz w:val="18"/>
                <w:szCs w:val="18"/>
              </w:rPr>
              <w:t>母公司承担的少数股东超额亏损</w:t>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49%</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85,119,444.80</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27.01%</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70,462,071.48</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42%</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59,846,746.07</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48.8%</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17,111,862.41</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45%</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591,875.71</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-252,123.79</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8"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1,366,166.85</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13.5%</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968,021.27</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-150,108.24</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深圳市农安认证农产品有限公司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579,164.08</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48.98%</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-340,806.23</w:t>
            </w:r>
          </w:p>
        </w:tc>
        <w:tc>
          <w:tcPr>
            <w:tcW w:w="4973" w:type="dxa"/>
            <w:tcBorders>
              <w:top w:val="single" w:sz="4" w:space="0" w:color="000008"/>
              <w:left w:val="single" w:sz="4" w:space="0" w:color="000008"/>
              <w:bottom w:val="single" w:sz="4" w:space="0" w:color="000008"/>
              <w:right w:val="single" w:sz="4" w:space="0" w:color="000008"/>
            </w:tcBorders>
          </w:tcPr>
          <w:p>
            <w:pP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39.2%</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76,838,657.73</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49%</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64,408,471.06</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8"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云南鲲鹏农产品电子商务批发市场有限公司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45%</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30,225,338.94</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49%</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34,191,349.46</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49.02%</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39,704,186.40</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43" w:footer="896" w:top="1640" w:bottom="1080" w:left="1280" w:right="1200"/>
        </w:sectPr>
      </w:pPr>
    </w:p>
    <w:p>
      <w:pPr>
        <w:spacing w:line="240" w:lineRule="auto" w:before="2"/>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4130"/>
        <w:gridCol w:w="1349"/>
        <w:gridCol w:w="1404"/>
        <w:gridCol w:w="2218"/>
        <w:gridCol w:w="4973"/>
      </w:tblGrid>
      <w:tr>
        <w:trPr>
          <w:trHeight w:val="809"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少数股权比例</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5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398" w:lineRule="exact" w:before="29"/>
              <w:ind w:left="564" w:right="23" w:hanging="540"/>
              <w:jc w:val="left"/>
              <w:rPr>
                <w:rFonts w:ascii="宋体" w:hAnsi="宋体" w:cs="宋体" w:eastAsia="宋体" w:hint="default"/>
                <w:sz w:val="18"/>
                <w:szCs w:val="18"/>
              </w:rPr>
            </w:pPr>
            <w:r>
              <w:rPr>
                <w:rFonts w:ascii="宋体" w:hAnsi="宋体" w:cs="宋体" w:eastAsia="宋体" w:hint="default"/>
                <w:sz w:val="18"/>
                <w:szCs w:val="18"/>
              </w:rPr>
              <w:t>少数股东权益中冲减少数股 东损益的金额</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224" w:right="0"/>
              <w:jc w:val="left"/>
              <w:rPr>
                <w:rFonts w:ascii="宋体" w:hAnsi="宋体" w:cs="宋体" w:eastAsia="宋体" w:hint="default"/>
                <w:sz w:val="18"/>
                <w:szCs w:val="18"/>
              </w:rPr>
            </w:pPr>
            <w:r>
              <w:rPr>
                <w:rFonts w:ascii="宋体" w:hAnsi="宋体" w:cs="宋体" w:eastAsia="宋体" w:hint="default"/>
                <w:sz w:val="18"/>
                <w:szCs w:val="18"/>
              </w:rPr>
              <w:t>母公司承担的少数股东超额亏损</w:t>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49%</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29,831,990.55</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28,943,749.82</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-544,416.78</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49%</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4,495,572.26</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-830,164.37</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合肥国家棉花交易中心有限责任公司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3,867,595.51</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-1,511,107.89</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8"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9,678.73</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924,470.10</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南宁银通典当有限公司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13.07%</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69,699.56</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3,820,179.76</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-179,820.24</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18,000,000.00</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36.25%</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11,600,000.00</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8"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45.59%</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218" w:type="dxa"/>
            <w:tcBorders>
              <w:top w:val="single" w:sz="4" w:space="0" w:color="000008"/>
              <w:left w:val="single" w:sz="4" w:space="0" w:color="000008"/>
              <w:bottom w:val="single" w:sz="4" w:space="0" w:color="000008"/>
              <w:right w:val="single" w:sz="4" w:space="0" w:color="000008"/>
            </w:tcBorders>
          </w:tcPr>
          <w:p>
            <w:pP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深圳市西岸渔人码头商业有限公司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49%</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15,401,894.01</w:t>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49%</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8,266,575.82</w:t>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成都无公害蔬菜配送中心有限公司</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7.27%</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27,160.97</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4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9" w:type="dxa"/>
            <w:tcBorders>
              <w:top w:val="single" w:sz="4" w:space="0" w:color="000008"/>
              <w:left w:val="single" w:sz="4" w:space="0" w:color="000008"/>
              <w:bottom w:val="single" w:sz="4" w:space="0" w:color="000008"/>
              <w:right w:val="single" w:sz="4" w:space="0" w:color="000008"/>
            </w:tcBorders>
          </w:tcPr>
          <w:p>
            <w:pP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583,003,453.52</w:t>
            </w:r>
            <w:r>
              <w:rPr>
                <w:rFonts w:ascii="Times New Roman"/>
                <w:spacing w:val="-1"/>
                <w:sz w:val="18"/>
              </w:rPr>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-3,808,547.54</w:t>
            </w:r>
            <w:r>
              <w:rPr>
                <w:rFonts w:ascii="Times New Roman"/>
                <w:spacing w:val="-1"/>
                <w:sz w:val="18"/>
              </w:rPr>
            </w:r>
          </w:p>
        </w:tc>
        <w:tc>
          <w:tcPr>
            <w:tcW w:w="49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23,668,469.83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43" w:footer="896" w:top="1640" w:bottom="1080" w:left="1280" w:right="12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before="36"/>
        <w:ind w:left="561" w:right="129"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79"/>
          <w:sz w:val="21"/>
          <w:szCs w:val="21"/>
        </w:rPr>
        <w:t> </w:t>
      </w:r>
      <w:r>
        <w:rPr>
          <w:rFonts w:ascii="宋体" w:hAnsi="宋体" w:cs="宋体" w:eastAsia="宋体" w:hint="default"/>
          <w:sz w:val="21"/>
          <w:szCs w:val="21"/>
        </w:rPr>
        <w:t>合并范围发生变更的说明</w:t>
      </w:r>
    </w:p>
    <w:p>
      <w:pPr>
        <w:spacing w:line="240" w:lineRule="auto" w:before="2"/>
        <w:rPr>
          <w:rFonts w:ascii="宋体" w:hAnsi="宋体" w:cs="宋体" w:eastAsia="宋体" w:hint="default"/>
          <w:sz w:val="26"/>
          <w:szCs w:val="26"/>
        </w:rPr>
      </w:pPr>
    </w:p>
    <w:p>
      <w:pPr>
        <w:spacing w:before="0"/>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、新纳入合并范围公司情况</w:t>
      </w:r>
    </w:p>
    <w:p>
      <w:pPr>
        <w:spacing w:line="240" w:lineRule="auto" w:before="1"/>
        <w:rPr>
          <w:rFonts w:ascii="宋体" w:hAnsi="宋体" w:cs="宋体" w:eastAsia="宋体" w:hint="default"/>
          <w:sz w:val="25"/>
          <w:szCs w:val="25"/>
        </w:rPr>
      </w:pPr>
    </w:p>
    <w:p>
      <w:pPr>
        <w:spacing w:line="364" w:lineRule="auto" w:before="0"/>
        <w:ind w:left="141" w:right="137" w:firstLine="420"/>
        <w:jc w:val="both"/>
        <w:rPr>
          <w:rFonts w:ascii="宋体" w:hAnsi="宋体" w:cs="宋体" w:eastAsia="宋体" w:hint="default"/>
          <w:sz w:val="21"/>
          <w:szCs w:val="21"/>
        </w:rPr>
      </w:pPr>
      <w:r>
        <w:rPr>
          <w:rFonts w:ascii="宋体" w:hAnsi="宋体" w:cs="宋体" w:eastAsia="宋体" w:hint="default"/>
          <w:spacing w:val="-18"/>
          <w:sz w:val="21"/>
          <w:szCs w:val="21"/>
        </w:rPr>
        <w:t>（</w:t>
      </w:r>
      <w:r>
        <w:rPr>
          <w:rFonts w:ascii="Times New Roman" w:hAnsi="Times New Roman" w:cs="Times New Roman" w:eastAsia="Times New Roman" w:hint="default"/>
          <w:spacing w:val="-18"/>
          <w:sz w:val="21"/>
          <w:szCs w:val="21"/>
        </w:rPr>
        <w:t>1</w:t>
      </w:r>
      <w:r>
        <w:rPr>
          <w:rFonts w:ascii="宋体" w:hAnsi="宋体" w:cs="宋体" w:eastAsia="宋体" w:hint="default"/>
          <w:spacing w:val="-18"/>
          <w:sz w:val="21"/>
          <w:szCs w:val="21"/>
        </w:rPr>
        <w:t>）、</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月，本公司出资</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600.00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万元，与广东正达投资有限公司共同投资设立广</w:t>
      </w:r>
      <w:r>
        <w:rPr>
          <w:rFonts w:ascii="宋体" w:hAnsi="宋体" w:cs="宋体" w:eastAsia="宋体" w:hint="default"/>
          <w:w w:val="100"/>
          <w:sz w:val="21"/>
          <w:szCs w:val="21"/>
        </w:rPr>
        <w:t> </w:t>
      </w:r>
      <w:r>
        <w:rPr>
          <w:rFonts w:ascii="宋体" w:hAnsi="宋体" w:cs="宋体" w:eastAsia="宋体" w:hint="default"/>
          <w:spacing w:val="-2"/>
          <w:sz w:val="21"/>
          <w:szCs w:val="21"/>
        </w:rPr>
        <w:t>州海吉星市场管理有限公司，本公司拥有该公司</w:t>
      </w:r>
      <w:r>
        <w:rPr>
          <w:rFonts w:ascii="宋体" w:hAnsi="宋体" w:cs="宋体" w:eastAsia="宋体" w:hint="default"/>
          <w:spacing w:val="17"/>
          <w:sz w:val="21"/>
          <w:szCs w:val="21"/>
        </w:rPr>
        <w:t> </w:t>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的股权，该公司尚未实际经营。</w:t>
      </w:r>
    </w:p>
    <w:p>
      <w:pPr>
        <w:spacing w:line="240" w:lineRule="auto" w:before="11"/>
        <w:rPr>
          <w:rFonts w:ascii="宋体" w:hAnsi="宋体" w:cs="宋体" w:eastAsia="宋体" w:hint="default"/>
          <w:sz w:val="15"/>
          <w:szCs w:val="15"/>
        </w:rPr>
      </w:pPr>
    </w:p>
    <w:p>
      <w:pPr>
        <w:spacing w:line="362" w:lineRule="auto" w:before="0"/>
        <w:ind w:left="141" w:right="137" w:firstLine="384"/>
        <w:jc w:val="both"/>
        <w:rPr>
          <w:rFonts w:ascii="宋体" w:hAnsi="宋体" w:cs="宋体" w:eastAsia="宋体" w:hint="default"/>
          <w:sz w:val="21"/>
          <w:szCs w:val="21"/>
        </w:rPr>
      </w:pP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pacing w:val="-6"/>
          <w:sz w:val="21"/>
          <w:szCs w:val="21"/>
        </w:rPr>
        <w:t>月，本公司出资</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4,200.00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与宁夏土木基业房地产开发有限公司共同</w:t>
      </w:r>
      <w:r>
        <w:rPr>
          <w:rFonts w:ascii="宋体" w:hAnsi="宋体" w:cs="宋体" w:eastAsia="宋体" w:hint="default"/>
          <w:w w:val="100"/>
          <w:sz w:val="21"/>
          <w:szCs w:val="21"/>
        </w:rPr>
        <w:t> </w:t>
      </w:r>
      <w:r>
        <w:rPr>
          <w:rFonts w:ascii="宋体" w:hAnsi="宋体" w:cs="宋体" w:eastAsia="宋体" w:hint="default"/>
          <w:sz w:val="21"/>
          <w:szCs w:val="21"/>
        </w:rPr>
        <w:t>投资设立宁夏海吉星国际农产品物流有限公司，本公司拥有该公司 </w:t>
      </w:r>
      <w:r>
        <w:rPr>
          <w:rFonts w:ascii="Times New Roman" w:hAnsi="Times New Roman" w:cs="Times New Roman" w:eastAsia="Times New Roman" w:hint="default"/>
          <w:sz w:val="21"/>
          <w:szCs w:val="21"/>
        </w:rPr>
        <w:t>70%</w:t>
      </w:r>
      <w:r>
        <w:rPr>
          <w:rFonts w:ascii="宋体" w:hAnsi="宋体" w:cs="宋体" w:eastAsia="宋体" w:hint="default"/>
          <w:sz w:val="21"/>
          <w:szCs w:val="21"/>
        </w:rPr>
        <w:t>的股权，该公司尚未</w:t>
      </w:r>
      <w:r>
        <w:rPr>
          <w:rFonts w:ascii="宋体" w:hAnsi="宋体" w:cs="宋体" w:eastAsia="宋体" w:hint="default"/>
          <w:spacing w:val="-88"/>
          <w:sz w:val="21"/>
          <w:szCs w:val="21"/>
        </w:rPr>
        <w:t> </w:t>
      </w:r>
      <w:r>
        <w:rPr>
          <w:rFonts w:ascii="宋体" w:hAnsi="宋体" w:cs="宋体" w:eastAsia="宋体" w:hint="default"/>
          <w:sz w:val="21"/>
          <w:szCs w:val="21"/>
        </w:rPr>
        <w:t>实际经营。</w:t>
      </w:r>
    </w:p>
    <w:p>
      <w:pPr>
        <w:spacing w:line="240" w:lineRule="auto" w:before="2"/>
        <w:rPr>
          <w:rFonts w:ascii="宋体" w:hAnsi="宋体" w:cs="宋体" w:eastAsia="宋体" w:hint="default"/>
          <w:sz w:val="18"/>
          <w:szCs w:val="18"/>
        </w:rPr>
      </w:pPr>
    </w:p>
    <w:p>
      <w:pPr>
        <w:spacing w:line="374" w:lineRule="auto" w:before="0"/>
        <w:ind w:left="141" w:right="137" w:firstLine="408"/>
        <w:jc w:val="both"/>
        <w:rPr>
          <w:rFonts w:ascii="宋体" w:hAnsi="宋体" w:cs="宋体" w:eastAsia="宋体" w:hint="default"/>
          <w:sz w:val="21"/>
          <w:szCs w:val="21"/>
        </w:rPr>
      </w:pPr>
      <w:r>
        <w:rPr>
          <w:rFonts w:ascii="宋体" w:hAnsi="宋体" w:cs="宋体" w:eastAsia="宋体" w:hint="default"/>
          <w:spacing w:val="-16"/>
          <w:sz w:val="21"/>
          <w:szCs w:val="21"/>
        </w:rPr>
        <w:t>（</w:t>
      </w:r>
      <w:r>
        <w:rPr>
          <w:rFonts w:ascii="Times New Roman" w:hAnsi="Times New Roman" w:cs="Times New Roman" w:eastAsia="Times New Roman" w:hint="default"/>
          <w:spacing w:val="-16"/>
          <w:sz w:val="21"/>
          <w:szCs w:val="21"/>
        </w:rPr>
        <w:t>3</w:t>
      </w:r>
      <w:r>
        <w:rPr>
          <w:rFonts w:ascii="宋体" w:hAnsi="宋体" w:cs="宋体" w:eastAsia="宋体" w:hint="default"/>
          <w:spacing w:val="-16"/>
          <w:sz w:val="21"/>
          <w:szCs w:val="21"/>
        </w:rPr>
        <w:t>）、</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月，本公司出资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2,040.00</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万元，与吉林省鑫合国际贸易有限公司、长春</w:t>
      </w:r>
      <w:r>
        <w:rPr>
          <w:rFonts w:ascii="宋体" w:hAnsi="宋体" w:cs="宋体" w:eastAsia="宋体" w:hint="default"/>
          <w:w w:val="100"/>
          <w:sz w:val="21"/>
          <w:szCs w:val="21"/>
        </w:rPr>
        <w:t> </w:t>
      </w:r>
      <w:r>
        <w:rPr>
          <w:rFonts w:ascii="宋体" w:hAnsi="宋体" w:cs="宋体" w:eastAsia="宋体" w:hint="default"/>
          <w:spacing w:val="-5"/>
          <w:w w:val="100"/>
          <w:sz w:val="21"/>
          <w:szCs w:val="21"/>
        </w:rPr>
        <w:t>市国有资本投资经营有限公司共同投资设立长春海吉星农产品物流有限公司，本公司拥有该公</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z w:val="21"/>
          <w:szCs w:val="21"/>
        </w:rPr>
        <w:t>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63.75%</w:t>
      </w:r>
      <w:r>
        <w:rPr>
          <w:rFonts w:ascii="宋体" w:hAnsi="宋体" w:cs="宋体" w:eastAsia="宋体" w:hint="default"/>
          <w:sz w:val="21"/>
          <w:szCs w:val="21"/>
        </w:rPr>
        <w:t>的股权，该公司尚未实际经营。</w:t>
      </w:r>
    </w:p>
    <w:p>
      <w:pPr>
        <w:spacing w:line="240" w:lineRule="auto" w:before="2"/>
        <w:rPr>
          <w:rFonts w:ascii="宋体" w:hAnsi="宋体" w:cs="宋体" w:eastAsia="宋体" w:hint="default"/>
          <w:sz w:val="15"/>
          <w:szCs w:val="15"/>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4</w:t>
      </w:r>
      <w:r>
        <w:rPr>
          <w:rFonts w:ascii="宋体" w:hAnsi="宋体" w:cs="宋体" w:eastAsia="宋体" w:hint="default"/>
          <w:spacing w:val="-12"/>
          <w:sz w:val="21"/>
          <w:szCs w:val="21"/>
        </w:rPr>
        <w:t>）、</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月，本公司与子公司深圳市海吉星投资管理股份有限公司共同出资</w:t>
      </w:r>
    </w:p>
    <w:p>
      <w:pPr>
        <w:spacing w:line="362" w:lineRule="auto" w:before="148"/>
        <w:ind w:left="14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1,000.00 </w:t>
      </w:r>
      <w:r>
        <w:rPr>
          <w:rFonts w:ascii="宋体" w:hAnsi="宋体" w:cs="宋体" w:eastAsia="宋体" w:hint="default"/>
          <w:spacing w:val="-3"/>
          <w:sz w:val="21"/>
          <w:szCs w:val="21"/>
        </w:rPr>
        <w:t>万元设立了青岛市海吉星农产品物流中心有限公司，其中本公司拥有 </w:t>
      </w:r>
      <w:r>
        <w:rPr>
          <w:rFonts w:ascii="Times New Roman" w:hAnsi="Times New Roman" w:cs="Times New Roman" w:eastAsia="Times New Roman" w:hint="default"/>
          <w:spacing w:val="-6"/>
          <w:sz w:val="21"/>
          <w:szCs w:val="21"/>
        </w:rPr>
        <w:t>60%</w:t>
      </w:r>
      <w:r>
        <w:rPr>
          <w:rFonts w:ascii="宋体" w:hAnsi="宋体" w:cs="宋体" w:eastAsia="宋体" w:hint="default"/>
          <w:spacing w:val="-6"/>
          <w:sz w:val="21"/>
          <w:szCs w:val="21"/>
        </w:rPr>
        <w:t>股权、子公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司海吉星投资拥有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股权，该公司尚未实际经营。</w:t>
      </w:r>
    </w:p>
    <w:p>
      <w:pPr>
        <w:spacing w:line="240" w:lineRule="auto" w:before="1"/>
        <w:rPr>
          <w:rFonts w:ascii="宋体" w:hAnsi="宋体" w:cs="宋体" w:eastAsia="宋体" w:hint="default"/>
          <w:sz w:val="16"/>
          <w:szCs w:val="16"/>
        </w:rPr>
      </w:pPr>
    </w:p>
    <w:p>
      <w:pPr>
        <w:spacing w:before="0"/>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、不再纳入合并范围公司情况</w:t>
      </w:r>
    </w:p>
    <w:p>
      <w:pPr>
        <w:spacing w:line="240" w:lineRule="auto" w:before="1"/>
        <w:rPr>
          <w:rFonts w:ascii="宋体" w:hAnsi="宋体" w:cs="宋体" w:eastAsia="宋体" w:hint="default"/>
          <w:sz w:val="25"/>
          <w:szCs w:val="25"/>
        </w:rPr>
      </w:pPr>
    </w:p>
    <w:p>
      <w:pPr>
        <w:spacing w:line="362" w:lineRule="auto" w:before="0"/>
        <w:ind w:left="141" w:right="137" w:firstLine="408"/>
        <w:jc w:val="both"/>
        <w:rPr>
          <w:rFonts w:ascii="宋体" w:hAnsi="宋体" w:cs="宋体" w:eastAsia="宋体" w:hint="default"/>
          <w:sz w:val="21"/>
          <w:szCs w:val="21"/>
        </w:rPr>
      </w:pPr>
      <w:r>
        <w:rPr>
          <w:rFonts w:ascii="宋体" w:hAnsi="宋体" w:cs="宋体" w:eastAsia="宋体" w:hint="default"/>
          <w:spacing w:val="-16"/>
          <w:w w:val="86"/>
          <w:sz w:val="21"/>
          <w:szCs w:val="21"/>
        </w:rPr>
        <w:t>（</w:t>
      </w:r>
      <w:r>
        <w:rPr>
          <w:rFonts w:ascii="Times New Roman" w:hAnsi="Times New Roman" w:cs="Times New Roman" w:eastAsia="Times New Roman" w:hint="default"/>
          <w:spacing w:val="-16"/>
          <w:w w:val="86"/>
          <w:sz w:val="21"/>
          <w:szCs w:val="21"/>
        </w:rPr>
        <w:t>1</w:t>
      </w:r>
      <w:r>
        <w:rPr>
          <w:rFonts w:ascii="宋体" w:hAnsi="宋体" w:cs="宋体" w:eastAsia="宋体" w:hint="default"/>
          <w:spacing w:val="-16"/>
          <w:w w:val="86"/>
          <w:sz w:val="21"/>
          <w:szCs w:val="21"/>
        </w:rPr>
        <w:t>）、</w:t>
      </w:r>
      <w:r>
        <w:rPr>
          <w:rFonts w:ascii="宋体" w:hAnsi="宋体" w:cs="宋体" w:eastAsia="宋体" w:hint="default"/>
          <w:spacing w:val="-46"/>
          <w:w w:val="86"/>
          <w:sz w:val="21"/>
          <w:szCs w:val="21"/>
        </w:rPr>
        <w:t> </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6"/>
          <w:w w:val="100"/>
          <w:sz w:val="21"/>
          <w:szCs w:val="21"/>
        </w:rPr>
        <w:t>月，本公司与深圳市东雅贸易有限公司签订了《股权转让合同书》，将本</w:t>
      </w:r>
      <w:r>
        <w:rPr>
          <w:rFonts w:ascii="宋体" w:hAnsi="宋体" w:cs="宋体" w:eastAsia="宋体" w:hint="default"/>
          <w:w w:val="100"/>
          <w:sz w:val="21"/>
          <w:szCs w:val="21"/>
        </w:rPr>
        <w:t> </w:t>
      </w:r>
      <w:r>
        <w:rPr>
          <w:rFonts w:ascii="宋体" w:hAnsi="宋体" w:cs="宋体" w:eastAsia="宋体" w:hint="default"/>
          <w:sz w:val="21"/>
          <w:szCs w:val="21"/>
        </w:rPr>
        <w:t>公司持有的深圳市博丽雅设计装饰工程有限公司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21.02%</w:t>
      </w:r>
      <w:r>
        <w:rPr>
          <w:rFonts w:ascii="宋体" w:hAnsi="宋体" w:cs="宋体" w:eastAsia="宋体" w:hint="default"/>
          <w:sz w:val="21"/>
          <w:szCs w:val="21"/>
        </w:rPr>
        <w:t>转让给该公司，转让后本公司拥有博</w:t>
      </w:r>
      <w:r>
        <w:rPr>
          <w:rFonts w:ascii="宋体" w:hAnsi="宋体" w:cs="宋体" w:eastAsia="宋体" w:hint="default"/>
          <w:w w:val="100"/>
          <w:sz w:val="21"/>
          <w:szCs w:val="21"/>
        </w:rPr>
        <w:t> </w:t>
      </w:r>
      <w:r>
        <w:rPr>
          <w:rFonts w:ascii="宋体" w:hAnsi="宋体" w:cs="宋体" w:eastAsia="宋体" w:hint="default"/>
          <w:sz w:val="21"/>
          <w:szCs w:val="21"/>
        </w:rPr>
        <w:t>丽雅公司</w:t>
      </w:r>
      <w:r>
        <w:rPr>
          <w:rFonts w:ascii="宋体" w:hAnsi="宋体" w:cs="宋体" w:eastAsia="宋体" w:hint="default"/>
          <w:spacing w:val="-38"/>
          <w:sz w:val="21"/>
          <w:szCs w:val="21"/>
        </w:rPr>
        <w:t> </w:t>
      </w:r>
      <w:r>
        <w:rPr>
          <w:rFonts w:ascii="Times New Roman" w:hAnsi="Times New Roman" w:cs="Times New Roman" w:eastAsia="Times New Roman" w:hint="default"/>
          <w:spacing w:val="-5"/>
          <w:sz w:val="21"/>
          <w:szCs w:val="21"/>
        </w:rPr>
        <w:t>30%</w:t>
      </w:r>
      <w:r>
        <w:rPr>
          <w:rFonts w:ascii="宋体" w:hAnsi="宋体" w:cs="宋体" w:eastAsia="宋体" w:hint="default"/>
          <w:spacing w:val="-5"/>
          <w:sz w:val="21"/>
          <w:szCs w:val="21"/>
        </w:rPr>
        <w:t>的股权，对其不再拥有控制权。本报告期本公司仅将博丽雅公司</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月利润表和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现金流量表纳入合并范围，</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日资产负债表不再纳入合并报表范围。</w:t>
      </w:r>
    </w:p>
    <w:p>
      <w:pPr>
        <w:spacing w:line="240" w:lineRule="auto" w:before="1"/>
        <w:rPr>
          <w:rFonts w:ascii="宋体" w:hAnsi="宋体" w:cs="宋体" w:eastAsia="宋体" w:hint="default"/>
          <w:sz w:val="16"/>
          <w:szCs w:val="16"/>
        </w:rPr>
      </w:pPr>
    </w:p>
    <w:p>
      <w:pPr>
        <w:spacing w:line="362" w:lineRule="auto" w:before="0"/>
        <w:ind w:left="141" w:right="135" w:firstLine="420"/>
        <w:jc w:val="both"/>
        <w:rPr>
          <w:rFonts w:ascii="宋体" w:hAnsi="宋体" w:cs="宋体" w:eastAsia="宋体" w:hint="default"/>
          <w:sz w:val="21"/>
          <w:szCs w:val="21"/>
        </w:rPr>
      </w:pPr>
      <w:r>
        <w:rPr>
          <w:rFonts w:ascii="宋体" w:hAnsi="宋体" w:cs="宋体" w:eastAsia="宋体" w:hint="default"/>
          <w:spacing w:val="-17"/>
          <w:w w:val="87"/>
          <w:sz w:val="21"/>
          <w:szCs w:val="21"/>
        </w:rPr>
        <w:t>（</w:t>
      </w:r>
      <w:r>
        <w:rPr>
          <w:rFonts w:ascii="Times New Roman" w:hAnsi="Times New Roman" w:cs="Times New Roman" w:eastAsia="Times New Roman" w:hint="default"/>
          <w:spacing w:val="-17"/>
          <w:w w:val="87"/>
          <w:sz w:val="21"/>
          <w:szCs w:val="21"/>
        </w:rPr>
        <w:t>2</w:t>
      </w:r>
      <w:r>
        <w:rPr>
          <w:rFonts w:ascii="宋体" w:hAnsi="宋体" w:cs="宋体" w:eastAsia="宋体" w:hint="default"/>
          <w:spacing w:val="-17"/>
          <w:w w:val="87"/>
          <w:sz w:val="21"/>
          <w:szCs w:val="21"/>
        </w:rPr>
        <w:t>）、</w:t>
      </w:r>
      <w:r>
        <w:rPr>
          <w:rFonts w:ascii="宋体" w:hAnsi="宋体" w:cs="宋体" w:eastAsia="宋体" w:hint="default"/>
          <w:spacing w:val="-38"/>
          <w:w w:val="87"/>
          <w:sz w:val="21"/>
          <w:szCs w:val="21"/>
        </w:rPr>
        <w:t> </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4"/>
          <w:w w:val="100"/>
          <w:sz w:val="21"/>
          <w:szCs w:val="21"/>
        </w:rPr>
        <w:t>月，本公司与寿光市国有资产管理局签订了《股权转让合同书》，将本</w:t>
      </w:r>
      <w:r>
        <w:rPr>
          <w:rFonts w:ascii="宋体" w:hAnsi="宋体" w:cs="宋体" w:eastAsia="宋体" w:hint="default"/>
          <w:w w:val="100"/>
          <w:sz w:val="21"/>
          <w:szCs w:val="21"/>
        </w:rPr>
        <w:t> </w:t>
      </w:r>
      <w:r>
        <w:rPr>
          <w:rFonts w:ascii="宋体" w:hAnsi="宋体" w:cs="宋体" w:eastAsia="宋体" w:hint="default"/>
          <w:sz w:val="21"/>
          <w:szCs w:val="21"/>
        </w:rPr>
        <w:t>公司持有的山东寿光蔬菜批发市场有限公司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54.41%</w:t>
      </w:r>
      <w:r>
        <w:rPr>
          <w:rFonts w:ascii="宋体" w:hAnsi="宋体" w:cs="宋体" w:eastAsia="宋体" w:hint="default"/>
          <w:sz w:val="21"/>
          <w:szCs w:val="21"/>
        </w:rPr>
        <w:t>的股权转让给寿光市国资局，转让后本公</w:t>
      </w:r>
      <w:r>
        <w:rPr>
          <w:rFonts w:ascii="宋体" w:hAnsi="宋体" w:cs="宋体" w:eastAsia="宋体" w:hint="default"/>
          <w:w w:val="100"/>
          <w:sz w:val="21"/>
          <w:szCs w:val="21"/>
        </w:rPr>
        <w:t> </w:t>
      </w:r>
      <w:r>
        <w:rPr>
          <w:rFonts w:ascii="宋体" w:hAnsi="宋体" w:cs="宋体" w:eastAsia="宋体" w:hint="default"/>
          <w:sz w:val="21"/>
          <w:szCs w:val="21"/>
        </w:rPr>
        <w:t>司不再拥有该公司股权。本报告期本公司仅将寿光蔬菜公司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年度利润表和现金流量表纳</w:t>
      </w:r>
    </w:p>
    <w:p>
      <w:pPr>
        <w:spacing w:before="30"/>
        <w:ind w:left="141" w:right="129" w:firstLine="0"/>
        <w:jc w:val="left"/>
        <w:rPr>
          <w:rFonts w:ascii="宋体" w:hAnsi="宋体" w:cs="宋体" w:eastAsia="宋体" w:hint="default"/>
          <w:sz w:val="21"/>
          <w:szCs w:val="21"/>
        </w:rPr>
      </w:pPr>
      <w:r>
        <w:rPr>
          <w:rFonts w:ascii="宋体" w:hAnsi="宋体" w:cs="宋体" w:eastAsia="宋体" w:hint="default"/>
          <w:sz w:val="21"/>
          <w:szCs w:val="21"/>
        </w:rPr>
        <w:t>入合并范围，</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日资产负债表不再纳入合并报表范围。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1"/>
          <w:szCs w:val="31"/>
        </w:rPr>
      </w:pPr>
    </w:p>
    <w:p>
      <w:pPr>
        <w:tabs>
          <w:tab w:pos="2841" w:val="left" w:leader="none"/>
        </w:tabs>
        <w:spacing w:before="0"/>
        <w:ind w:left="561" w:right="129" w:firstLine="0"/>
        <w:jc w:val="left"/>
        <w:rPr>
          <w:rFonts w:ascii="宋体" w:hAnsi="宋体" w:cs="宋体" w:eastAsia="宋体" w:hint="default"/>
          <w:sz w:val="21"/>
          <w:szCs w:val="21"/>
        </w:rPr>
      </w:pPr>
      <w:r>
        <w:rPr>
          <w:rFonts w:ascii="宋体" w:hAnsi="宋体" w:cs="宋体" w:eastAsia="宋体" w:hint="default"/>
          <w:spacing w:val="-1"/>
          <w:sz w:val="21"/>
          <w:szCs w:val="21"/>
        </w:rPr>
        <w:t>（四）</w:t>
        <w:tab/>
      </w:r>
      <w:r>
        <w:rPr>
          <w:rFonts w:ascii="宋体" w:hAnsi="宋体" w:cs="宋体" w:eastAsia="宋体" w:hint="default"/>
          <w:spacing w:val="-2"/>
          <w:sz w:val="21"/>
          <w:szCs w:val="21"/>
        </w:rPr>
        <w:t>本期新纳入合并范围的主体和本期不再纳入合并范围的主体</w:t>
      </w:r>
    </w:p>
    <w:p>
      <w:pPr>
        <w:spacing w:after="0"/>
        <w:jc w:val="left"/>
        <w:rPr>
          <w:rFonts w:ascii="宋体" w:hAnsi="宋体" w:cs="宋体" w:eastAsia="宋体" w:hint="default"/>
          <w:sz w:val="21"/>
          <w:szCs w:val="21"/>
        </w:rPr>
        <w:sectPr>
          <w:headerReference w:type="default" r:id="rId160"/>
          <w:footerReference w:type="default" r:id="rId161"/>
          <w:pgSz w:w="11910" w:h="16840"/>
          <w:pgMar w:header="943" w:footer="897" w:top="1640" w:bottom="1080" w:left="1560" w:right="1560"/>
          <w:pgNumType w:start="143"/>
        </w:sectPr>
      </w:pPr>
    </w:p>
    <w:p>
      <w:pPr>
        <w:spacing w:line="240" w:lineRule="auto" w:before="6"/>
        <w:rPr>
          <w:rFonts w:ascii="宋体" w:hAnsi="宋体" w:cs="宋体" w:eastAsia="宋体" w:hint="default"/>
          <w:sz w:val="23"/>
          <w:szCs w:val="23"/>
        </w:rPr>
      </w:pPr>
    </w:p>
    <w:p>
      <w:pPr>
        <w:spacing w:before="36"/>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．本期新纳入合并范围的子公司</w:t>
      </w: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5018"/>
        <w:gridCol w:w="1918"/>
        <w:gridCol w:w="1709"/>
      </w:tblGrid>
      <w:tr>
        <w:trPr>
          <w:trHeight w:val="461" w:hRule="exact"/>
        </w:trPr>
        <w:tc>
          <w:tcPr>
            <w:tcW w:w="5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504"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39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44" w:hRule="exact"/>
        </w:trPr>
        <w:tc>
          <w:tcPr>
            <w:tcW w:w="5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9,561,566.07</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-449,550.60</w:t>
            </w:r>
          </w:p>
        </w:tc>
      </w:tr>
      <w:tr>
        <w:trPr>
          <w:trHeight w:val="444" w:hRule="exact"/>
        </w:trPr>
        <w:tc>
          <w:tcPr>
            <w:tcW w:w="5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60,000,000.00</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61" w:hRule="exact"/>
        </w:trPr>
        <w:tc>
          <w:tcPr>
            <w:tcW w:w="5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青岛市海吉星农产品物流中心有限公司</w:t>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61" w:hRule="exact"/>
        </w:trPr>
        <w:tc>
          <w:tcPr>
            <w:tcW w:w="5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32,000,000.00</w:t>
            </w:r>
          </w:p>
        </w:tc>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本期不再纳入合并范围的子公司</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265"/>
        <w:gridCol w:w="1848"/>
        <w:gridCol w:w="2527"/>
      </w:tblGrid>
      <w:tr>
        <w:trPr>
          <w:trHeight w:val="446" w:hRule="exact"/>
        </w:trPr>
        <w:tc>
          <w:tcPr>
            <w:tcW w:w="4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8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3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5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448" w:right="0"/>
              <w:jc w:val="lef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430" w:hRule="exact"/>
        </w:trPr>
        <w:tc>
          <w:tcPr>
            <w:tcW w:w="4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深圳市博丽雅设计装饰工程有限公司</w:t>
            </w:r>
          </w:p>
        </w:tc>
        <w:tc>
          <w:tcPr>
            <w:tcW w:w="18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8,903,712.32</w:t>
            </w:r>
          </w:p>
        </w:tc>
        <w:tc>
          <w:tcPr>
            <w:tcW w:w="25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-695,806.93</w:t>
            </w:r>
          </w:p>
        </w:tc>
      </w:tr>
      <w:tr>
        <w:trPr>
          <w:trHeight w:val="466" w:hRule="exact"/>
        </w:trPr>
        <w:tc>
          <w:tcPr>
            <w:tcW w:w="4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18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142,831,944.68</w:t>
            </w:r>
          </w:p>
        </w:tc>
        <w:tc>
          <w:tcPr>
            <w:tcW w:w="25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21,476,063.86</w:t>
            </w:r>
          </w:p>
        </w:tc>
      </w:tr>
    </w:tbl>
    <w:p>
      <w:pPr>
        <w:spacing w:line="240" w:lineRule="auto" w:before="8"/>
        <w:rPr>
          <w:rFonts w:ascii="宋体" w:hAnsi="宋体" w:cs="宋体" w:eastAsia="宋体" w:hint="default"/>
          <w:sz w:val="19"/>
          <w:szCs w:val="19"/>
        </w:rPr>
      </w:pPr>
    </w:p>
    <w:p>
      <w:pPr>
        <w:tabs>
          <w:tab w:pos="292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spacing w:val="-1"/>
          <w:sz w:val="21"/>
          <w:szCs w:val="21"/>
        </w:rPr>
        <w:t>（五）</w:t>
        <w:tab/>
      </w:r>
      <w:r>
        <w:rPr>
          <w:rFonts w:ascii="宋体" w:hAnsi="宋体" w:cs="宋体" w:eastAsia="宋体" w:hint="default"/>
          <w:spacing w:val="-2"/>
          <w:sz w:val="21"/>
          <w:szCs w:val="21"/>
        </w:rPr>
        <w:t>本期出售丧失控制权而减少子公司</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32"/>
        <w:gridCol w:w="3809"/>
        <w:gridCol w:w="2489"/>
      </w:tblGrid>
      <w:tr>
        <w:trPr>
          <w:trHeight w:val="410" w:hRule="exact"/>
        </w:trPr>
        <w:tc>
          <w:tcPr>
            <w:tcW w:w="31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出售日确定方法</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698" w:right="0"/>
              <w:jc w:val="left"/>
              <w:rPr>
                <w:rFonts w:ascii="宋体" w:hAnsi="宋体" w:cs="宋体" w:eastAsia="宋体" w:hint="default"/>
                <w:sz w:val="18"/>
                <w:szCs w:val="18"/>
              </w:rPr>
            </w:pPr>
            <w:r>
              <w:rPr>
                <w:rFonts w:ascii="宋体" w:hAnsi="宋体" w:cs="宋体" w:eastAsia="宋体" w:hint="default"/>
                <w:sz w:val="18"/>
                <w:szCs w:val="18"/>
              </w:rPr>
              <w:t>损益确定方法</w:t>
            </w:r>
          </w:p>
        </w:tc>
      </w:tr>
      <w:tr>
        <w:trPr>
          <w:trHeight w:val="410" w:hRule="exact"/>
        </w:trPr>
        <w:tc>
          <w:tcPr>
            <w:tcW w:w="31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深圳市博丽雅设计装饰工程有限公司</w:t>
            </w:r>
          </w:p>
        </w:tc>
        <w:tc>
          <w:tcPr>
            <w:tcW w:w="3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7" w:right="0"/>
              <w:jc w:val="center"/>
              <w:rPr>
                <w:rFonts w:ascii="宋体" w:hAnsi="宋体" w:cs="宋体" w:eastAsia="宋体" w:hint="default"/>
                <w:sz w:val="18"/>
                <w:szCs w:val="18"/>
              </w:rPr>
            </w:pPr>
            <w:r>
              <w:rPr>
                <w:rFonts w:ascii="宋体" w:hAnsi="宋体" w:cs="宋体" w:eastAsia="宋体" w:hint="default"/>
                <w:sz w:val="18"/>
                <w:szCs w:val="18"/>
              </w:rPr>
              <w:t>完成股权转让合同规定事项，变更工商登记。</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月利润表纳入合并范围</w:t>
            </w:r>
          </w:p>
        </w:tc>
      </w:tr>
      <w:tr>
        <w:trPr>
          <w:trHeight w:val="410" w:hRule="exact"/>
        </w:trPr>
        <w:tc>
          <w:tcPr>
            <w:tcW w:w="31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3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7" w:right="0"/>
              <w:jc w:val="center"/>
              <w:rPr>
                <w:rFonts w:ascii="宋体" w:hAnsi="宋体" w:cs="宋体" w:eastAsia="宋体" w:hint="default"/>
                <w:sz w:val="18"/>
                <w:szCs w:val="18"/>
              </w:rPr>
            </w:pPr>
            <w:r>
              <w:rPr>
                <w:rFonts w:ascii="宋体" w:hAnsi="宋体" w:cs="宋体" w:eastAsia="宋体" w:hint="default"/>
                <w:sz w:val="18"/>
                <w:szCs w:val="18"/>
              </w:rPr>
              <w:t>完成股权转让合同规定事项，变更工商登记。</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月利润表纳入合并范围</w:t>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附注五、合并财务报表主要项目注释</w:t>
      </w:r>
    </w:p>
    <w:p>
      <w:pPr>
        <w:spacing w:line="240" w:lineRule="auto" w:before="5"/>
        <w:rPr>
          <w:rFonts w:ascii="宋体" w:hAnsi="宋体" w:cs="宋体" w:eastAsia="宋体" w:hint="default"/>
          <w:sz w:val="23"/>
          <w:szCs w:val="23"/>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货币资金</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668"/>
        <w:gridCol w:w="1162"/>
        <w:gridCol w:w="946"/>
        <w:gridCol w:w="1670"/>
        <w:gridCol w:w="1183"/>
        <w:gridCol w:w="1003"/>
        <w:gridCol w:w="1502"/>
      </w:tblGrid>
      <w:tr>
        <w:trPr>
          <w:trHeight w:val="451" w:hRule="exact"/>
        </w:trPr>
        <w:tc>
          <w:tcPr>
            <w:tcW w:w="1668" w:type="dxa"/>
            <w:vMerge w:val="restart"/>
            <w:tcBorders>
              <w:top w:val="single" w:sz="4" w:space="0" w:color="000008"/>
              <w:left w:val="single" w:sz="4" w:space="0" w:color="000008"/>
              <w:right w:val="single" w:sz="6"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78" w:type="dxa"/>
            <w:gridSpan w:val="3"/>
            <w:tcBorders>
              <w:top w:val="single" w:sz="4"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2009-12-31</w:t>
            </w:r>
          </w:p>
        </w:tc>
        <w:tc>
          <w:tcPr>
            <w:tcW w:w="3689" w:type="dxa"/>
            <w:gridSpan w:val="3"/>
            <w:tcBorders>
              <w:top w:val="single" w:sz="4" w:space="0" w:color="000008"/>
              <w:left w:val="single" w:sz="6" w:space="0" w:color="000008"/>
              <w:bottom w:val="single" w:sz="6"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2008-12-31</w:t>
            </w:r>
          </w:p>
        </w:tc>
      </w:tr>
      <w:tr>
        <w:trPr>
          <w:trHeight w:val="456" w:hRule="exact"/>
        </w:trPr>
        <w:tc>
          <w:tcPr>
            <w:tcW w:w="1668" w:type="dxa"/>
            <w:vMerge/>
            <w:tcBorders>
              <w:left w:val="single" w:sz="4" w:space="0" w:color="000008"/>
              <w:bottom w:val="single" w:sz="6" w:space="0" w:color="000008"/>
              <w:right w:val="single" w:sz="6" w:space="0" w:color="000008"/>
            </w:tcBorders>
          </w:tcPr>
          <w:p>
            <w:pP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54"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62" w:type="dxa"/>
            <w:tcBorders>
              <w:top w:val="single" w:sz="6" w:space="0" w:color="000008"/>
              <w:left w:val="single" w:sz="6" w:space="0" w:color="000008"/>
              <w:bottom w:val="single" w:sz="6" w:space="0" w:color="000008"/>
              <w:right w:val="single" w:sz="6" w:space="0" w:color="000008"/>
            </w:tcBorders>
          </w:tcPr>
          <w:p>
            <w:pPr/>
          </w:p>
        </w:tc>
        <w:tc>
          <w:tcPr>
            <w:tcW w:w="946" w:type="dxa"/>
            <w:tcBorders>
              <w:top w:val="single" w:sz="6" w:space="0" w:color="000008"/>
              <w:left w:val="single" w:sz="6" w:space="0" w:color="000008"/>
              <w:bottom w:val="single" w:sz="6" w:space="0" w:color="000008"/>
              <w:right w:val="single" w:sz="6" w:space="0" w:color="000008"/>
            </w:tcBorders>
          </w:tcPr>
          <w:p>
            <w:pPr/>
          </w:p>
        </w:tc>
        <w:tc>
          <w:tcPr>
            <w:tcW w:w="1670" w:type="dxa"/>
            <w:tcBorders>
              <w:top w:val="single" w:sz="6" w:space="0" w:color="000008"/>
              <w:left w:val="single" w:sz="6" w:space="0" w:color="000008"/>
              <w:bottom w:val="single" w:sz="6" w:space="0" w:color="000008"/>
              <w:right w:val="single" w:sz="6" w:space="0" w:color="000008"/>
            </w:tcBorders>
          </w:tcPr>
          <w:p>
            <w:pPr/>
          </w:p>
        </w:tc>
        <w:tc>
          <w:tcPr>
            <w:tcW w:w="1183" w:type="dxa"/>
            <w:tcBorders>
              <w:top w:val="single" w:sz="6" w:space="0" w:color="000008"/>
              <w:left w:val="single" w:sz="6" w:space="0" w:color="000008"/>
              <w:bottom w:val="single" w:sz="6" w:space="0" w:color="000008"/>
              <w:right w:val="single" w:sz="6" w:space="0" w:color="000008"/>
            </w:tcBorders>
          </w:tcPr>
          <w:p>
            <w:pPr/>
          </w:p>
        </w:tc>
        <w:tc>
          <w:tcPr>
            <w:tcW w:w="1003" w:type="dxa"/>
            <w:tcBorders>
              <w:top w:val="single" w:sz="6" w:space="0" w:color="000008"/>
              <w:left w:val="single" w:sz="6" w:space="0" w:color="000008"/>
              <w:bottom w:val="single" w:sz="6" w:space="0" w:color="000008"/>
              <w:right w:val="single" w:sz="6" w:space="0" w:color="000008"/>
            </w:tcBorders>
          </w:tcPr>
          <w:p>
            <w:pPr/>
          </w:p>
        </w:tc>
        <w:tc>
          <w:tcPr>
            <w:tcW w:w="1502" w:type="dxa"/>
            <w:tcBorders>
              <w:top w:val="single" w:sz="6" w:space="0" w:color="000008"/>
              <w:left w:val="single" w:sz="6" w:space="0" w:color="000008"/>
              <w:bottom w:val="single" w:sz="6" w:space="0" w:color="000008"/>
              <w:right w:val="single" w:sz="4" w:space="0" w:color="000008"/>
            </w:tcBorders>
          </w:tcPr>
          <w:p>
            <w:pPr/>
          </w:p>
        </w:tc>
      </w:tr>
      <w:tr>
        <w:trPr>
          <w:trHeight w:val="456"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3,249,257.41</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4,794,172.91</w:t>
            </w:r>
          </w:p>
        </w:tc>
      </w:tr>
      <w:tr>
        <w:trPr>
          <w:trHeight w:val="456"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142,021.64</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0.8815</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125,196.13</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120,395.15</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0.8819</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106,175.33</w:t>
            </w:r>
          </w:p>
        </w:tc>
      </w:tr>
      <w:tr>
        <w:trPr>
          <w:trHeight w:val="454"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13,023.82</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6.8282</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88,929.26</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14,333.73</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6.8346</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97,965.32</w:t>
            </w:r>
          </w:p>
        </w:tc>
      </w:tr>
      <w:tr>
        <w:trPr>
          <w:trHeight w:val="456"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994.35</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9.7562</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9701.08</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8,642.94</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9.6590</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83,482.16</w:t>
            </w:r>
          </w:p>
        </w:tc>
      </w:tr>
      <w:tr>
        <w:trPr>
          <w:trHeight w:val="454"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41,154.15</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31,137.15</w:t>
            </w:r>
          </w:p>
        </w:tc>
      </w:tr>
      <w:tr>
        <w:trPr>
          <w:trHeight w:val="456"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23"/>
              <w:ind w:left="4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现金小计</w:t>
            </w:r>
            <w:r>
              <w:rPr>
                <w:rFonts w:ascii="Microsoft JhengHei" w:hAnsi="Microsoft JhengHei" w:cs="Microsoft JhengHei" w:eastAsia="Microsoft JhengHei" w:hint="default"/>
                <w:sz w:val="18"/>
                <w:szCs w:val="18"/>
              </w:rPr>
            </w:r>
          </w:p>
        </w:tc>
        <w:tc>
          <w:tcPr>
            <w:tcW w:w="1162" w:type="dxa"/>
            <w:tcBorders>
              <w:top w:val="single" w:sz="6" w:space="0" w:color="000008"/>
              <w:left w:val="single" w:sz="6" w:space="0" w:color="000008"/>
              <w:bottom w:val="single" w:sz="6" w:space="0" w:color="000008"/>
              <w:right w:val="single" w:sz="6" w:space="0" w:color="000008"/>
            </w:tcBorders>
          </w:tcPr>
          <w:p>
            <w:pPr/>
          </w:p>
        </w:tc>
        <w:tc>
          <w:tcPr>
            <w:tcW w:w="946" w:type="dxa"/>
            <w:tcBorders>
              <w:top w:val="single" w:sz="6" w:space="0" w:color="000008"/>
              <w:left w:val="single" w:sz="6" w:space="0" w:color="000008"/>
              <w:bottom w:val="single" w:sz="6" w:space="0" w:color="000008"/>
              <w:right w:val="single" w:sz="6" w:space="0" w:color="000008"/>
            </w:tcBorders>
          </w:tcPr>
          <w:p>
            <w:pP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3,514,238.03</w:t>
            </w:r>
            <w:r>
              <w:rPr>
                <w:rFonts w:ascii="Times New Roman"/>
                <w:spacing w:val="-1"/>
                <w:sz w:val="18"/>
              </w:rPr>
            </w:r>
          </w:p>
        </w:tc>
        <w:tc>
          <w:tcPr>
            <w:tcW w:w="1183" w:type="dxa"/>
            <w:tcBorders>
              <w:top w:val="single" w:sz="6" w:space="0" w:color="000008"/>
              <w:left w:val="single" w:sz="6" w:space="0" w:color="000008"/>
              <w:bottom w:val="single" w:sz="6" w:space="0" w:color="000008"/>
              <w:right w:val="single" w:sz="6" w:space="0" w:color="000008"/>
            </w:tcBorders>
          </w:tcPr>
          <w:p>
            <w:pPr/>
          </w:p>
        </w:tc>
        <w:tc>
          <w:tcPr>
            <w:tcW w:w="1003" w:type="dxa"/>
            <w:tcBorders>
              <w:top w:val="single" w:sz="6" w:space="0" w:color="000008"/>
              <w:left w:val="single" w:sz="6" w:space="0" w:color="000008"/>
              <w:bottom w:val="single" w:sz="6" w:space="0" w:color="000008"/>
              <w:right w:val="single" w:sz="6" w:space="0" w:color="000008"/>
            </w:tcBorders>
          </w:tcPr>
          <w:p>
            <w:pP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5,112,932.87</w:t>
            </w:r>
            <w:r>
              <w:rPr>
                <w:rFonts w:ascii="Times New Roman"/>
                <w:spacing w:val="-1"/>
                <w:sz w:val="18"/>
              </w:rPr>
            </w:r>
          </w:p>
        </w:tc>
      </w:tr>
      <w:tr>
        <w:trPr>
          <w:trHeight w:val="456"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62" w:type="dxa"/>
            <w:tcBorders>
              <w:top w:val="single" w:sz="6" w:space="0" w:color="000008"/>
              <w:left w:val="single" w:sz="6" w:space="0" w:color="000008"/>
              <w:bottom w:val="single" w:sz="6" w:space="0" w:color="000008"/>
              <w:right w:val="single" w:sz="6" w:space="0" w:color="000008"/>
            </w:tcBorders>
          </w:tcPr>
          <w:p>
            <w:pPr/>
          </w:p>
        </w:tc>
        <w:tc>
          <w:tcPr>
            <w:tcW w:w="946" w:type="dxa"/>
            <w:tcBorders>
              <w:top w:val="single" w:sz="6" w:space="0" w:color="000008"/>
              <w:left w:val="single" w:sz="6" w:space="0" w:color="000008"/>
              <w:bottom w:val="single" w:sz="6" w:space="0" w:color="000008"/>
              <w:right w:val="single" w:sz="6" w:space="0" w:color="000008"/>
            </w:tcBorders>
          </w:tcPr>
          <w:p>
            <w:pPr/>
          </w:p>
        </w:tc>
        <w:tc>
          <w:tcPr>
            <w:tcW w:w="1670" w:type="dxa"/>
            <w:tcBorders>
              <w:top w:val="single" w:sz="6" w:space="0" w:color="000008"/>
              <w:left w:val="single" w:sz="6" w:space="0" w:color="000008"/>
              <w:bottom w:val="single" w:sz="6" w:space="0" w:color="000008"/>
              <w:right w:val="single" w:sz="6" w:space="0" w:color="000008"/>
            </w:tcBorders>
          </w:tcPr>
          <w:p>
            <w:pPr/>
          </w:p>
        </w:tc>
        <w:tc>
          <w:tcPr>
            <w:tcW w:w="1183" w:type="dxa"/>
            <w:tcBorders>
              <w:top w:val="single" w:sz="6" w:space="0" w:color="000008"/>
              <w:left w:val="single" w:sz="6" w:space="0" w:color="000008"/>
              <w:bottom w:val="single" w:sz="6" w:space="0" w:color="000008"/>
              <w:right w:val="single" w:sz="6" w:space="0" w:color="000008"/>
            </w:tcBorders>
          </w:tcPr>
          <w:p>
            <w:pPr/>
          </w:p>
        </w:tc>
        <w:tc>
          <w:tcPr>
            <w:tcW w:w="1003" w:type="dxa"/>
            <w:tcBorders>
              <w:top w:val="single" w:sz="6" w:space="0" w:color="000008"/>
              <w:left w:val="single" w:sz="6" w:space="0" w:color="000008"/>
              <w:bottom w:val="single" w:sz="6" w:space="0" w:color="000008"/>
              <w:right w:val="single" w:sz="6" w:space="0" w:color="000008"/>
            </w:tcBorders>
          </w:tcPr>
          <w:p>
            <w:pPr/>
          </w:p>
        </w:tc>
        <w:tc>
          <w:tcPr>
            <w:tcW w:w="1502" w:type="dxa"/>
            <w:tcBorders>
              <w:top w:val="single" w:sz="6" w:space="0" w:color="000008"/>
              <w:left w:val="single" w:sz="6" w:space="0" w:color="000008"/>
              <w:bottom w:val="single" w:sz="6" w:space="0" w:color="000008"/>
              <w:right w:val="single" w:sz="4" w:space="0" w:color="000008"/>
            </w:tcBorders>
          </w:tcPr>
          <w:p>
            <w:pPr/>
          </w:p>
        </w:tc>
      </w:tr>
      <w:tr>
        <w:trPr>
          <w:trHeight w:val="454"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2,203,861,835.66</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1,551,812,778.47</w:t>
            </w:r>
          </w:p>
        </w:tc>
      </w:tr>
      <w:tr>
        <w:trPr>
          <w:trHeight w:val="454" w:hRule="exact"/>
        </w:trPr>
        <w:tc>
          <w:tcPr>
            <w:tcW w:w="1668" w:type="dxa"/>
            <w:tcBorders>
              <w:top w:val="single" w:sz="6" w:space="0" w:color="000008"/>
              <w:left w:val="single" w:sz="4" w:space="0" w:color="000008"/>
              <w:bottom w:val="single" w:sz="4" w:space="0" w:color="000008"/>
              <w:right w:val="single" w:sz="6"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62"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2,975,520.19</w:t>
            </w:r>
          </w:p>
        </w:tc>
        <w:tc>
          <w:tcPr>
            <w:tcW w:w="946"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0.8815</w:t>
            </w:r>
          </w:p>
        </w:tc>
        <w:tc>
          <w:tcPr>
            <w:tcW w:w="1670"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2,622,921.05</w:t>
            </w:r>
          </w:p>
        </w:tc>
        <w:tc>
          <w:tcPr>
            <w:tcW w:w="1183"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2,487,955.29</w:t>
            </w:r>
          </w:p>
        </w:tc>
        <w:tc>
          <w:tcPr>
            <w:tcW w:w="1003"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0.8819</w:t>
            </w:r>
          </w:p>
        </w:tc>
        <w:tc>
          <w:tcPr>
            <w:tcW w:w="1502" w:type="dxa"/>
            <w:tcBorders>
              <w:top w:val="single" w:sz="6" w:space="0" w:color="000008"/>
              <w:left w:val="single" w:sz="6"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2,194,127.77</w:t>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640" w:bottom="1080" w:left="1480" w:right="760"/>
        </w:sectPr>
      </w:pPr>
    </w:p>
    <w:p>
      <w:pPr>
        <w:spacing w:line="240" w:lineRule="auto" w:before="13"/>
        <w:rPr>
          <w:rFonts w:ascii="宋体" w:hAnsi="宋体" w:cs="宋体" w:eastAsia="宋体" w:hint="default"/>
          <w:sz w:val="15"/>
          <w:szCs w:val="15"/>
        </w:rPr>
      </w:pPr>
    </w:p>
    <w:tbl>
      <w:tblPr>
        <w:tblW w:w="0" w:type="auto"/>
        <w:jc w:val="left"/>
        <w:tblInd w:w="426" w:type="dxa"/>
        <w:tblLayout w:type="fixed"/>
        <w:tblCellMar>
          <w:top w:w="0" w:type="dxa"/>
          <w:left w:w="0" w:type="dxa"/>
          <w:bottom w:w="0" w:type="dxa"/>
          <w:right w:w="0" w:type="dxa"/>
        </w:tblCellMar>
        <w:tblLook w:val="01E0"/>
      </w:tblPr>
      <w:tblGrid>
        <w:gridCol w:w="1668"/>
        <w:gridCol w:w="1162"/>
        <w:gridCol w:w="946"/>
        <w:gridCol w:w="1670"/>
        <w:gridCol w:w="1183"/>
        <w:gridCol w:w="1003"/>
        <w:gridCol w:w="1502"/>
      </w:tblGrid>
      <w:tr>
        <w:trPr>
          <w:trHeight w:val="451" w:hRule="exact"/>
        </w:trPr>
        <w:tc>
          <w:tcPr>
            <w:tcW w:w="1668" w:type="dxa"/>
            <w:vMerge w:val="restart"/>
            <w:tcBorders>
              <w:top w:val="single" w:sz="4" w:space="0" w:color="000008"/>
              <w:left w:val="single" w:sz="4" w:space="0" w:color="000008"/>
              <w:right w:val="single" w:sz="6"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78" w:type="dxa"/>
            <w:gridSpan w:val="3"/>
            <w:tcBorders>
              <w:top w:val="single" w:sz="4"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2009-12-31</w:t>
            </w:r>
          </w:p>
        </w:tc>
        <w:tc>
          <w:tcPr>
            <w:tcW w:w="3689" w:type="dxa"/>
            <w:gridSpan w:val="3"/>
            <w:tcBorders>
              <w:top w:val="single" w:sz="4" w:space="0" w:color="000008"/>
              <w:left w:val="single" w:sz="6" w:space="0" w:color="000008"/>
              <w:bottom w:val="single" w:sz="6"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2008-12-31</w:t>
            </w:r>
          </w:p>
        </w:tc>
      </w:tr>
      <w:tr>
        <w:trPr>
          <w:trHeight w:val="456" w:hRule="exact"/>
        </w:trPr>
        <w:tc>
          <w:tcPr>
            <w:tcW w:w="1668" w:type="dxa"/>
            <w:vMerge/>
            <w:tcBorders>
              <w:left w:val="single" w:sz="4" w:space="0" w:color="000008"/>
              <w:bottom w:val="single" w:sz="6" w:space="0" w:color="000008"/>
              <w:right w:val="single" w:sz="6" w:space="0" w:color="000008"/>
            </w:tcBorders>
          </w:tcPr>
          <w:p>
            <w:pP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54"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306,786.03</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6.8282</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2,094,796.37</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306,795.80</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6.8346</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2,096,826.58</w:t>
            </w:r>
          </w:p>
        </w:tc>
      </w:tr>
      <w:tr>
        <w:trPr>
          <w:trHeight w:val="456"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23"/>
              <w:ind w:left="3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银行存款小计</w:t>
            </w:r>
            <w:r>
              <w:rPr>
                <w:rFonts w:ascii="Microsoft JhengHei" w:hAnsi="Microsoft JhengHei" w:cs="Microsoft JhengHei" w:eastAsia="Microsoft JhengHei" w:hint="default"/>
                <w:sz w:val="18"/>
                <w:szCs w:val="18"/>
              </w:rPr>
            </w:r>
          </w:p>
        </w:tc>
        <w:tc>
          <w:tcPr>
            <w:tcW w:w="1162" w:type="dxa"/>
            <w:tcBorders>
              <w:top w:val="single" w:sz="6" w:space="0" w:color="000008"/>
              <w:left w:val="single" w:sz="6" w:space="0" w:color="000008"/>
              <w:bottom w:val="single" w:sz="6" w:space="0" w:color="000008"/>
              <w:right w:val="single" w:sz="6" w:space="0" w:color="000008"/>
            </w:tcBorders>
          </w:tcPr>
          <w:p>
            <w:pPr/>
          </w:p>
        </w:tc>
        <w:tc>
          <w:tcPr>
            <w:tcW w:w="946" w:type="dxa"/>
            <w:tcBorders>
              <w:top w:val="single" w:sz="6" w:space="0" w:color="000008"/>
              <w:left w:val="single" w:sz="6" w:space="0" w:color="000008"/>
              <w:bottom w:val="single" w:sz="6" w:space="0" w:color="000008"/>
              <w:right w:val="single" w:sz="6" w:space="0" w:color="000008"/>
            </w:tcBorders>
          </w:tcPr>
          <w:p>
            <w:pP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2,208,579,553.08</w:t>
            </w:r>
            <w:r>
              <w:rPr>
                <w:rFonts w:ascii="Times New Roman"/>
                <w:spacing w:val="-1"/>
                <w:sz w:val="18"/>
              </w:rPr>
            </w:r>
          </w:p>
        </w:tc>
        <w:tc>
          <w:tcPr>
            <w:tcW w:w="1183" w:type="dxa"/>
            <w:tcBorders>
              <w:top w:val="single" w:sz="6" w:space="0" w:color="000008"/>
              <w:left w:val="single" w:sz="6" w:space="0" w:color="000008"/>
              <w:bottom w:val="single" w:sz="6" w:space="0" w:color="000008"/>
              <w:right w:val="single" w:sz="6" w:space="0" w:color="000008"/>
            </w:tcBorders>
          </w:tcPr>
          <w:p>
            <w:pPr/>
          </w:p>
        </w:tc>
        <w:tc>
          <w:tcPr>
            <w:tcW w:w="1003" w:type="dxa"/>
            <w:tcBorders>
              <w:top w:val="single" w:sz="6" w:space="0" w:color="000008"/>
              <w:left w:val="single" w:sz="6" w:space="0" w:color="000008"/>
              <w:bottom w:val="single" w:sz="6" w:space="0" w:color="000008"/>
              <w:right w:val="single" w:sz="6" w:space="0" w:color="000008"/>
            </w:tcBorders>
          </w:tcPr>
          <w:p>
            <w:pP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1,556,103,732.82</w:t>
            </w:r>
            <w:r>
              <w:rPr>
                <w:rFonts w:ascii="Times New Roman"/>
                <w:spacing w:val="-1"/>
                <w:sz w:val="18"/>
              </w:rPr>
            </w:r>
          </w:p>
        </w:tc>
      </w:tr>
      <w:tr>
        <w:trPr>
          <w:trHeight w:val="456"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162" w:type="dxa"/>
            <w:tcBorders>
              <w:top w:val="single" w:sz="6" w:space="0" w:color="000008"/>
              <w:left w:val="single" w:sz="6" w:space="0" w:color="000008"/>
              <w:bottom w:val="single" w:sz="6" w:space="0" w:color="000008"/>
              <w:right w:val="single" w:sz="6" w:space="0" w:color="000008"/>
            </w:tcBorders>
          </w:tcPr>
          <w:p>
            <w:pPr/>
          </w:p>
        </w:tc>
        <w:tc>
          <w:tcPr>
            <w:tcW w:w="946" w:type="dxa"/>
            <w:tcBorders>
              <w:top w:val="single" w:sz="6" w:space="0" w:color="000008"/>
              <w:left w:val="single" w:sz="6" w:space="0" w:color="000008"/>
              <w:bottom w:val="single" w:sz="6" w:space="0" w:color="000008"/>
              <w:right w:val="single" w:sz="6" w:space="0" w:color="000008"/>
            </w:tcBorders>
          </w:tcPr>
          <w:p>
            <w:pPr/>
          </w:p>
        </w:tc>
        <w:tc>
          <w:tcPr>
            <w:tcW w:w="1670" w:type="dxa"/>
            <w:tcBorders>
              <w:top w:val="single" w:sz="6" w:space="0" w:color="000008"/>
              <w:left w:val="single" w:sz="6" w:space="0" w:color="000008"/>
              <w:bottom w:val="single" w:sz="6" w:space="0" w:color="000008"/>
              <w:right w:val="single" w:sz="6" w:space="0" w:color="000008"/>
            </w:tcBorders>
          </w:tcPr>
          <w:p>
            <w:pPr/>
          </w:p>
        </w:tc>
        <w:tc>
          <w:tcPr>
            <w:tcW w:w="1183" w:type="dxa"/>
            <w:tcBorders>
              <w:top w:val="single" w:sz="6" w:space="0" w:color="000008"/>
              <w:left w:val="single" w:sz="6" w:space="0" w:color="000008"/>
              <w:bottom w:val="single" w:sz="6" w:space="0" w:color="000008"/>
              <w:right w:val="single" w:sz="6" w:space="0" w:color="000008"/>
            </w:tcBorders>
          </w:tcPr>
          <w:p>
            <w:pPr/>
          </w:p>
        </w:tc>
        <w:tc>
          <w:tcPr>
            <w:tcW w:w="1003" w:type="dxa"/>
            <w:tcBorders>
              <w:top w:val="single" w:sz="6" w:space="0" w:color="000008"/>
              <w:left w:val="single" w:sz="6" w:space="0" w:color="000008"/>
              <w:bottom w:val="single" w:sz="6" w:space="0" w:color="000008"/>
              <w:right w:val="single" w:sz="6" w:space="0" w:color="000008"/>
            </w:tcBorders>
          </w:tcPr>
          <w:p>
            <w:pPr/>
          </w:p>
        </w:tc>
        <w:tc>
          <w:tcPr>
            <w:tcW w:w="1502" w:type="dxa"/>
            <w:tcBorders>
              <w:top w:val="single" w:sz="6" w:space="0" w:color="000008"/>
              <w:left w:val="single" w:sz="6" w:space="0" w:color="000008"/>
              <w:bottom w:val="single" w:sz="6" w:space="0" w:color="000008"/>
              <w:right w:val="single" w:sz="4" w:space="0" w:color="000008"/>
            </w:tcBorders>
          </w:tcPr>
          <w:p>
            <w:pPr/>
          </w:p>
        </w:tc>
      </w:tr>
      <w:tr>
        <w:trPr>
          <w:trHeight w:val="454"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205,304.04</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166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2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其他货币资金小计</w:t>
            </w:r>
            <w:r>
              <w:rPr>
                <w:rFonts w:ascii="Microsoft JhengHei" w:hAnsi="Microsoft JhengHei" w:cs="Microsoft JhengHei" w:eastAsia="Microsoft JhengHei" w:hint="default"/>
                <w:sz w:val="18"/>
                <w:szCs w:val="18"/>
              </w:rPr>
            </w:r>
          </w:p>
        </w:tc>
        <w:tc>
          <w:tcPr>
            <w:tcW w:w="1162"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4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7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205,304.04</w:t>
            </w:r>
            <w:r>
              <w:rPr>
                <w:rFonts w:ascii="Times New Roman"/>
                <w:spacing w:val="-1"/>
                <w:sz w:val="18"/>
              </w:rPr>
            </w:r>
          </w:p>
        </w:tc>
        <w:tc>
          <w:tcPr>
            <w:tcW w:w="118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0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02"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51" w:hRule="exact"/>
        </w:trPr>
        <w:tc>
          <w:tcPr>
            <w:tcW w:w="1668" w:type="dxa"/>
            <w:tcBorders>
              <w:top w:val="single" w:sz="6" w:space="0" w:color="000008"/>
              <w:left w:val="single" w:sz="4" w:space="0" w:color="000008"/>
              <w:bottom w:val="single" w:sz="4" w:space="0" w:color="000008"/>
              <w:right w:val="single" w:sz="6" w:space="0" w:color="000008"/>
            </w:tcBorders>
          </w:tcPr>
          <w:p>
            <w:pPr>
              <w:pStyle w:val="TableParagraph"/>
              <w:spacing w:line="240" w:lineRule="auto" w:before="12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62" w:type="dxa"/>
            <w:tcBorders>
              <w:top w:val="single" w:sz="6" w:space="0" w:color="000008"/>
              <w:left w:val="single" w:sz="6" w:space="0" w:color="000008"/>
              <w:bottom w:val="single" w:sz="4" w:space="0" w:color="000008"/>
              <w:right w:val="single" w:sz="6" w:space="0" w:color="000008"/>
            </w:tcBorders>
          </w:tcPr>
          <w:p>
            <w:pPr/>
          </w:p>
        </w:tc>
        <w:tc>
          <w:tcPr>
            <w:tcW w:w="946" w:type="dxa"/>
            <w:tcBorders>
              <w:top w:val="single" w:sz="6" w:space="0" w:color="000008"/>
              <w:left w:val="single" w:sz="6" w:space="0" w:color="000008"/>
              <w:bottom w:val="single" w:sz="4" w:space="0" w:color="000008"/>
              <w:right w:val="single" w:sz="6" w:space="0" w:color="000008"/>
            </w:tcBorders>
          </w:tcPr>
          <w:p>
            <w:pPr/>
          </w:p>
        </w:tc>
        <w:tc>
          <w:tcPr>
            <w:tcW w:w="1670"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2,212,299,095.15</w:t>
            </w:r>
            <w:r>
              <w:rPr>
                <w:rFonts w:ascii="Times New Roman"/>
                <w:spacing w:val="-1"/>
                <w:sz w:val="18"/>
              </w:rPr>
            </w:r>
          </w:p>
        </w:tc>
        <w:tc>
          <w:tcPr>
            <w:tcW w:w="1183" w:type="dxa"/>
            <w:tcBorders>
              <w:top w:val="single" w:sz="6" w:space="0" w:color="000008"/>
              <w:left w:val="single" w:sz="6" w:space="0" w:color="000008"/>
              <w:bottom w:val="single" w:sz="4" w:space="0" w:color="000008"/>
              <w:right w:val="single" w:sz="6" w:space="0" w:color="000008"/>
            </w:tcBorders>
          </w:tcPr>
          <w:p>
            <w:pPr/>
          </w:p>
        </w:tc>
        <w:tc>
          <w:tcPr>
            <w:tcW w:w="1003" w:type="dxa"/>
            <w:tcBorders>
              <w:top w:val="single" w:sz="6" w:space="0" w:color="000008"/>
              <w:left w:val="single" w:sz="6" w:space="0" w:color="000008"/>
              <w:bottom w:val="single" w:sz="4" w:space="0" w:color="000008"/>
              <w:right w:val="single" w:sz="6" w:space="0" w:color="000008"/>
            </w:tcBorders>
          </w:tcPr>
          <w:p>
            <w:pPr/>
          </w:p>
        </w:tc>
        <w:tc>
          <w:tcPr>
            <w:tcW w:w="1502" w:type="dxa"/>
            <w:tcBorders>
              <w:top w:val="single" w:sz="6" w:space="0" w:color="000008"/>
              <w:left w:val="single" w:sz="6"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1,561,216,665.69</w:t>
            </w:r>
            <w:r>
              <w:rPr>
                <w:rFonts w:ascii="Times New Roman"/>
                <w:spacing w:val="-1"/>
                <w:sz w:val="18"/>
              </w:rPr>
            </w:r>
          </w:p>
        </w:tc>
      </w:tr>
    </w:tbl>
    <w:p>
      <w:pPr>
        <w:spacing w:line="240" w:lineRule="auto" w:before="11"/>
        <w:rPr>
          <w:rFonts w:ascii="宋体" w:hAnsi="宋体" w:cs="宋体" w:eastAsia="宋体" w:hint="default"/>
          <w:sz w:val="16"/>
          <w:szCs w:val="16"/>
        </w:rPr>
      </w:pPr>
    </w:p>
    <w:p>
      <w:pPr>
        <w:spacing w:before="36"/>
        <w:ind w:left="961" w:right="0" w:firstLine="0"/>
        <w:jc w:val="left"/>
        <w:rPr>
          <w:rFonts w:ascii="宋体" w:hAnsi="宋体" w:cs="宋体" w:eastAsia="宋体" w:hint="default"/>
          <w:sz w:val="21"/>
          <w:szCs w:val="21"/>
        </w:rPr>
      </w:pPr>
      <w:r>
        <w:rPr>
          <w:rFonts w:ascii="宋体" w:hAnsi="宋体" w:cs="宋体" w:eastAsia="宋体" w:hint="default"/>
          <w:sz w:val="21"/>
          <w:szCs w:val="21"/>
        </w:rPr>
        <w:t>不作为现金及现金等价物的截止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日定期存款余额列示如下：</w:t>
      </w:r>
    </w:p>
    <w:p>
      <w:pPr>
        <w:spacing w:line="240" w:lineRule="auto" w:before="7"/>
        <w:rPr>
          <w:rFonts w:ascii="宋体" w:hAnsi="宋体" w:cs="宋体" w:eastAsia="宋体" w:hint="default"/>
          <w:sz w:val="11"/>
          <w:szCs w:val="11"/>
        </w:rPr>
      </w:pPr>
    </w:p>
    <w:tbl>
      <w:tblPr>
        <w:tblW w:w="0" w:type="auto"/>
        <w:jc w:val="left"/>
        <w:tblInd w:w="510" w:type="dxa"/>
        <w:tblLayout w:type="fixed"/>
        <w:tblCellMar>
          <w:top w:w="0" w:type="dxa"/>
          <w:left w:w="0" w:type="dxa"/>
          <w:bottom w:w="0" w:type="dxa"/>
          <w:right w:w="0" w:type="dxa"/>
        </w:tblCellMar>
        <w:tblLook w:val="01E0"/>
      </w:tblPr>
      <w:tblGrid>
        <w:gridCol w:w="2546"/>
        <w:gridCol w:w="828"/>
        <w:gridCol w:w="1822"/>
        <w:gridCol w:w="1234"/>
        <w:gridCol w:w="1061"/>
        <w:gridCol w:w="1063"/>
      </w:tblGrid>
      <w:tr>
        <w:trPr>
          <w:trHeight w:val="446" w:hRule="exact"/>
        </w:trPr>
        <w:tc>
          <w:tcPr>
            <w:tcW w:w="254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5"/>
              <w:ind w:right="107"/>
              <w:jc w:val="center"/>
              <w:rPr>
                <w:rFonts w:ascii="宋体" w:hAnsi="宋体" w:cs="宋体" w:eastAsia="宋体" w:hint="default"/>
                <w:sz w:val="18"/>
                <w:szCs w:val="18"/>
              </w:rPr>
            </w:pPr>
            <w:r>
              <w:rPr>
                <w:rFonts w:ascii="宋体" w:hAnsi="宋体" w:cs="宋体" w:eastAsia="宋体" w:hint="default"/>
                <w:sz w:val="18"/>
                <w:szCs w:val="18"/>
              </w:rPr>
              <w:t>存款银行</w:t>
            </w:r>
          </w:p>
        </w:tc>
        <w:tc>
          <w:tcPr>
            <w:tcW w:w="8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5"/>
              <w:ind w:left="21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8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5"/>
              <w:ind w:left="523" w:right="0"/>
              <w:jc w:val="left"/>
              <w:rPr>
                <w:rFonts w:ascii="宋体" w:hAnsi="宋体" w:cs="宋体" w:eastAsia="宋体" w:hint="default"/>
                <w:sz w:val="18"/>
                <w:szCs w:val="18"/>
              </w:rPr>
            </w:pPr>
            <w:r>
              <w:rPr>
                <w:rFonts w:ascii="宋体" w:hAnsi="宋体" w:cs="宋体" w:eastAsia="宋体" w:hint="default"/>
                <w:sz w:val="18"/>
                <w:szCs w:val="18"/>
              </w:rPr>
              <w:t>存款金额</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5"/>
              <w:ind w:right="47"/>
              <w:jc w:val="center"/>
              <w:rPr>
                <w:rFonts w:ascii="宋体" w:hAnsi="宋体" w:cs="宋体" w:eastAsia="宋体" w:hint="default"/>
                <w:sz w:val="18"/>
                <w:szCs w:val="18"/>
              </w:rPr>
            </w:pPr>
            <w:r>
              <w:rPr>
                <w:rFonts w:ascii="宋体" w:hAnsi="宋体" w:cs="宋体" w:eastAsia="宋体" w:hint="default"/>
                <w:sz w:val="18"/>
                <w:szCs w:val="18"/>
              </w:rPr>
              <w:t>存款期限</w:t>
            </w:r>
          </w:p>
        </w:tc>
        <w:tc>
          <w:tcPr>
            <w:tcW w:w="10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5"/>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w:t>
            </w:r>
            <w:r>
              <w:rPr>
                <w:rFonts w:ascii="宋体" w:hAnsi="宋体" w:cs="宋体" w:eastAsia="宋体" w:hint="default"/>
                <w:spacing w:val="-2"/>
                <w:sz w:val="18"/>
                <w:szCs w:val="18"/>
              </w:rPr>
              <w:t> </w:t>
            </w:r>
            <w:r>
              <w:rPr>
                <w:rFonts w:ascii="宋体" w:hAnsi="宋体" w:cs="宋体" w:eastAsia="宋体" w:hint="default"/>
                <w:sz w:val="18"/>
                <w:szCs w:val="18"/>
              </w:rPr>
              <w:t>率</w:t>
            </w:r>
            <w:r>
              <w:rPr>
                <w:rFonts w:ascii="Times New Roman" w:hAnsi="Times New Roman" w:cs="Times New Roman" w:eastAsia="Times New Roman" w:hint="default"/>
                <w:sz w:val="18"/>
                <w:szCs w:val="18"/>
              </w:rPr>
              <w:t>%</w:t>
            </w:r>
          </w:p>
        </w:tc>
        <w:tc>
          <w:tcPr>
            <w:tcW w:w="106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5"/>
              <w:ind w:right="319"/>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444" w:hRule="exact"/>
        </w:trPr>
        <w:tc>
          <w:tcPr>
            <w:tcW w:w="254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建行昆明海安支行</w:t>
            </w:r>
          </w:p>
        </w:tc>
        <w:tc>
          <w:tcPr>
            <w:tcW w:w="8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RMB</w:t>
            </w:r>
          </w:p>
        </w:tc>
        <w:tc>
          <w:tcPr>
            <w:tcW w:w="18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20,000,000.00</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2"/>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0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2.25%</w:t>
            </w:r>
          </w:p>
        </w:tc>
        <w:tc>
          <w:tcPr>
            <w:tcW w:w="106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2"/>
              <w:ind w:right="283"/>
              <w:jc w:val="right"/>
              <w:rPr>
                <w:rFonts w:ascii="宋体" w:hAnsi="宋体" w:cs="宋体" w:eastAsia="宋体" w:hint="default"/>
                <w:sz w:val="18"/>
                <w:szCs w:val="18"/>
              </w:rPr>
            </w:pPr>
            <w:r>
              <w:rPr>
                <w:rFonts w:ascii="宋体" w:hAnsi="宋体" w:cs="宋体" w:eastAsia="宋体" w:hint="default"/>
                <w:sz w:val="18"/>
                <w:szCs w:val="18"/>
              </w:rPr>
              <w:t>无质押</w:t>
            </w:r>
          </w:p>
        </w:tc>
      </w:tr>
      <w:tr>
        <w:trPr>
          <w:trHeight w:val="446" w:hRule="exact"/>
        </w:trPr>
        <w:tc>
          <w:tcPr>
            <w:tcW w:w="254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农行昆明度假区支行</w:t>
            </w:r>
          </w:p>
        </w:tc>
        <w:tc>
          <w:tcPr>
            <w:tcW w:w="8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RMB</w:t>
            </w:r>
          </w:p>
        </w:tc>
        <w:tc>
          <w:tcPr>
            <w:tcW w:w="18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40,000,000.00</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2"/>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0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2.25%</w:t>
            </w:r>
          </w:p>
        </w:tc>
        <w:tc>
          <w:tcPr>
            <w:tcW w:w="106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2"/>
              <w:ind w:right="283"/>
              <w:jc w:val="right"/>
              <w:rPr>
                <w:rFonts w:ascii="宋体" w:hAnsi="宋体" w:cs="宋体" w:eastAsia="宋体" w:hint="default"/>
                <w:sz w:val="18"/>
                <w:szCs w:val="18"/>
              </w:rPr>
            </w:pPr>
            <w:r>
              <w:rPr>
                <w:rFonts w:ascii="宋体" w:hAnsi="宋体" w:cs="宋体" w:eastAsia="宋体" w:hint="default"/>
                <w:sz w:val="18"/>
                <w:szCs w:val="18"/>
              </w:rPr>
              <w:t>无质押</w:t>
            </w:r>
          </w:p>
        </w:tc>
      </w:tr>
      <w:tr>
        <w:trPr>
          <w:trHeight w:val="444" w:hRule="exact"/>
        </w:trPr>
        <w:tc>
          <w:tcPr>
            <w:tcW w:w="254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3"/>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828" w:type="dxa"/>
            <w:tcBorders>
              <w:top w:val="single" w:sz="2" w:space="0" w:color="000008"/>
              <w:left w:val="single" w:sz="2" w:space="0" w:color="000008"/>
              <w:bottom w:val="single" w:sz="2" w:space="0" w:color="000008"/>
              <w:right w:val="single" w:sz="2" w:space="0" w:color="000008"/>
            </w:tcBorders>
          </w:tcPr>
          <w:p>
            <w:pPr/>
          </w:p>
        </w:tc>
        <w:tc>
          <w:tcPr>
            <w:tcW w:w="18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234" w:type="dxa"/>
            <w:tcBorders>
              <w:top w:val="single" w:sz="2" w:space="0" w:color="000008"/>
              <w:left w:val="single" w:sz="2" w:space="0" w:color="000008"/>
              <w:bottom w:val="single" w:sz="2" w:space="0" w:color="000008"/>
              <w:right w:val="single" w:sz="2" w:space="0" w:color="000008"/>
            </w:tcBorders>
          </w:tcPr>
          <w:p>
            <w:pPr/>
          </w:p>
        </w:tc>
        <w:tc>
          <w:tcPr>
            <w:tcW w:w="1061" w:type="dxa"/>
            <w:tcBorders>
              <w:top w:val="single" w:sz="2" w:space="0" w:color="000008"/>
              <w:left w:val="single" w:sz="2" w:space="0" w:color="000008"/>
              <w:bottom w:val="single" w:sz="2" w:space="0" w:color="000008"/>
              <w:right w:val="single" w:sz="2" w:space="0" w:color="000008"/>
            </w:tcBorders>
          </w:tcPr>
          <w:p>
            <w:pPr/>
          </w:p>
        </w:tc>
        <w:tc>
          <w:tcPr>
            <w:tcW w:w="1063" w:type="dxa"/>
            <w:tcBorders>
              <w:top w:val="single" w:sz="2" w:space="0" w:color="000008"/>
              <w:left w:val="single" w:sz="2" w:space="0" w:color="000008"/>
              <w:bottom w:val="single" w:sz="2" w:space="0" w:color="000008"/>
              <w:right w:val="single" w:sz="2" w:space="0" w:color="000008"/>
            </w:tcBorders>
          </w:tcPr>
          <w:p>
            <w:pPr/>
          </w:p>
        </w:tc>
      </w:tr>
    </w:tbl>
    <w:p>
      <w:pPr>
        <w:spacing w:line="240" w:lineRule="auto" w:before="5"/>
        <w:rPr>
          <w:rFonts w:ascii="宋体" w:hAnsi="宋体" w:cs="宋体" w:eastAsia="宋体" w:hint="default"/>
          <w:sz w:val="19"/>
          <w:szCs w:val="19"/>
        </w:rPr>
      </w:pPr>
    </w:p>
    <w:p>
      <w:pPr>
        <w:spacing w:before="0"/>
        <w:ind w:left="9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应收账款</w:t>
      </w:r>
    </w:p>
    <w:p>
      <w:pPr>
        <w:spacing w:line="240" w:lineRule="auto" w:before="2"/>
        <w:rPr>
          <w:rFonts w:ascii="宋体" w:hAnsi="宋体" w:cs="宋体" w:eastAsia="宋体" w:hint="default"/>
          <w:sz w:val="22"/>
          <w:szCs w:val="22"/>
        </w:rPr>
      </w:pPr>
    </w:p>
    <w:p>
      <w:pPr>
        <w:spacing w:before="0"/>
        <w:ind w:left="9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548"/>
        <w:gridCol w:w="1397"/>
        <w:gridCol w:w="871"/>
        <w:gridCol w:w="1253"/>
        <w:gridCol w:w="727"/>
        <w:gridCol w:w="1250"/>
        <w:gridCol w:w="893"/>
        <w:gridCol w:w="1274"/>
        <w:gridCol w:w="890"/>
      </w:tblGrid>
      <w:tr>
        <w:trPr>
          <w:trHeight w:val="410" w:hRule="exact"/>
        </w:trPr>
        <w:tc>
          <w:tcPr>
            <w:tcW w:w="1548"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248"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2009-12-31</w:t>
            </w:r>
          </w:p>
        </w:tc>
        <w:tc>
          <w:tcPr>
            <w:tcW w:w="4308"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410" w:hRule="exact"/>
        </w:trPr>
        <w:tc>
          <w:tcPr>
            <w:tcW w:w="1548" w:type="dxa"/>
            <w:vMerge/>
            <w:tcBorders>
              <w:left w:val="single" w:sz="4" w:space="0" w:color="000008"/>
              <w:right w:val="single" w:sz="4" w:space="0" w:color="000008"/>
            </w:tcBorders>
          </w:tcPr>
          <w:p>
            <w:pPr/>
          </w:p>
        </w:tc>
        <w:tc>
          <w:tcPr>
            <w:tcW w:w="226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7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0" w:hRule="exact"/>
        </w:trPr>
        <w:tc>
          <w:tcPr>
            <w:tcW w:w="1548" w:type="dxa"/>
            <w:vMerge/>
            <w:tcBorders>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1"/>
              <w:ind w:left="223"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8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pacing w:val="11"/>
                <w:sz w:val="18"/>
                <w:szCs w:val="18"/>
              </w:rPr>
              <w:t>单项金额重大的应</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11,532,649.26</w:t>
            </w:r>
          </w:p>
        </w:tc>
        <w:tc>
          <w:tcPr>
            <w:tcW w:w="8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20.93</w:t>
            </w:r>
          </w:p>
        </w:tc>
        <w:tc>
          <w:tcPr>
            <w:tcW w:w="12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2,689,569.33</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19.53</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21,719,938.23</w:t>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29.67</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2,951,341.68</w:t>
            </w:r>
          </w:p>
        </w:tc>
        <w:tc>
          <w:tcPr>
            <w:tcW w:w="8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26.82</w:t>
            </w:r>
          </w:p>
        </w:tc>
      </w:tr>
      <w:tr>
        <w:trPr>
          <w:trHeight w:val="946" w:hRule="exact"/>
        </w:trPr>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right="0"/>
              <w:jc w:val="both"/>
              <w:rPr>
                <w:rFonts w:ascii="宋体" w:hAnsi="宋体" w:cs="宋体" w:eastAsia="宋体" w:hint="default"/>
                <w:sz w:val="18"/>
                <w:szCs w:val="18"/>
              </w:rPr>
            </w:pPr>
            <w:r>
              <w:rPr>
                <w:rFonts w:ascii="宋体" w:hAnsi="宋体" w:cs="宋体" w:eastAsia="宋体" w:hint="default"/>
                <w:spacing w:val="11"/>
                <w:sz w:val="18"/>
                <w:szCs w:val="18"/>
              </w:rPr>
              <w:t>单项金额不重大但</w:t>
            </w:r>
          </w:p>
          <w:p>
            <w:pPr>
              <w:pStyle w:val="TableParagraph"/>
              <w:spacing w:line="237" w:lineRule="auto"/>
              <w:ind w:right="5"/>
              <w:jc w:val="both"/>
              <w:rPr>
                <w:rFonts w:ascii="宋体" w:hAnsi="宋体" w:cs="宋体" w:eastAsia="宋体" w:hint="default"/>
                <w:sz w:val="18"/>
                <w:szCs w:val="18"/>
              </w:rPr>
            </w:pPr>
            <w:r>
              <w:rPr>
                <w:rFonts w:ascii="宋体" w:hAnsi="宋体" w:cs="宋体" w:eastAsia="宋体" w:hint="default"/>
                <w:spacing w:val="11"/>
                <w:sz w:val="18"/>
                <w:szCs w:val="18"/>
              </w:rPr>
              <w:t>按信用风险特征组</w:t>
            </w:r>
            <w:r>
              <w:rPr>
                <w:rFonts w:ascii="宋体" w:hAnsi="宋体" w:cs="宋体" w:eastAsia="宋体" w:hint="default"/>
                <w:sz w:val="18"/>
                <w:szCs w:val="18"/>
              </w:rPr>
              <w:t> </w:t>
            </w:r>
            <w:r>
              <w:rPr>
                <w:rFonts w:ascii="宋体" w:hAnsi="宋体" w:cs="宋体" w:eastAsia="宋体" w:hint="default"/>
                <w:spacing w:val="11"/>
                <w:sz w:val="18"/>
                <w:szCs w:val="18"/>
              </w:rPr>
              <w:t>合后该组合的风险</w:t>
            </w:r>
            <w:r>
              <w:rPr>
                <w:rFonts w:ascii="宋体" w:hAnsi="宋体" w:cs="宋体" w:eastAsia="宋体" w:hint="default"/>
                <w:sz w:val="18"/>
                <w:szCs w:val="18"/>
              </w:rPr>
              <w:t> 较大的应收账款</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10,810,896.04</w:t>
            </w:r>
          </w:p>
        </w:tc>
        <w:tc>
          <w:tcPr>
            <w:tcW w:w="8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19.62</w:t>
            </w:r>
          </w:p>
        </w:tc>
        <w:tc>
          <w:tcPr>
            <w:tcW w:w="12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9,790,689.12</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71.08</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7,626,523.18</w:t>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10.41</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6,890,767.88</w:t>
            </w:r>
          </w:p>
        </w:tc>
        <w:tc>
          <w:tcPr>
            <w:tcW w:w="8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62.61</w:t>
            </w:r>
          </w:p>
        </w:tc>
      </w:tr>
      <w:tr>
        <w:trPr>
          <w:trHeight w:val="480" w:hRule="exact"/>
        </w:trPr>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pacing w:val="11"/>
                <w:sz w:val="18"/>
                <w:szCs w:val="18"/>
              </w:rPr>
              <w:t>其他不重大应收账</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32,751,483.58</w:t>
            </w:r>
          </w:p>
        </w:tc>
        <w:tc>
          <w:tcPr>
            <w:tcW w:w="8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59.45</w:t>
            </w:r>
          </w:p>
        </w:tc>
        <w:tc>
          <w:tcPr>
            <w:tcW w:w="12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1,293,784.48</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9.39</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43,868,090.39</w:t>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59.92</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1,163,774.60</w:t>
            </w:r>
          </w:p>
        </w:tc>
        <w:tc>
          <w:tcPr>
            <w:tcW w:w="8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10.57</w:t>
            </w:r>
          </w:p>
        </w:tc>
      </w:tr>
      <w:tr>
        <w:trPr>
          <w:trHeight w:val="408" w:hRule="exact"/>
        </w:trPr>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55,095,028.88</w:t>
            </w:r>
            <w:r>
              <w:rPr>
                <w:rFonts w:ascii="Times New Roman"/>
                <w:spacing w:val="-1"/>
                <w:sz w:val="18"/>
              </w:rPr>
            </w:r>
          </w:p>
        </w:tc>
        <w:tc>
          <w:tcPr>
            <w:tcW w:w="8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b/>
                <w:sz w:val="18"/>
              </w:rPr>
              <w:t>13,774,042.93</w:t>
            </w:r>
            <w:r>
              <w:rPr>
                <w:rFonts w:ascii="Times New Roman"/>
                <w:sz w:val="18"/>
              </w:rPr>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73,214,551.80</w:t>
            </w:r>
            <w:r>
              <w:rPr>
                <w:rFonts w:ascii="Times New Roman"/>
                <w:spacing w:val="-1"/>
                <w:sz w:val="18"/>
              </w:rPr>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b/>
                <w:sz w:val="18"/>
              </w:rPr>
              <w:t>11,005,884.16</w:t>
            </w:r>
            <w:r>
              <w:rPr>
                <w:rFonts w:ascii="Times New Roman"/>
                <w:sz w:val="18"/>
              </w:rPr>
            </w:r>
          </w:p>
        </w:tc>
        <w:tc>
          <w:tcPr>
            <w:tcW w:w="8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640" w:bottom="1080" w:left="1160" w:right="400"/>
        </w:sectPr>
      </w:pPr>
    </w:p>
    <w:p>
      <w:pPr>
        <w:spacing w:line="240" w:lineRule="auto" w:before="11"/>
        <w:rPr>
          <w:rFonts w:ascii="宋体" w:hAnsi="宋体" w:cs="宋体" w:eastAsia="宋体" w:hint="default"/>
          <w:sz w:val="18"/>
          <w:szCs w:val="18"/>
        </w:rPr>
      </w:pPr>
    </w:p>
    <w:p>
      <w:pPr>
        <w:spacing w:before="36"/>
        <w:ind w:left="667" w:right="1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）按账龄分类</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339"/>
        <w:gridCol w:w="1250"/>
        <w:gridCol w:w="962"/>
        <w:gridCol w:w="1313"/>
        <w:gridCol w:w="1498"/>
        <w:gridCol w:w="1044"/>
        <w:gridCol w:w="1243"/>
      </w:tblGrid>
      <w:tr>
        <w:trPr>
          <w:trHeight w:val="449" w:hRule="exact"/>
        </w:trPr>
        <w:tc>
          <w:tcPr>
            <w:tcW w:w="1339"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26"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c>
          <w:tcPr>
            <w:tcW w:w="3785"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2008-12-31</w:t>
            </w:r>
          </w:p>
        </w:tc>
      </w:tr>
      <w:tr>
        <w:trPr>
          <w:trHeight w:val="451" w:hRule="exact"/>
        </w:trPr>
        <w:tc>
          <w:tcPr>
            <w:tcW w:w="1339" w:type="dxa"/>
            <w:vMerge/>
            <w:tcBorders>
              <w:left w:val="single" w:sz="4" w:space="0" w:color="000008"/>
              <w:right w:val="single" w:sz="4" w:space="0" w:color="000008"/>
            </w:tcBorders>
          </w:tcPr>
          <w:p>
            <w:pPr/>
          </w:p>
        </w:tc>
        <w:tc>
          <w:tcPr>
            <w:tcW w:w="221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13"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3"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1339" w:type="dxa"/>
            <w:vMerge/>
            <w:tcBorders>
              <w:left w:val="single" w:sz="4" w:space="0" w:color="000008"/>
              <w:bottom w:val="single" w:sz="4" w:space="0" w:color="000008"/>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13" w:type="dxa"/>
            <w:vMerge/>
            <w:tcBorders>
              <w:left w:val="single" w:sz="4" w:space="0" w:color="000008"/>
              <w:bottom w:val="single" w:sz="4" w:space="0" w:color="000008"/>
              <w:right w:val="single" w:sz="4" w:space="0" w:color="000008"/>
            </w:tcBorders>
          </w:tcPr>
          <w:p>
            <w:pPr/>
          </w:p>
        </w:tc>
        <w:tc>
          <w:tcPr>
            <w:tcW w:w="14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43" w:type="dxa"/>
            <w:vMerge/>
            <w:tcBorders>
              <w:left w:val="single" w:sz="4" w:space="0" w:color="000008"/>
              <w:bottom w:val="single" w:sz="4" w:space="0" w:color="000008"/>
              <w:right w:val="single" w:sz="4" w:space="0" w:color="000008"/>
            </w:tcBorders>
          </w:tcPr>
          <w:p>
            <w:pPr/>
          </w:p>
        </w:tc>
      </w:tr>
      <w:tr>
        <w:trPr>
          <w:trHeight w:val="451" w:hRule="exact"/>
        </w:trPr>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29,071,652.93</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52.77</w:t>
            </w:r>
          </w:p>
        </w:tc>
        <w:tc>
          <w:tcPr>
            <w:tcW w:w="13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145,644.45</w:t>
            </w:r>
          </w:p>
        </w:tc>
        <w:tc>
          <w:tcPr>
            <w:tcW w:w="14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47,916,575.41</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65.45</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240,204.82</w:t>
            </w:r>
          </w:p>
        </w:tc>
      </w:tr>
      <w:tr>
        <w:trPr>
          <w:trHeight w:val="449" w:hRule="exact"/>
        </w:trPr>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8,270,209.18</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15.01</w:t>
            </w:r>
          </w:p>
        </w:tc>
        <w:tc>
          <w:tcPr>
            <w:tcW w:w="13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599,466.80</w:t>
            </w:r>
          </w:p>
        </w:tc>
        <w:tc>
          <w:tcPr>
            <w:tcW w:w="14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10,161,389.51</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13.88</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1,494,008.78</w:t>
            </w:r>
          </w:p>
        </w:tc>
      </w:tr>
      <w:tr>
        <w:trPr>
          <w:trHeight w:val="451" w:hRule="exact"/>
        </w:trPr>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4,859,061.99</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8.82</w:t>
            </w:r>
          </w:p>
        </w:tc>
        <w:tc>
          <w:tcPr>
            <w:tcW w:w="13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1,165,446.22</w:t>
            </w:r>
          </w:p>
        </w:tc>
        <w:tc>
          <w:tcPr>
            <w:tcW w:w="14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5,898,819.26</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589,881.93</w:t>
            </w:r>
          </w:p>
        </w:tc>
      </w:tr>
      <w:tr>
        <w:trPr>
          <w:trHeight w:val="449" w:hRule="exact"/>
        </w:trPr>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5,406,988.73</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9.81</w:t>
            </w:r>
          </w:p>
        </w:tc>
        <w:tc>
          <w:tcPr>
            <w:tcW w:w="13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4,376,369.41</w:t>
            </w:r>
          </w:p>
        </w:tc>
        <w:tc>
          <w:tcPr>
            <w:tcW w:w="14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2,995,430.97</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4.09</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2,439,451.98</w:t>
            </w:r>
          </w:p>
        </w:tc>
      </w:tr>
      <w:tr>
        <w:trPr>
          <w:trHeight w:val="451" w:hRule="exact"/>
        </w:trPr>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7,487,116.05</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13.59</w:t>
            </w:r>
          </w:p>
        </w:tc>
        <w:tc>
          <w:tcPr>
            <w:tcW w:w="13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7,487,116.05</w:t>
            </w:r>
          </w:p>
        </w:tc>
        <w:tc>
          <w:tcPr>
            <w:tcW w:w="14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6,242,336.65</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8.52</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6,242,336.65</w:t>
            </w:r>
          </w:p>
        </w:tc>
      </w:tr>
      <w:tr>
        <w:trPr>
          <w:trHeight w:val="449" w:hRule="exact"/>
        </w:trPr>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55,095,028.88</w:t>
            </w:r>
            <w:r>
              <w:rPr>
                <w:rFonts w:ascii="Times New Roman"/>
                <w:spacing w:val="-1"/>
                <w:sz w:val="18"/>
              </w:rPr>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13,774,042.93</w:t>
            </w:r>
            <w:r>
              <w:rPr>
                <w:rFonts w:ascii="Times New Roman"/>
                <w:spacing w:val="-1"/>
                <w:sz w:val="18"/>
              </w:rPr>
            </w:r>
          </w:p>
        </w:tc>
        <w:tc>
          <w:tcPr>
            <w:tcW w:w="14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73,214,551.80</w:t>
            </w:r>
            <w:r>
              <w:rPr>
                <w:rFonts w:ascii="Times New Roman"/>
                <w:spacing w:val="-1"/>
                <w:sz w:val="18"/>
              </w:rPr>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2"/>
                <w:sz w:val="18"/>
              </w:rPr>
              <w:t>11,005,884.16</w:t>
            </w:r>
            <w:r>
              <w:rPr>
                <w:rFonts w:ascii="Times New Roman"/>
                <w:spacing w:val="-2"/>
                <w:sz w:val="18"/>
              </w:rPr>
            </w:r>
          </w:p>
        </w:tc>
      </w:tr>
    </w:tbl>
    <w:p>
      <w:pPr>
        <w:spacing w:line="240" w:lineRule="auto" w:before="8"/>
        <w:rPr>
          <w:rFonts w:ascii="宋体" w:hAnsi="宋体" w:cs="宋体" w:eastAsia="宋体" w:hint="default"/>
          <w:sz w:val="19"/>
          <w:szCs w:val="19"/>
        </w:rPr>
      </w:pPr>
    </w:p>
    <w:p>
      <w:pPr>
        <w:spacing w:before="0"/>
        <w:ind w:left="641" w:right="1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）期末单项金额重大或虽不重大但单独进行减值测试的应收账款坏账准备计提</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664"/>
        <w:gridCol w:w="1426"/>
        <w:gridCol w:w="1428"/>
        <w:gridCol w:w="1150"/>
        <w:gridCol w:w="2035"/>
      </w:tblGrid>
      <w:tr>
        <w:trPr>
          <w:trHeight w:val="451" w:hRule="exact"/>
        </w:trPr>
        <w:tc>
          <w:tcPr>
            <w:tcW w:w="26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8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0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49" w:hRule="exact"/>
        </w:trPr>
        <w:tc>
          <w:tcPr>
            <w:tcW w:w="26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2,497,647.84</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2,497,647.84</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100%</w:t>
            </w:r>
          </w:p>
        </w:tc>
        <w:tc>
          <w:tcPr>
            <w:tcW w:w="20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由于纠纷未能收回</w:t>
            </w:r>
          </w:p>
        </w:tc>
      </w:tr>
    </w:tbl>
    <w:p>
      <w:pPr>
        <w:spacing w:line="240" w:lineRule="auto" w:before="8"/>
        <w:rPr>
          <w:rFonts w:ascii="宋体" w:hAnsi="宋体" w:cs="宋体" w:eastAsia="宋体" w:hint="default"/>
          <w:sz w:val="19"/>
          <w:szCs w:val="19"/>
        </w:rPr>
      </w:pPr>
    </w:p>
    <w:p>
      <w:pPr>
        <w:spacing w:before="0"/>
        <w:ind w:left="641" w:right="1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）本报告期实际核销的应收账款情况</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088"/>
        <w:gridCol w:w="1471"/>
        <w:gridCol w:w="1063"/>
        <w:gridCol w:w="2698"/>
        <w:gridCol w:w="1270"/>
      </w:tblGrid>
      <w:tr>
        <w:trPr>
          <w:trHeight w:val="8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核销金额</w:t>
            </w:r>
          </w:p>
        </w:tc>
        <w:tc>
          <w:tcPr>
            <w:tcW w:w="26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39"/>
              <w:ind w:left="271" w:right="179" w:hanging="92"/>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451"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南昌农批市场蔬菜部</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6,000.00</w:t>
            </w:r>
          </w:p>
        </w:tc>
        <w:tc>
          <w:tcPr>
            <w:tcW w:w="26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年以上，预计收不回</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深圳市城市绿化一所</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3,969.00</w:t>
            </w:r>
          </w:p>
        </w:tc>
        <w:tc>
          <w:tcPr>
            <w:tcW w:w="26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年以上，预计收不回</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深圳市城市绿化三所</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12,072.50</w:t>
            </w:r>
          </w:p>
        </w:tc>
        <w:tc>
          <w:tcPr>
            <w:tcW w:w="26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年以上，预计收不回</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深圳市中心公园</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4,550.00</w:t>
            </w:r>
          </w:p>
        </w:tc>
        <w:tc>
          <w:tcPr>
            <w:tcW w:w="26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年以上，预计收不回</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71" w:type="dxa"/>
            <w:tcBorders>
              <w:top w:val="single" w:sz="4" w:space="0" w:color="000008"/>
              <w:left w:val="single" w:sz="4" w:space="0" w:color="000008"/>
              <w:bottom w:val="single" w:sz="4" w:space="0" w:color="000008"/>
              <w:right w:val="single" w:sz="4" w:space="0" w:color="000008"/>
            </w:tcBorders>
          </w:tcPr>
          <w:p>
            <w:pP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26,591.50</w:t>
            </w:r>
            <w:r>
              <w:rPr>
                <w:rFonts w:ascii="Times New Roman"/>
                <w:spacing w:val="-1"/>
                <w:sz w:val="18"/>
              </w:rPr>
            </w:r>
          </w:p>
        </w:tc>
        <w:tc>
          <w:tcPr>
            <w:tcW w:w="2698"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5"/>
        <w:rPr>
          <w:rFonts w:ascii="宋体" w:hAnsi="宋体" w:cs="宋体" w:eastAsia="宋体" w:hint="default"/>
          <w:sz w:val="19"/>
          <w:szCs w:val="19"/>
        </w:rPr>
      </w:pPr>
    </w:p>
    <w:p>
      <w:pPr>
        <w:spacing w:before="0"/>
        <w:ind w:left="641" w:right="1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334"/>
        <w:gridCol w:w="1476"/>
        <w:gridCol w:w="1250"/>
        <w:gridCol w:w="1099"/>
        <w:gridCol w:w="1517"/>
      </w:tblGrid>
      <w:tr>
        <w:trPr>
          <w:trHeight w:val="610"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517"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29"/>
              <w:ind w:left="168" w:right="168" w:firstLine="1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 总额的比例</w:t>
            </w:r>
            <w:r>
              <w:rPr>
                <w:rFonts w:ascii="Times New Roman" w:hAnsi="Times New Roman" w:cs="Times New Roman" w:eastAsia="Times New Roman" w:hint="default"/>
                <w:sz w:val="18"/>
                <w:szCs w:val="18"/>
              </w:rPr>
              <w:t>(%)</w:t>
            </w:r>
          </w:p>
        </w:tc>
      </w:tr>
      <w:tr>
        <w:trPr>
          <w:trHeight w:val="418"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深圳市民润农产品配送连锁商业公司</w:t>
            </w:r>
            <w:r>
              <w:rPr>
                <w:rFonts w:ascii="Times New Roman" w:hAnsi="Times New Roman" w:cs="Times New Roman" w:eastAsia="Times New Roman" w:hint="default"/>
                <w:sz w:val="18"/>
                <w:szCs w:val="18"/>
              </w:rPr>
              <w:t>*</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left="92" w:right="0"/>
              <w:jc w:val="center"/>
              <w:rPr>
                <w:rFonts w:ascii="Times New Roman" w:hAnsi="Times New Roman" w:cs="Times New Roman" w:eastAsia="Times New Roman" w:hint="default"/>
                <w:sz w:val="18"/>
                <w:szCs w:val="18"/>
              </w:rPr>
            </w:pPr>
            <w:r>
              <w:rPr>
                <w:rFonts w:ascii="Times New Roman"/>
                <w:sz w:val="18"/>
              </w:rPr>
              <w:t>3,880,260.60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7.04</w:t>
            </w:r>
          </w:p>
        </w:tc>
      </w:tr>
      <w:tr>
        <w:trPr>
          <w:trHeight w:val="410"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92" w:right="0"/>
              <w:jc w:val="center"/>
              <w:rPr>
                <w:rFonts w:ascii="Times New Roman" w:hAnsi="Times New Roman" w:cs="Times New Roman" w:eastAsia="Times New Roman" w:hint="default"/>
                <w:sz w:val="18"/>
                <w:szCs w:val="18"/>
              </w:rPr>
            </w:pPr>
            <w:r>
              <w:rPr>
                <w:rFonts w:ascii="Times New Roman"/>
                <w:sz w:val="18"/>
              </w:rPr>
              <w:t>2,497,647.84</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4.53</w:t>
            </w:r>
          </w:p>
        </w:tc>
      </w:tr>
      <w:tr>
        <w:trPr>
          <w:trHeight w:val="410"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山姆会员商店</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92" w:right="0"/>
              <w:jc w:val="center"/>
              <w:rPr>
                <w:rFonts w:ascii="Times New Roman" w:hAnsi="Times New Roman" w:cs="Times New Roman" w:eastAsia="Times New Roman" w:hint="default"/>
                <w:sz w:val="18"/>
                <w:szCs w:val="18"/>
              </w:rPr>
            </w:pPr>
            <w:r>
              <w:rPr>
                <w:rFonts w:ascii="Times New Roman"/>
                <w:sz w:val="18"/>
              </w:rPr>
              <w:t>1,725,863.89</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3.13</w:t>
            </w:r>
          </w:p>
        </w:tc>
      </w:tr>
      <w:tr>
        <w:trPr>
          <w:trHeight w:val="410"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深圳市联众食品有限公司</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92" w:right="0"/>
              <w:jc w:val="center"/>
              <w:rPr>
                <w:rFonts w:ascii="Times New Roman" w:hAnsi="Times New Roman" w:cs="Times New Roman" w:eastAsia="Times New Roman" w:hint="default"/>
                <w:sz w:val="18"/>
                <w:szCs w:val="18"/>
              </w:rPr>
            </w:pPr>
            <w:r>
              <w:rPr>
                <w:rFonts w:ascii="Times New Roman"/>
                <w:sz w:val="18"/>
              </w:rPr>
              <w:t>1,243,840.25</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2.26</w:t>
            </w:r>
          </w:p>
        </w:tc>
      </w:tr>
      <w:tr>
        <w:trPr>
          <w:trHeight w:val="418"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深圳天虹商场</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8"/>
              <w:ind w:left="92" w:right="0"/>
              <w:jc w:val="center"/>
              <w:rPr>
                <w:rFonts w:ascii="Times New Roman" w:hAnsi="Times New Roman" w:cs="Times New Roman" w:eastAsia="Times New Roman" w:hint="default"/>
                <w:sz w:val="18"/>
                <w:szCs w:val="18"/>
              </w:rPr>
            </w:pPr>
            <w:r>
              <w:rPr>
                <w:rFonts w:ascii="Times New Roman"/>
                <w:sz w:val="18"/>
              </w:rPr>
              <w:t>1,066,313.19</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1.94</w:t>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640" w:bottom="1080" w:left="1480" w:right="1500"/>
        </w:sectPr>
      </w:pPr>
    </w:p>
    <w:p>
      <w:pPr>
        <w:spacing w:line="240" w:lineRule="auto" w:before="13"/>
        <w:rPr>
          <w:rFonts w:ascii="宋体" w:hAnsi="宋体" w:cs="宋体" w:eastAsia="宋体" w:hint="default"/>
          <w:sz w:val="15"/>
          <w:szCs w:val="15"/>
        </w:rPr>
      </w:pPr>
    </w:p>
    <w:tbl>
      <w:tblPr>
        <w:tblW w:w="0" w:type="auto"/>
        <w:jc w:val="left"/>
        <w:tblInd w:w="186" w:type="dxa"/>
        <w:tblLayout w:type="fixed"/>
        <w:tblCellMar>
          <w:top w:w="0" w:type="dxa"/>
          <w:left w:w="0" w:type="dxa"/>
          <w:bottom w:w="0" w:type="dxa"/>
          <w:right w:w="0" w:type="dxa"/>
        </w:tblCellMar>
        <w:tblLook w:val="01E0"/>
      </w:tblPr>
      <w:tblGrid>
        <w:gridCol w:w="3334"/>
        <w:gridCol w:w="1476"/>
        <w:gridCol w:w="1250"/>
        <w:gridCol w:w="1097"/>
        <w:gridCol w:w="1519"/>
      </w:tblGrid>
      <w:tr>
        <w:trPr>
          <w:trHeight w:val="418"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13"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left="111" w:right="0"/>
              <w:jc w:val="left"/>
              <w:rPr>
                <w:rFonts w:ascii="Times New Roman" w:hAnsi="Times New Roman" w:cs="Times New Roman" w:eastAsia="Times New Roman" w:hint="default"/>
                <w:sz w:val="18"/>
                <w:szCs w:val="18"/>
              </w:rPr>
            </w:pPr>
            <w:r>
              <w:rPr>
                <w:rFonts w:ascii="Times New Roman"/>
                <w:b/>
                <w:sz w:val="18"/>
              </w:rPr>
              <w:t>10,413,925.77</w:t>
            </w:r>
            <w:r>
              <w:rPr>
                <w:rFonts w:ascii="Times New Roman"/>
                <w:sz w:val="18"/>
              </w:rPr>
            </w:r>
          </w:p>
        </w:tc>
        <w:tc>
          <w:tcPr>
            <w:tcW w:w="10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4"/>
              <w:jc w:val="right"/>
              <w:rPr>
                <w:rFonts w:ascii="Times New Roman" w:hAnsi="Times New Roman" w:cs="Times New Roman" w:eastAsia="Times New Roman" w:hint="default"/>
                <w:sz w:val="18"/>
                <w:szCs w:val="18"/>
              </w:rPr>
            </w:pPr>
            <w:r>
              <w:rPr>
                <w:rFonts w:ascii="Times New Roman"/>
                <w:b/>
                <w:spacing w:val="-1"/>
                <w:sz w:val="18"/>
              </w:rPr>
              <w:t>18.90</w:t>
            </w:r>
            <w:r>
              <w:rPr>
                <w:rFonts w:ascii="Times New Roman"/>
                <w:spacing w:val="-1"/>
                <w:sz w:val="18"/>
              </w:rPr>
            </w:r>
          </w:p>
        </w:tc>
      </w:tr>
    </w:tbl>
    <w:p>
      <w:pPr>
        <w:spacing w:line="240" w:lineRule="auto" w:before="3"/>
        <w:rPr>
          <w:rFonts w:ascii="宋体" w:hAnsi="宋体" w:cs="宋体" w:eastAsia="宋体" w:hint="default"/>
          <w:sz w:val="19"/>
          <w:szCs w:val="19"/>
        </w:rPr>
      </w:pPr>
    </w:p>
    <w:p>
      <w:pPr>
        <w:spacing w:before="36"/>
        <w:ind w:left="7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系子公司果菜公司下属果蔬经营部应收民润公司的货款。</w:t>
      </w:r>
    </w:p>
    <w:p>
      <w:pPr>
        <w:spacing w:line="240" w:lineRule="auto" w:before="1"/>
        <w:rPr>
          <w:rFonts w:ascii="宋体" w:hAnsi="宋体" w:cs="宋体" w:eastAsia="宋体" w:hint="default"/>
          <w:sz w:val="25"/>
          <w:szCs w:val="25"/>
        </w:rPr>
      </w:pPr>
    </w:p>
    <w:p>
      <w:pPr>
        <w:spacing w:before="0"/>
        <w:ind w:left="7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）应收账款期末余额中无持有公司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12"/>
        <w:rPr>
          <w:rFonts w:ascii="宋体" w:hAnsi="宋体" w:cs="宋体" w:eastAsia="宋体" w:hint="default"/>
          <w:sz w:val="24"/>
          <w:szCs w:val="24"/>
        </w:rPr>
      </w:pPr>
    </w:p>
    <w:p>
      <w:pPr>
        <w:spacing w:before="0"/>
        <w:ind w:left="7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）应收账款期末余额中关联方款项详见附注六、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240" w:lineRule="auto" w:before="1"/>
        <w:rPr>
          <w:rFonts w:ascii="宋体" w:hAnsi="宋体" w:cs="宋体" w:eastAsia="宋体" w:hint="default"/>
          <w:sz w:val="25"/>
          <w:szCs w:val="25"/>
        </w:rPr>
      </w:pPr>
    </w:p>
    <w:p>
      <w:pPr>
        <w:spacing w:before="0"/>
        <w:ind w:left="7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预付款项</w:t>
      </w:r>
    </w:p>
    <w:p>
      <w:pPr>
        <w:spacing w:line="240" w:lineRule="auto" w:before="1"/>
        <w:rPr>
          <w:rFonts w:ascii="宋体" w:hAnsi="宋体" w:cs="宋体" w:eastAsia="宋体" w:hint="default"/>
          <w:sz w:val="25"/>
          <w:szCs w:val="25"/>
        </w:rPr>
      </w:pPr>
    </w:p>
    <w:p>
      <w:pPr>
        <w:spacing w:before="0"/>
        <w:ind w:left="7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）按账龄分类</w:t>
      </w:r>
    </w:p>
    <w:p>
      <w:pPr>
        <w:spacing w:line="240" w:lineRule="auto" w:before="4"/>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1745"/>
        <w:gridCol w:w="1745"/>
        <w:gridCol w:w="1745"/>
        <w:gridCol w:w="1742"/>
        <w:gridCol w:w="1745"/>
      </w:tblGrid>
      <w:tr>
        <w:trPr>
          <w:trHeight w:val="410" w:hRule="exact"/>
        </w:trPr>
        <w:tc>
          <w:tcPr>
            <w:tcW w:w="1745" w:type="dxa"/>
            <w:vMerge w:val="restart"/>
            <w:tcBorders>
              <w:top w:val="single" w:sz="4" w:space="0" w:color="000008"/>
              <w:left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49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2009-12-31</w:t>
            </w:r>
          </w:p>
        </w:tc>
        <w:tc>
          <w:tcPr>
            <w:tcW w:w="348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410" w:hRule="exact"/>
        </w:trPr>
        <w:tc>
          <w:tcPr>
            <w:tcW w:w="1745" w:type="dxa"/>
            <w:vMerge/>
            <w:tcBorders>
              <w:left w:val="single" w:sz="4" w:space="0" w:color="000008"/>
              <w:bottom w:val="single" w:sz="4" w:space="0" w:color="000008"/>
              <w:right w:val="single" w:sz="4" w:space="0" w:color="000008"/>
            </w:tcBorders>
          </w:tcPr>
          <w:p>
            <w:pP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5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5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10"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282,467,019.79</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59.27</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190,686,718.76</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77.97</w:t>
            </w:r>
          </w:p>
        </w:tc>
      </w:tr>
      <w:tr>
        <w:trPr>
          <w:trHeight w:val="410"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172,452,622.76</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36.18</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50,993,646.25</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20.85</w:t>
            </w:r>
          </w:p>
        </w:tc>
      </w:tr>
      <w:tr>
        <w:trPr>
          <w:trHeight w:val="408"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19,870,448.95</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2,873,675.71</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w:t>
            </w:r>
          </w:p>
        </w:tc>
      </w:tr>
      <w:tr>
        <w:trPr>
          <w:trHeight w:val="410"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1,822,915.21</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0.38</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476,613,006.71</w:t>
            </w:r>
            <w:r>
              <w:rPr>
                <w:rFonts w:ascii="Times New Roman"/>
                <w:spacing w:val="-1"/>
                <w:sz w:val="18"/>
              </w:rPr>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244,554,040.72</w:t>
            </w:r>
            <w:r>
              <w:rPr>
                <w:rFonts w:ascii="Times New Roman"/>
                <w:spacing w:val="-1"/>
                <w:sz w:val="18"/>
              </w:rPr>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7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10"/>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916"/>
        <w:gridCol w:w="1342"/>
        <w:gridCol w:w="823"/>
        <w:gridCol w:w="1435"/>
        <w:gridCol w:w="2143"/>
        <w:gridCol w:w="1274"/>
      </w:tblGrid>
      <w:tr>
        <w:trPr>
          <w:trHeight w:val="451" w:hRule="exact"/>
        </w:trPr>
        <w:tc>
          <w:tcPr>
            <w:tcW w:w="29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预付时间</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49" w:hRule="exact"/>
        </w:trPr>
        <w:tc>
          <w:tcPr>
            <w:tcW w:w="29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南宁市土地交易中心</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206,802,552.00</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43.39</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451" w:hRule="exact"/>
        </w:trPr>
        <w:tc>
          <w:tcPr>
            <w:tcW w:w="29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深圳市农科房地产开发公司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79,229,160.00</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16.62</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449" w:hRule="exact"/>
        </w:trPr>
        <w:tc>
          <w:tcPr>
            <w:tcW w:w="29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云南保升龙糖业有限公司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30,000,000.00</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尚未收货</w:t>
            </w:r>
          </w:p>
        </w:tc>
      </w:tr>
      <w:tr>
        <w:trPr>
          <w:trHeight w:val="451" w:hRule="exact"/>
        </w:trPr>
        <w:tc>
          <w:tcPr>
            <w:tcW w:w="29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农产品交易中心股份有限公司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30,761,900.00</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6.45</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拟设立子公司</w:t>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预付投资款</w:t>
            </w:r>
          </w:p>
        </w:tc>
      </w:tr>
      <w:tr>
        <w:trPr>
          <w:trHeight w:val="449" w:hRule="exact"/>
        </w:trPr>
        <w:tc>
          <w:tcPr>
            <w:tcW w:w="29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深圳市百旺信投资有限责任公司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19,760,000.00</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4.15</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子公司股东</w:t>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451" w:hRule="exact"/>
        </w:trPr>
        <w:tc>
          <w:tcPr>
            <w:tcW w:w="29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366,553,612.00</w:t>
            </w:r>
            <w:r>
              <w:rPr>
                <w:rFonts w:ascii="Times New Roman"/>
                <w:spacing w:val="-1"/>
                <w:sz w:val="18"/>
              </w:rPr>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76.90</w:t>
            </w:r>
            <w:r>
              <w:rPr>
                <w:rFonts w:ascii="Times New Roman"/>
                <w:spacing w:val="-1"/>
                <w:sz w:val="18"/>
              </w:rPr>
            </w:r>
          </w:p>
        </w:tc>
        <w:tc>
          <w:tcPr>
            <w:tcW w:w="1435" w:type="dxa"/>
            <w:tcBorders>
              <w:top w:val="single" w:sz="4" w:space="0" w:color="000008"/>
              <w:left w:val="single" w:sz="4" w:space="0" w:color="000008"/>
              <w:bottom w:val="single" w:sz="4" w:space="0" w:color="000008"/>
              <w:right w:val="single" w:sz="4" w:space="0" w:color="000008"/>
            </w:tcBorders>
          </w:tcPr>
          <w:p>
            <w:pPr/>
          </w:p>
        </w:tc>
        <w:tc>
          <w:tcPr>
            <w:tcW w:w="2143" w:type="dxa"/>
            <w:tcBorders>
              <w:top w:val="single" w:sz="4" w:space="0" w:color="000008"/>
              <w:left w:val="single" w:sz="4" w:space="0" w:color="000008"/>
              <w:bottom w:val="single" w:sz="4" w:space="0" w:color="000008"/>
              <w:right w:val="single" w:sz="4" w:space="0" w:color="000008"/>
            </w:tcBorders>
          </w:tcPr>
          <w:p>
            <w:pPr/>
          </w:p>
        </w:tc>
        <w:tc>
          <w:tcPr>
            <w:tcW w:w="1274"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13"/>
        <w:rPr>
          <w:rFonts w:ascii="宋体" w:hAnsi="宋体" w:cs="宋体" w:eastAsia="宋体" w:hint="default"/>
          <w:sz w:val="23"/>
          <w:szCs w:val="23"/>
        </w:rPr>
      </w:pPr>
    </w:p>
    <w:p>
      <w:pPr>
        <w:spacing w:before="0"/>
        <w:ind w:left="685"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）预付账款期末余额中无预付持有公司</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9"/>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）以上表决权股份的股东单位款项</w:t>
      </w:r>
      <w:r>
        <w:rPr>
          <w:rFonts w:ascii="宋体" w:hAnsi="宋体" w:cs="宋体" w:eastAsia="宋体" w:hint="default"/>
          <w:spacing w:val="-78"/>
          <w:sz w:val="21"/>
          <w:szCs w:val="21"/>
        </w:rPr>
        <w:t> </w:t>
      </w:r>
      <w:r>
        <w:rPr>
          <w:rFonts w:ascii="宋体" w:hAnsi="宋体" w:cs="宋体" w:eastAsia="宋体" w:hint="default"/>
          <w:sz w:val="21"/>
          <w:szCs w:val="21"/>
        </w:rPr>
        <w:t>。</w:t>
      </w:r>
    </w:p>
    <w:p>
      <w:pPr>
        <w:spacing w:line="240" w:lineRule="auto" w:before="12"/>
        <w:rPr>
          <w:rFonts w:ascii="宋体" w:hAnsi="宋体" w:cs="宋体" w:eastAsia="宋体" w:hint="default"/>
          <w:sz w:val="24"/>
          <w:szCs w:val="24"/>
        </w:rPr>
      </w:pPr>
    </w:p>
    <w:p>
      <w:pPr>
        <w:spacing w:line="364" w:lineRule="auto" w:before="0"/>
        <w:ind w:left="301"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）预付账款期末余额中预付深圳市农产品交易中心股份有限公司款项为设立该公司投</w:t>
      </w:r>
      <w:r>
        <w:rPr>
          <w:rFonts w:ascii="宋体" w:hAnsi="宋体" w:cs="宋体" w:eastAsia="宋体" w:hint="default"/>
          <w:w w:val="100"/>
          <w:sz w:val="21"/>
          <w:szCs w:val="21"/>
        </w:rPr>
        <w:t> </w:t>
      </w:r>
      <w:r>
        <w:rPr>
          <w:rFonts w:ascii="宋体" w:hAnsi="宋体" w:cs="宋体" w:eastAsia="宋体" w:hint="default"/>
          <w:sz w:val="21"/>
          <w:szCs w:val="21"/>
        </w:rPr>
        <w:t>入的注册资金，期末正在办理工商登记。除此，无预付关联方款项。</w:t>
      </w:r>
    </w:p>
    <w:p>
      <w:pPr>
        <w:spacing w:after="0" w:line="364" w:lineRule="auto"/>
        <w:jc w:val="left"/>
        <w:rPr>
          <w:rFonts w:ascii="宋体" w:hAnsi="宋体" w:cs="宋体" w:eastAsia="宋体" w:hint="default"/>
          <w:sz w:val="21"/>
          <w:szCs w:val="21"/>
        </w:rPr>
        <w:sectPr>
          <w:pgSz w:w="11910" w:h="16840"/>
          <w:pgMar w:header="943" w:footer="897" w:top="1640" w:bottom="1080" w:left="1400" w:right="340"/>
        </w:sectPr>
      </w:pPr>
    </w:p>
    <w:p>
      <w:pPr>
        <w:spacing w:line="240" w:lineRule="auto" w:before="6"/>
        <w:rPr>
          <w:rFonts w:ascii="宋体" w:hAnsi="宋体" w:cs="宋体" w:eastAsia="宋体" w:hint="default"/>
          <w:sz w:val="23"/>
          <w:szCs w:val="23"/>
        </w:rPr>
      </w:pPr>
    </w:p>
    <w:p>
      <w:pPr>
        <w:spacing w:before="36"/>
        <w:ind w:left="6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其他应收款</w:t>
      </w:r>
    </w:p>
    <w:p>
      <w:pPr>
        <w:spacing w:line="240" w:lineRule="auto" w:before="1"/>
        <w:rPr>
          <w:rFonts w:ascii="宋体" w:hAnsi="宋体" w:cs="宋体" w:eastAsia="宋体" w:hint="default"/>
          <w:sz w:val="25"/>
          <w:szCs w:val="25"/>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3"/>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486"/>
        <w:gridCol w:w="1342"/>
        <w:gridCol w:w="710"/>
        <w:gridCol w:w="1342"/>
        <w:gridCol w:w="727"/>
        <w:gridCol w:w="1339"/>
        <w:gridCol w:w="713"/>
        <w:gridCol w:w="1339"/>
        <w:gridCol w:w="713"/>
      </w:tblGrid>
      <w:tr>
        <w:trPr>
          <w:trHeight w:val="450" w:hRule="exact"/>
        </w:trPr>
        <w:tc>
          <w:tcPr>
            <w:tcW w:w="1486"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121"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c>
          <w:tcPr>
            <w:tcW w:w="4104"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2008-12-31</w:t>
            </w:r>
          </w:p>
        </w:tc>
      </w:tr>
      <w:tr>
        <w:trPr>
          <w:trHeight w:val="451" w:hRule="exact"/>
        </w:trPr>
        <w:tc>
          <w:tcPr>
            <w:tcW w:w="1486" w:type="dxa"/>
            <w:vMerge/>
            <w:tcBorders>
              <w:left w:val="single" w:sz="4" w:space="0" w:color="000008"/>
              <w:right w:val="single" w:sz="4" w:space="0" w:color="000008"/>
            </w:tcBorders>
          </w:tcPr>
          <w:p>
            <w:pPr/>
          </w:p>
        </w:tc>
        <w:tc>
          <w:tcPr>
            <w:tcW w:w="205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6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69"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6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6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6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1486" w:type="dxa"/>
            <w:vMerge/>
            <w:tcBorders>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7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37"/>
              <w:ind w:right="5"/>
              <w:jc w:val="left"/>
              <w:rPr>
                <w:rFonts w:ascii="宋体" w:hAnsi="宋体" w:cs="宋体" w:eastAsia="宋体" w:hint="default"/>
                <w:sz w:val="18"/>
                <w:szCs w:val="18"/>
              </w:rPr>
            </w:pPr>
            <w:r>
              <w:rPr>
                <w:rFonts w:ascii="宋体" w:hAnsi="宋体" w:cs="宋体" w:eastAsia="宋体" w:hint="default"/>
                <w:spacing w:val="3"/>
                <w:sz w:val="18"/>
                <w:szCs w:val="18"/>
              </w:rPr>
              <w:t>单项金额重大的其</w:t>
            </w:r>
            <w:r>
              <w:rPr>
                <w:rFonts w:ascii="宋体" w:hAnsi="宋体" w:cs="宋体" w:eastAsia="宋体" w:hint="default"/>
                <w:sz w:val="18"/>
                <w:szCs w:val="18"/>
              </w:rPr>
              <w:t> 他应收款</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297,840,369.59</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91.65</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213,645,191.32</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95.61</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290,454,412.88</w:t>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74.80</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125,518,955.89</w:t>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93.23</w:t>
            </w:r>
          </w:p>
        </w:tc>
      </w:tr>
      <w:tr>
        <w:trPr>
          <w:trHeight w:val="1210" w:hRule="exact"/>
        </w:trPr>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37"/>
              <w:ind w:right="5"/>
              <w:jc w:val="both"/>
              <w:rPr>
                <w:rFonts w:ascii="宋体" w:hAnsi="宋体" w:cs="宋体" w:eastAsia="宋体" w:hint="default"/>
                <w:sz w:val="18"/>
                <w:szCs w:val="18"/>
              </w:rPr>
            </w:pPr>
            <w:r>
              <w:rPr>
                <w:rFonts w:ascii="宋体" w:hAnsi="宋体" w:cs="宋体" w:eastAsia="宋体" w:hint="default"/>
                <w:spacing w:val="3"/>
                <w:sz w:val="18"/>
                <w:szCs w:val="18"/>
              </w:rPr>
              <w:t>单项金额不重大但</w:t>
            </w:r>
            <w:r>
              <w:rPr>
                <w:rFonts w:ascii="宋体" w:hAnsi="宋体" w:cs="宋体" w:eastAsia="宋体" w:hint="default"/>
                <w:sz w:val="18"/>
                <w:szCs w:val="18"/>
              </w:rPr>
              <w:t> </w:t>
            </w:r>
            <w:r>
              <w:rPr>
                <w:rFonts w:ascii="宋体" w:hAnsi="宋体" w:cs="宋体" w:eastAsia="宋体" w:hint="default"/>
                <w:spacing w:val="3"/>
                <w:sz w:val="18"/>
                <w:szCs w:val="18"/>
              </w:rPr>
              <w:t>按信用风险特征组</w:t>
            </w:r>
            <w:r>
              <w:rPr>
                <w:rFonts w:ascii="宋体" w:hAnsi="宋体" w:cs="宋体" w:eastAsia="宋体" w:hint="default"/>
                <w:sz w:val="18"/>
                <w:szCs w:val="18"/>
              </w:rPr>
              <w:t> </w:t>
            </w:r>
            <w:r>
              <w:rPr>
                <w:rFonts w:ascii="宋体" w:hAnsi="宋体" w:cs="宋体" w:eastAsia="宋体" w:hint="default"/>
                <w:spacing w:val="3"/>
                <w:sz w:val="18"/>
                <w:szCs w:val="18"/>
              </w:rPr>
              <w:t>合后该组合的风险</w:t>
            </w:r>
            <w:r>
              <w:rPr>
                <w:rFonts w:ascii="宋体" w:hAnsi="宋体" w:cs="宋体" w:eastAsia="宋体" w:hint="default"/>
                <w:sz w:val="18"/>
                <w:szCs w:val="18"/>
              </w:rPr>
              <w:t> 较大的其他应收款</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8,727,114.87</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8,423,750.74</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3.77</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8,880,416.14</w:t>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8,154,815.15</w:t>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6.06</w:t>
            </w:r>
          </w:p>
        </w:tc>
      </w:tr>
      <w:tr>
        <w:trPr>
          <w:trHeight w:val="610" w:hRule="exact"/>
        </w:trPr>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39"/>
              <w:ind w:right="5"/>
              <w:jc w:val="left"/>
              <w:rPr>
                <w:rFonts w:ascii="宋体" w:hAnsi="宋体" w:cs="宋体" w:eastAsia="宋体" w:hint="default"/>
                <w:sz w:val="18"/>
                <w:szCs w:val="18"/>
              </w:rPr>
            </w:pPr>
            <w:r>
              <w:rPr>
                <w:rFonts w:ascii="宋体" w:hAnsi="宋体" w:cs="宋体" w:eastAsia="宋体" w:hint="default"/>
                <w:spacing w:val="3"/>
                <w:sz w:val="18"/>
                <w:szCs w:val="18"/>
              </w:rPr>
              <w:t>其他不重大其他应</w:t>
            </w:r>
            <w:r>
              <w:rPr>
                <w:rFonts w:ascii="宋体" w:hAnsi="宋体" w:cs="宋体" w:eastAsia="宋体" w:hint="default"/>
                <w:sz w:val="18"/>
                <w:szCs w:val="18"/>
              </w:rPr>
              <w:t> 收款</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18,380,055.95</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1,375,730.70</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0.62</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88,969,469.70</w:t>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22.91</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964,072.26</w:t>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0.71</w:t>
            </w:r>
          </w:p>
        </w:tc>
      </w:tr>
      <w:tr>
        <w:trPr>
          <w:trHeight w:val="451" w:hRule="exact"/>
        </w:trPr>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324,947,540.41</w:t>
            </w:r>
            <w:r>
              <w:rPr>
                <w:rFonts w:ascii="Times New Roman"/>
                <w:spacing w:val="-1"/>
                <w:sz w:val="18"/>
              </w:rPr>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223,444,672.76</w:t>
            </w:r>
            <w:r>
              <w:rPr>
                <w:rFonts w:ascii="Times New Roman"/>
                <w:spacing w:val="-1"/>
                <w:sz w:val="18"/>
              </w:rPr>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388,304,298.72</w:t>
            </w:r>
            <w:r>
              <w:rPr>
                <w:rFonts w:ascii="Times New Roman"/>
                <w:spacing w:val="-1"/>
                <w:sz w:val="18"/>
              </w:rPr>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134,637,843.30</w:t>
            </w:r>
            <w:r>
              <w:rPr>
                <w:rFonts w:ascii="Times New Roman"/>
                <w:spacing w:val="-1"/>
                <w:sz w:val="18"/>
              </w:rPr>
            </w:r>
          </w:p>
        </w:tc>
        <w:tc>
          <w:tcPr>
            <w:tcW w:w="7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）按账龄分类</w:t>
      </w:r>
    </w:p>
    <w:p>
      <w:pPr>
        <w:spacing w:line="240" w:lineRule="auto" w:before="10"/>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116"/>
        <w:gridCol w:w="1342"/>
        <w:gridCol w:w="1118"/>
        <w:gridCol w:w="1342"/>
        <w:gridCol w:w="1342"/>
        <w:gridCol w:w="1121"/>
        <w:gridCol w:w="1342"/>
      </w:tblGrid>
      <w:tr>
        <w:trPr>
          <w:trHeight w:val="449" w:hRule="exact"/>
        </w:trPr>
        <w:tc>
          <w:tcPr>
            <w:tcW w:w="1116"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02"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2009-12-31</w:t>
            </w:r>
          </w:p>
        </w:tc>
        <w:tc>
          <w:tcPr>
            <w:tcW w:w="3804"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2008-12-31</w:t>
            </w:r>
          </w:p>
        </w:tc>
      </w:tr>
      <w:tr>
        <w:trPr>
          <w:trHeight w:val="451" w:hRule="exact"/>
        </w:trPr>
        <w:tc>
          <w:tcPr>
            <w:tcW w:w="1116" w:type="dxa"/>
            <w:vMerge/>
            <w:tcBorders>
              <w:left w:val="single" w:sz="4" w:space="0" w:color="000008"/>
              <w:right w:val="single" w:sz="4" w:space="0" w:color="000008"/>
            </w:tcBorders>
          </w:tcPr>
          <w:p>
            <w:pPr/>
          </w:p>
        </w:tc>
        <w:tc>
          <w:tcPr>
            <w:tcW w:w="24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6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1116" w:type="dxa"/>
            <w:vMerge/>
            <w:tcBorders>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42" w:type="dxa"/>
            <w:vMerge/>
            <w:tcBorders>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42" w:type="dxa"/>
            <w:vMerge/>
            <w:tcBorders>
              <w:left w:val="single" w:sz="4" w:space="0" w:color="000008"/>
              <w:bottom w:val="single" w:sz="4" w:space="0" w:color="000008"/>
              <w:right w:val="single" w:sz="4" w:space="0" w:color="000008"/>
            </w:tcBorders>
          </w:tcPr>
          <w:p>
            <w:pPr/>
          </w:p>
        </w:tc>
      </w:tr>
      <w:tr>
        <w:trPr>
          <w:trHeight w:val="451" w:hRule="exact"/>
        </w:trPr>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83,831,976.58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7,949,352.57</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141,055,466.11</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36.33</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705,277.33</w:t>
            </w:r>
          </w:p>
        </w:tc>
      </w:tr>
      <w:tr>
        <w:trPr>
          <w:trHeight w:val="449" w:hRule="exact"/>
        </w:trPr>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24,451,880.46</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7.52</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12,047,568.07</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129,931,520.95</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33.46</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53,866,011.89</w:t>
            </w:r>
          </w:p>
        </w:tc>
      </w:tr>
      <w:tr>
        <w:trPr>
          <w:trHeight w:val="451" w:hRule="exact"/>
        </w:trPr>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116,489,127.07</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35.85</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109,078,784.82</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60,702,965.38</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15.63</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27,051,698.84</w:t>
            </w:r>
          </w:p>
        </w:tc>
      </w:tr>
      <w:tr>
        <w:trPr>
          <w:trHeight w:val="449" w:hRule="exact"/>
        </w:trPr>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50,561,159.71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15.56</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44,755,570.71</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17,997,455.18</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4.63</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14,397,964.14</w:t>
            </w:r>
          </w:p>
        </w:tc>
      </w:tr>
      <w:tr>
        <w:trPr>
          <w:trHeight w:val="451" w:hRule="exact"/>
        </w:trPr>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49,613,396.59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15.27</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49,613,396.59</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38,616,891.10</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9.95</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38,616,891.10</w:t>
            </w:r>
          </w:p>
        </w:tc>
      </w:tr>
      <w:tr>
        <w:trPr>
          <w:trHeight w:val="449" w:hRule="exact"/>
        </w:trPr>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right="37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324,947,540.41</w:t>
            </w:r>
            <w:r>
              <w:rPr>
                <w:rFonts w:ascii="Times New Roman"/>
                <w:spacing w:val="-1"/>
                <w:sz w:val="18"/>
              </w:rPr>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223,444,672.76</w:t>
            </w:r>
            <w:r>
              <w:rPr>
                <w:rFonts w:ascii="Times New Roman"/>
                <w:spacing w:val="-1"/>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388,304,298.72</w:t>
            </w:r>
            <w:r>
              <w:rPr>
                <w:rFonts w:ascii="Times New Roman"/>
                <w:spacing w:val="-1"/>
                <w:sz w:val="18"/>
              </w:rPr>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134,637,843.30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640" w:bottom="1080" w:left="1440" w:right="520"/>
        </w:sectPr>
      </w:pPr>
    </w:p>
    <w:p>
      <w:pPr>
        <w:spacing w:line="240" w:lineRule="auto" w:before="11"/>
        <w:rPr>
          <w:rFonts w:ascii="宋体" w:hAnsi="宋体" w:cs="宋体" w:eastAsia="宋体" w:hint="default"/>
          <w:sz w:val="18"/>
          <w:szCs w:val="18"/>
        </w:rPr>
      </w:pPr>
    </w:p>
    <w:p>
      <w:pPr>
        <w:spacing w:before="36"/>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）期末单项金额重大或虽不重大但单独进行减值测试的其他应收款坏账准备计提</w:t>
      </w:r>
    </w:p>
    <w:p>
      <w:pPr>
        <w:spacing w:line="240" w:lineRule="auto" w:before="10"/>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3192"/>
        <w:gridCol w:w="1342"/>
        <w:gridCol w:w="1339"/>
        <w:gridCol w:w="667"/>
        <w:gridCol w:w="2688"/>
      </w:tblGrid>
      <w:tr>
        <w:trPr>
          <w:trHeight w:val="73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6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19"/>
              <w:ind w:left="148" w:right="14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7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4"/>
              <w:jc w:val="right"/>
              <w:rPr>
                <w:rFonts w:ascii="Times New Roman" w:hAnsi="Times New Roman" w:cs="Times New Roman" w:eastAsia="Times New Roman" w:hint="default"/>
                <w:sz w:val="18"/>
                <w:szCs w:val="18"/>
              </w:rPr>
            </w:pPr>
            <w:r>
              <w:rPr>
                <w:rFonts w:ascii="Times New Roman"/>
                <w:spacing w:val="-1"/>
                <w:sz w:val="18"/>
              </w:rPr>
              <w:t>26,481,211.20</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26,481,211.20</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资不抵债，预计无法收回</w:t>
            </w:r>
          </w:p>
        </w:tc>
      </w:tr>
      <w:tr>
        <w:trPr>
          <w:trHeight w:val="37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621,000.00</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72"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142,741,972.95</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142,741,972.95</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资不抵债，预计无法收回</w:t>
            </w:r>
          </w:p>
        </w:tc>
      </w:tr>
      <w:tr>
        <w:trPr>
          <w:trHeight w:val="37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5,460,553.08</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5,460,553.08</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年以上，预计无法收回</w:t>
            </w:r>
          </w:p>
        </w:tc>
      </w:tr>
      <w:tr>
        <w:trPr>
          <w:trHeight w:val="37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深圳长江兴业发展公司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5,364,433.00</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5,364,433.00</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年以上，预计无法收回</w:t>
            </w:r>
          </w:p>
        </w:tc>
      </w:tr>
      <w:tr>
        <w:trPr>
          <w:trHeight w:val="37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7,213,813.76</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7,213,813.76</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年以上，预计无法收回</w:t>
            </w:r>
          </w:p>
        </w:tc>
      </w:tr>
      <w:tr>
        <w:trPr>
          <w:trHeight w:val="37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深圳市乡企投资公司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2,632,522.00</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2,632,522.00</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年以上，预计无法收回</w:t>
            </w:r>
          </w:p>
        </w:tc>
      </w:tr>
      <w:tr>
        <w:trPr>
          <w:trHeight w:val="37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果菜公司物业部经营租赁户</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1,596,675.80</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1,596,675.80</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年以上，预计无法收回</w:t>
            </w:r>
          </w:p>
        </w:tc>
      </w:tr>
      <w:tr>
        <w:trPr>
          <w:trHeight w:val="372"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深圳市凌阳</w:t>
            </w:r>
            <w:r>
              <w:rPr>
                <w:rFonts w:ascii="Times New Roman" w:hAnsi="Times New Roman" w:cs="Times New Roman" w:eastAsia="Times New Roman" w:hint="default"/>
                <w:sz w:val="18"/>
                <w:szCs w:val="18"/>
              </w:rPr>
              <w:t>-</w:t>
            </w:r>
            <w:r>
              <w:rPr>
                <w:rFonts w:ascii="宋体" w:hAnsi="宋体" w:cs="宋体" w:eastAsia="宋体" w:hint="default"/>
                <w:sz w:val="18"/>
                <w:szCs w:val="18"/>
              </w:rPr>
              <w:t>水指有限公司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1,181,573.72</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1,181,573.72</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年以上，预计无法收回</w:t>
            </w:r>
          </w:p>
        </w:tc>
      </w:tr>
      <w:tr>
        <w:trPr>
          <w:trHeight w:val="37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中粮粮油进出口公司</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1,167,045.48</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1,167,045.48</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32" w:right="0"/>
              <w:jc w:val="center"/>
              <w:rPr>
                <w:rFonts w:ascii="Times New Roman" w:hAnsi="Times New Roman" w:cs="Times New Roman" w:eastAsia="Times New Roman" w:hint="default"/>
                <w:sz w:val="18"/>
                <w:szCs w:val="18"/>
              </w:rPr>
            </w:pPr>
            <w:r>
              <w:rPr>
                <w:rFonts w:ascii="Times New Roman"/>
                <w:sz w:val="18"/>
              </w:rPr>
              <w:t>100%</w:t>
            </w:r>
          </w:p>
        </w:tc>
        <w:tc>
          <w:tcPr>
            <w:tcW w:w="26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年以上，预计无法收回</w:t>
            </w:r>
          </w:p>
        </w:tc>
      </w:tr>
      <w:tr>
        <w:trPr>
          <w:trHeight w:val="370" w:hRule="exact"/>
        </w:trPr>
        <w:tc>
          <w:tcPr>
            <w:tcW w:w="31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194,460,800.99</w:t>
            </w:r>
            <w:r>
              <w:rPr>
                <w:rFonts w:ascii="Times New Roman"/>
                <w:spacing w:val="-1"/>
                <w:sz w:val="18"/>
              </w:rPr>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1"/>
                <w:sz w:val="18"/>
              </w:rPr>
              <w:t>194,460,800.99</w:t>
            </w:r>
            <w:r>
              <w:rPr>
                <w:rFonts w:ascii="Times New Roman"/>
                <w:spacing w:val="-1"/>
                <w:sz w:val="18"/>
              </w:rPr>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15"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2688"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5"/>
        <w:rPr>
          <w:rFonts w:ascii="宋体" w:hAnsi="宋体" w:cs="宋体" w:eastAsia="宋体" w:hint="default"/>
          <w:sz w:val="19"/>
          <w:szCs w:val="19"/>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）本报告期实际核销的其他应收款情况</w:t>
      </w:r>
    </w:p>
    <w:p>
      <w:pPr>
        <w:spacing w:line="240" w:lineRule="auto" w:before="10"/>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944"/>
        <w:gridCol w:w="1716"/>
        <w:gridCol w:w="1183"/>
        <w:gridCol w:w="1968"/>
        <w:gridCol w:w="1910"/>
      </w:tblGrid>
      <w:tr>
        <w:trPr>
          <w:trHeight w:val="350" w:hRule="exact"/>
        </w:trPr>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60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2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9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61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689" w:hRule="exact"/>
        </w:trPr>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深圳市倜拓实业公司</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承包金</w:t>
            </w: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347,500.00</w:t>
            </w:r>
          </w:p>
        </w:tc>
        <w:tc>
          <w:tcPr>
            <w:tcW w:w="1968" w:type="dxa"/>
            <w:tcBorders>
              <w:top w:val="single" w:sz="4" w:space="0" w:color="000008"/>
              <w:left w:val="single" w:sz="4" w:space="0" w:color="000008"/>
              <w:bottom w:val="single" w:sz="4" w:space="0" w:color="000008"/>
              <w:right w:val="single" w:sz="4" w:space="0" w:color="000008"/>
            </w:tcBorders>
          </w:tcPr>
          <w:p>
            <w:pPr>
              <w:pStyle w:val="TableParagraph"/>
              <w:spacing w:line="340" w:lineRule="exact" w:before="16"/>
              <w:ind w:right="10"/>
              <w:jc w:val="left"/>
              <w:rPr>
                <w:rFonts w:ascii="宋体" w:hAnsi="宋体" w:cs="宋体" w:eastAsia="宋体" w:hint="default"/>
                <w:sz w:val="18"/>
                <w:szCs w:val="18"/>
              </w:rPr>
            </w:pPr>
            <w:r>
              <w:rPr>
                <w:rFonts w:ascii="宋体" w:hAnsi="宋体" w:cs="宋体" w:eastAsia="宋体" w:hint="default"/>
                <w:spacing w:val="14"/>
                <w:sz w:val="18"/>
                <w:szCs w:val="18"/>
              </w:rPr>
              <w:t>本期对倜拓公司进行了</w:t>
            </w:r>
            <w:r>
              <w:rPr>
                <w:rFonts w:ascii="宋体" w:hAnsi="宋体" w:cs="宋体" w:eastAsia="宋体" w:hint="default"/>
                <w:sz w:val="18"/>
                <w:szCs w:val="18"/>
              </w:rPr>
              <w:t> 清算，已无法收回</w:t>
            </w:r>
          </w:p>
        </w:tc>
        <w:tc>
          <w:tcPr>
            <w:tcW w:w="1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91" w:hRule="exact"/>
        </w:trPr>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338" w:lineRule="exact" w:before="20"/>
              <w:ind w:left="105" w:right="110"/>
              <w:jc w:val="left"/>
              <w:rPr>
                <w:rFonts w:ascii="宋体" w:hAnsi="宋体" w:cs="宋体" w:eastAsia="宋体" w:hint="default"/>
                <w:sz w:val="18"/>
                <w:szCs w:val="18"/>
              </w:rPr>
            </w:pPr>
            <w:r>
              <w:rPr>
                <w:rFonts w:ascii="宋体" w:hAnsi="宋体" w:cs="宋体" w:eastAsia="宋体" w:hint="default"/>
                <w:spacing w:val="10"/>
                <w:sz w:val="18"/>
                <w:szCs w:val="18"/>
              </w:rPr>
              <w:t>深圳市民润农产品配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送连锁商业有限公司</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5,150,292.00</w:t>
            </w:r>
          </w:p>
        </w:tc>
        <w:tc>
          <w:tcPr>
            <w:tcW w:w="19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6" w:type="dxa"/>
            <w:tcBorders>
              <w:top w:val="single" w:sz="4" w:space="0" w:color="000008"/>
              <w:left w:val="single" w:sz="4" w:space="0" w:color="000008"/>
              <w:bottom w:val="single" w:sz="4" w:space="0" w:color="000008"/>
              <w:right w:val="single" w:sz="4" w:space="0" w:color="000008"/>
            </w:tcBorders>
          </w:tcPr>
          <w:p>
            <w:pP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b/>
                <w:spacing w:val="-1"/>
                <w:sz w:val="18"/>
              </w:rPr>
              <w:t>5,497,792.00</w:t>
            </w:r>
            <w:r>
              <w:rPr>
                <w:rFonts w:ascii="Times New Roman"/>
                <w:spacing w:val="-1"/>
                <w:sz w:val="18"/>
              </w:rPr>
            </w:r>
          </w:p>
        </w:tc>
        <w:tc>
          <w:tcPr>
            <w:tcW w:w="1968" w:type="dxa"/>
            <w:tcBorders>
              <w:top w:val="single" w:sz="4" w:space="0" w:color="000008"/>
              <w:left w:val="single" w:sz="4" w:space="0" w:color="000008"/>
              <w:bottom w:val="single" w:sz="4" w:space="0" w:color="000008"/>
              <w:right w:val="single" w:sz="4" w:space="0" w:color="000008"/>
            </w:tcBorders>
          </w:tcPr>
          <w:p>
            <w:pPr/>
          </w:p>
        </w:tc>
        <w:tc>
          <w:tcPr>
            <w:tcW w:w="1910" w:type="dxa"/>
            <w:tcBorders>
              <w:top w:val="single" w:sz="4" w:space="0" w:color="000008"/>
              <w:left w:val="single" w:sz="4" w:space="0" w:color="000008"/>
              <w:bottom w:val="single" w:sz="4" w:space="0" w:color="000008"/>
              <w:right w:val="single" w:sz="4" w:space="0" w:color="000008"/>
            </w:tcBorders>
          </w:tcPr>
          <w:p>
            <w:pPr/>
          </w:p>
        </w:tc>
      </w:tr>
    </w:tbl>
    <w:p>
      <w:pPr>
        <w:spacing w:before="194"/>
        <w:ind w:left="6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系深圳市民润农产品配送连锁商业有限公司以龙涤股份抵债形成的差异。</w:t>
      </w:r>
    </w:p>
    <w:p>
      <w:pPr>
        <w:spacing w:line="240" w:lineRule="auto" w:before="2"/>
        <w:rPr>
          <w:rFonts w:ascii="宋体" w:hAnsi="宋体" w:cs="宋体" w:eastAsia="宋体" w:hint="default"/>
          <w:sz w:val="22"/>
          <w:szCs w:val="22"/>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）其他应收款金额前五名单位情况</w:t>
      </w:r>
    </w:p>
    <w:p>
      <w:pPr>
        <w:spacing w:line="240" w:lineRule="auto" w:before="7"/>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242"/>
        <w:gridCol w:w="1476"/>
        <w:gridCol w:w="1630"/>
        <w:gridCol w:w="1138"/>
        <w:gridCol w:w="1682"/>
      </w:tblGrid>
      <w:tr>
        <w:trPr>
          <w:trHeight w:val="691" w:hRule="exact"/>
        </w:trPr>
        <w:tc>
          <w:tcPr>
            <w:tcW w:w="3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338" w:lineRule="exact" w:before="20"/>
              <w:ind w:left="249" w:right="252"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410" w:hRule="exact"/>
        </w:trPr>
        <w:tc>
          <w:tcPr>
            <w:tcW w:w="3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深圳市民润农产品配送连锁公司</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142,741,972.95</w:t>
            </w:r>
          </w:p>
        </w:tc>
        <w:tc>
          <w:tcPr>
            <w:tcW w:w="11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累计多年</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43.93</w:t>
            </w:r>
          </w:p>
        </w:tc>
      </w:tr>
      <w:tr>
        <w:trPr>
          <w:trHeight w:val="408" w:hRule="exact"/>
        </w:trPr>
        <w:tc>
          <w:tcPr>
            <w:tcW w:w="3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26,481,211.20</w:t>
            </w:r>
          </w:p>
        </w:tc>
        <w:tc>
          <w:tcPr>
            <w:tcW w:w="11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累计多年</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8.15</w:t>
            </w:r>
          </w:p>
        </w:tc>
      </w:tr>
      <w:tr>
        <w:trPr>
          <w:trHeight w:val="410" w:hRule="exact"/>
        </w:trPr>
        <w:tc>
          <w:tcPr>
            <w:tcW w:w="3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昆明商品中心批发市场</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子公司股东</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14,172,834.39</w:t>
            </w:r>
          </w:p>
        </w:tc>
        <w:tc>
          <w:tcPr>
            <w:tcW w:w="11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4.36</w:t>
            </w:r>
          </w:p>
        </w:tc>
      </w:tr>
      <w:tr>
        <w:trPr>
          <w:trHeight w:val="410" w:hRule="exact"/>
        </w:trPr>
        <w:tc>
          <w:tcPr>
            <w:tcW w:w="3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北京市大红门京深海鲜批发市场公司</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98"/>
              <w:jc w:val="right"/>
              <w:rPr>
                <w:rFonts w:ascii="宋体" w:hAnsi="宋体" w:cs="宋体" w:eastAsia="宋体" w:hint="default"/>
                <w:sz w:val="18"/>
                <w:szCs w:val="18"/>
              </w:rPr>
            </w:pPr>
            <w:r>
              <w:rPr>
                <w:rFonts w:ascii="宋体" w:hAnsi="宋体" w:cs="宋体" w:eastAsia="宋体" w:hint="default"/>
                <w:sz w:val="18"/>
                <w:szCs w:val="18"/>
              </w:rPr>
              <w:t>子公司联营公司</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10,297,350.69</w:t>
            </w:r>
          </w:p>
        </w:tc>
        <w:tc>
          <w:tcPr>
            <w:tcW w:w="11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3.17</w:t>
            </w:r>
          </w:p>
        </w:tc>
      </w:tr>
      <w:tr>
        <w:trPr>
          <w:trHeight w:val="410" w:hRule="exact"/>
        </w:trPr>
        <w:tc>
          <w:tcPr>
            <w:tcW w:w="3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5,460,553.08</w:t>
            </w:r>
          </w:p>
        </w:tc>
        <w:tc>
          <w:tcPr>
            <w:tcW w:w="11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1.68</w:t>
            </w:r>
          </w:p>
        </w:tc>
      </w:tr>
      <w:tr>
        <w:trPr>
          <w:trHeight w:val="410" w:hRule="exact"/>
        </w:trPr>
        <w:tc>
          <w:tcPr>
            <w:tcW w:w="3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199,153,922.31</w:t>
            </w:r>
            <w:r>
              <w:rPr>
                <w:rFonts w:ascii="Times New Roman"/>
                <w:spacing w:val="-1"/>
                <w:sz w:val="18"/>
              </w:rPr>
            </w:r>
          </w:p>
        </w:tc>
        <w:tc>
          <w:tcPr>
            <w:tcW w:w="11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61.29</w:t>
            </w:r>
          </w:p>
        </w:tc>
      </w:tr>
    </w:tbl>
    <w:p>
      <w:pPr>
        <w:spacing w:line="240" w:lineRule="auto" w:before="5"/>
        <w:rPr>
          <w:rFonts w:ascii="宋体" w:hAnsi="宋体" w:cs="宋体" w:eastAsia="宋体" w:hint="default"/>
          <w:sz w:val="19"/>
          <w:szCs w:val="19"/>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6</w:t>
      </w:r>
      <w:r>
        <w:rPr>
          <w:rFonts w:ascii="宋体" w:hAnsi="宋体" w:cs="宋体" w:eastAsia="宋体" w:hint="default"/>
          <w:w w:val="95"/>
          <w:sz w:val="21"/>
          <w:szCs w:val="21"/>
        </w:rPr>
        <w:t>）其他应收款期末余额中无持有公司  </w:t>
      </w: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（含</w:t>
      </w:r>
      <w:r>
        <w:rPr>
          <w:rFonts w:ascii="宋体" w:hAnsi="宋体" w:cs="宋体" w:eastAsia="宋体" w:hint="default"/>
          <w:spacing w:val="94"/>
          <w:w w:val="95"/>
          <w:sz w:val="21"/>
          <w:szCs w:val="21"/>
        </w:rPr>
        <w:t> </w:t>
      </w: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）以上表决权股份的股东单位款项。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43" w:footer="897" w:top="1640" w:bottom="1080" w:left="1440" w:right="1000"/>
        </w:sectPr>
      </w:pPr>
    </w:p>
    <w:p>
      <w:pPr>
        <w:spacing w:line="240" w:lineRule="auto" w:before="11"/>
        <w:rPr>
          <w:rFonts w:ascii="宋体" w:hAnsi="宋体" w:cs="宋体" w:eastAsia="宋体" w:hint="default"/>
          <w:sz w:val="18"/>
          <w:szCs w:val="18"/>
        </w:rPr>
      </w:pPr>
    </w:p>
    <w:p>
      <w:pPr>
        <w:spacing w:before="36"/>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）其他应收款期末余额中关联方款项详见附注六、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存货</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7"/>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1877"/>
        <w:gridCol w:w="1116"/>
        <w:gridCol w:w="1114"/>
        <w:gridCol w:w="1118"/>
        <w:gridCol w:w="1114"/>
        <w:gridCol w:w="1116"/>
        <w:gridCol w:w="1114"/>
      </w:tblGrid>
      <w:tr>
        <w:trPr>
          <w:trHeight w:val="415" w:hRule="exact"/>
        </w:trPr>
        <w:tc>
          <w:tcPr>
            <w:tcW w:w="1877" w:type="dxa"/>
            <w:vMerge w:val="restart"/>
            <w:tcBorders>
              <w:top w:val="single" w:sz="6" w:space="0" w:color="000008"/>
              <w:left w:val="single" w:sz="6" w:space="0" w:color="000008"/>
              <w:right w:val="single" w:sz="6" w:space="0" w:color="000008"/>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8" w:type="dxa"/>
            <w:gridSpan w:val="3"/>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2009-12-31</w:t>
            </w:r>
          </w:p>
        </w:tc>
        <w:tc>
          <w:tcPr>
            <w:tcW w:w="3343" w:type="dxa"/>
            <w:gridSpan w:val="3"/>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2008-12-31</w:t>
            </w:r>
          </w:p>
        </w:tc>
      </w:tr>
      <w:tr>
        <w:trPr>
          <w:trHeight w:val="415" w:hRule="exact"/>
        </w:trPr>
        <w:tc>
          <w:tcPr>
            <w:tcW w:w="1877" w:type="dxa"/>
            <w:vMerge/>
            <w:tcBorders>
              <w:left w:val="single" w:sz="6" w:space="0" w:color="000008"/>
              <w:bottom w:val="single" w:sz="6" w:space="0" w:color="000008"/>
              <w:right w:val="single" w:sz="6" w:space="0" w:color="000008"/>
            </w:tcBorders>
          </w:tcPr>
          <w:p>
            <w:pPr/>
          </w:p>
        </w:tc>
        <w:tc>
          <w:tcPr>
            <w:tcW w:w="1116"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18"/>
              <w:ind w:left="1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1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8"/>
              <w:ind w:left="1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8"/>
              <w:ind w:left="19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187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16" w:type="dxa"/>
            <w:tcBorders>
              <w:top w:val="single" w:sz="4" w:space="0" w:color="000008"/>
              <w:left w:val="single" w:sz="6" w:space="0" w:color="000008"/>
              <w:bottom w:val="single" w:sz="4" w:space="0" w:color="000008"/>
              <w:right w:val="single" w:sz="6" w:space="0" w:color="000008"/>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10,122,243.78</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56,200.82</w:t>
            </w:r>
          </w:p>
        </w:tc>
        <w:tc>
          <w:tcPr>
            <w:tcW w:w="111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10,066,042.96</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2"/>
                <w:sz w:val="18"/>
              </w:rPr>
              <w:t>11,571,883.70</w:t>
            </w:r>
          </w:p>
        </w:tc>
        <w:tc>
          <w:tcPr>
            <w:tcW w:w="11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2"/>
                <w:sz w:val="18"/>
              </w:rPr>
              <w:t>11,571,883.70</w:t>
            </w:r>
          </w:p>
        </w:tc>
      </w:tr>
      <w:tr>
        <w:trPr>
          <w:trHeight w:val="415" w:hRule="exact"/>
        </w:trPr>
        <w:tc>
          <w:tcPr>
            <w:tcW w:w="187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116" w:type="dxa"/>
            <w:tcBorders>
              <w:top w:val="single" w:sz="4" w:space="0" w:color="000008"/>
              <w:left w:val="single" w:sz="6" w:space="0" w:color="000008"/>
              <w:bottom w:val="single" w:sz="4" w:space="0" w:color="000008"/>
              <w:right w:val="single" w:sz="6" w:space="0" w:color="000008"/>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2,554,474.44</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11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2,554,474.44</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2,498,739.66</w:t>
            </w:r>
          </w:p>
        </w:tc>
        <w:tc>
          <w:tcPr>
            <w:tcW w:w="11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2,498,739.66</w:t>
            </w:r>
          </w:p>
        </w:tc>
      </w:tr>
      <w:tr>
        <w:trPr>
          <w:trHeight w:val="415" w:hRule="exact"/>
        </w:trPr>
        <w:tc>
          <w:tcPr>
            <w:tcW w:w="187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16"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1,892,579.49</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11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1,892,579.49</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2,068,385.17</w:t>
            </w:r>
          </w:p>
        </w:tc>
        <w:tc>
          <w:tcPr>
            <w:tcW w:w="11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2,068,385.17</w:t>
            </w:r>
          </w:p>
        </w:tc>
      </w:tr>
      <w:tr>
        <w:trPr>
          <w:trHeight w:val="415" w:hRule="exact"/>
        </w:trPr>
        <w:tc>
          <w:tcPr>
            <w:tcW w:w="187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1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68,570,574.95</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988,488.70</w:t>
            </w:r>
          </w:p>
        </w:tc>
        <w:tc>
          <w:tcPr>
            <w:tcW w:w="111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67,582,086.25</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58,572,750.05</w:t>
            </w:r>
          </w:p>
        </w:tc>
        <w:tc>
          <w:tcPr>
            <w:tcW w:w="11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3,937,503.92</w:t>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54,635,246.13</w:t>
            </w:r>
          </w:p>
        </w:tc>
      </w:tr>
      <w:tr>
        <w:trPr>
          <w:trHeight w:val="415" w:hRule="exact"/>
        </w:trPr>
        <w:tc>
          <w:tcPr>
            <w:tcW w:w="187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54"/>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b/>
                <w:spacing w:val="-1"/>
                <w:sz w:val="18"/>
              </w:rPr>
              <w:t>83,139,872.66</w:t>
            </w:r>
            <w:r>
              <w:rPr>
                <w:rFonts w:ascii="Times New Roman"/>
                <w:spacing w:val="-1"/>
                <w:sz w:val="18"/>
              </w:rPr>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b/>
                <w:spacing w:val="-1"/>
                <w:sz w:val="18"/>
              </w:rPr>
              <w:t>1,044,689.52</w:t>
            </w:r>
            <w:r>
              <w:rPr>
                <w:rFonts w:ascii="Times New Roman"/>
                <w:spacing w:val="-1"/>
                <w:sz w:val="18"/>
              </w:rPr>
            </w:r>
          </w:p>
        </w:tc>
        <w:tc>
          <w:tcPr>
            <w:tcW w:w="111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b/>
                <w:spacing w:val="-1"/>
                <w:sz w:val="18"/>
              </w:rPr>
              <w:t>82,095,183.14</w:t>
            </w:r>
            <w:r>
              <w:rPr>
                <w:rFonts w:ascii="Times New Roman"/>
                <w:spacing w:val="-1"/>
                <w:sz w:val="18"/>
              </w:rPr>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b/>
                <w:spacing w:val="-2"/>
                <w:sz w:val="18"/>
              </w:rPr>
              <w:t>74,711,758.58</w:t>
            </w:r>
            <w:r>
              <w:rPr>
                <w:rFonts w:ascii="Times New Roman"/>
                <w:spacing w:val="-2"/>
                <w:sz w:val="18"/>
              </w:rPr>
            </w:r>
          </w:p>
        </w:tc>
        <w:tc>
          <w:tcPr>
            <w:tcW w:w="11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b/>
                <w:spacing w:val="-1"/>
                <w:sz w:val="18"/>
              </w:rPr>
              <w:t>3,937,503.92</w:t>
            </w:r>
            <w:r>
              <w:rPr>
                <w:rFonts w:ascii="Times New Roman"/>
                <w:spacing w:val="-1"/>
                <w:sz w:val="18"/>
              </w:rPr>
            </w:r>
          </w:p>
        </w:tc>
        <w:tc>
          <w:tcPr>
            <w:tcW w:w="11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b/>
                <w:spacing w:val="-1"/>
                <w:sz w:val="18"/>
              </w:rPr>
              <w:t>70,774,254.66</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992"/>
        <w:gridCol w:w="1558"/>
        <w:gridCol w:w="1267"/>
        <w:gridCol w:w="1130"/>
        <w:gridCol w:w="1162"/>
        <w:gridCol w:w="1555"/>
      </w:tblGrid>
      <w:tr>
        <w:trPr>
          <w:trHeight w:val="410" w:hRule="exact"/>
        </w:trPr>
        <w:tc>
          <w:tcPr>
            <w:tcW w:w="1992"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558"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5" w:right="0"/>
              <w:jc w:val="left"/>
              <w:rPr>
                <w:rFonts w:ascii="Times New Roman" w:hAnsi="Times New Roman" w:cs="Times New Roman" w:eastAsia="Times New Roman" w:hint="default"/>
                <w:sz w:val="18"/>
                <w:szCs w:val="18"/>
              </w:rPr>
            </w:pPr>
            <w:r>
              <w:rPr>
                <w:rFonts w:ascii="Times New Roman"/>
                <w:sz w:val="18"/>
              </w:rPr>
              <w:t>2008-12-31</w:t>
            </w:r>
          </w:p>
        </w:tc>
        <w:tc>
          <w:tcPr>
            <w:tcW w:w="1267"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29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55"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2" w:right="0"/>
              <w:jc w:val="left"/>
              <w:rPr>
                <w:rFonts w:ascii="Times New Roman" w:hAnsi="Times New Roman" w:cs="Times New Roman" w:eastAsia="Times New Roman" w:hint="default"/>
                <w:sz w:val="18"/>
                <w:szCs w:val="18"/>
              </w:rPr>
            </w:pPr>
            <w:r>
              <w:rPr>
                <w:rFonts w:ascii="Times New Roman"/>
                <w:sz w:val="18"/>
              </w:rPr>
              <w:t>2009-12-31</w:t>
            </w:r>
          </w:p>
        </w:tc>
      </w:tr>
      <w:tr>
        <w:trPr>
          <w:trHeight w:val="410" w:hRule="exact"/>
        </w:trPr>
        <w:tc>
          <w:tcPr>
            <w:tcW w:w="1992" w:type="dxa"/>
            <w:vMerge/>
            <w:tcBorders>
              <w:left w:val="single" w:sz="4" w:space="0" w:color="000008"/>
              <w:bottom w:val="single" w:sz="4" w:space="0" w:color="000008"/>
              <w:right w:val="single" w:sz="4" w:space="0" w:color="000008"/>
            </w:tcBorders>
          </w:tcPr>
          <w:p>
            <w:pPr/>
          </w:p>
        </w:tc>
        <w:tc>
          <w:tcPr>
            <w:tcW w:w="1558" w:type="dxa"/>
            <w:vMerge/>
            <w:tcBorders>
              <w:left w:val="single" w:sz="4" w:space="0" w:color="000008"/>
              <w:bottom w:val="single" w:sz="4" w:space="0" w:color="000008"/>
              <w:right w:val="single" w:sz="4" w:space="0" w:color="000008"/>
            </w:tcBorders>
          </w:tcPr>
          <w:p>
            <w:pPr/>
          </w:p>
        </w:tc>
        <w:tc>
          <w:tcPr>
            <w:tcW w:w="1267" w:type="dxa"/>
            <w:vMerge/>
            <w:tcBorders>
              <w:left w:val="single" w:sz="4" w:space="0" w:color="000008"/>
              <w:bottom w:val="single" w:sz="4" w:space="0" w:color="000008"/>
              <w:right w:val="single" w:sz="4" w:space="0" w:color="000008"/>
            </w:tcBorders>
          </w:tcPr>
          <w:p>
            <w:pPr/>
          </w:p>
        </w:tc>
        <w:tc>
          <w:tcPr>
            <w:tcW w:w="1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55" w:type="dxa"/>
            <w:vMerge/>
            <w:tcBorders>
              <w:left w:val="single" w:sz="4" w:space="0" w:color="000008"/>
              <w:bottom w:val="single" w:sz="4" w:space="0" w:color="000008"/>
              <w:right w:val="single" w:sz="4" w:space="0" w:color="000008"/>
            </w:tcBorders>
          </w:tcPr>
          <w:p>
            <w:pPr/>
          </w:p>
        </w:tc>
      </w:tr>
      <w:tr>
        <w:trPr>
          <w:trHeight w:val="408" w:hRule="exact"/>
        </w:trPr>
        <w:tc>
          <w:tcPr>
            <w:tcW w:w="19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56,200.82</w:t>
            </w:r>
          </w:p>
        </w:tc>
        <w:tc>
          <w:tcPr>
            <w:tcW w:w="1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w:t>
            </w:r>
          </w:p>
        </w:tc>
        <w:tc>
          <w:tcPr>
            <w:tcW w:w="15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56,200.82</w:t>
            </w:r>
          </w:p>
        </w:tc>
      </w:tr>
      <w:tr>
        <w:trPr>
          <w:trHeight w:val="410" w:hRule="exact"/>
        </w:trPr>
        <w:tc>
          <w:tcPr>
            <w:tcW w:w="19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3,937,503.92</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47,297.27</w:t>
            </w:r>
          </w:p>
        </w:tc>
        <w:tc>
          <w:tcPr>
            <w:tcW w:w="1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2,996,312.49</w:t>
            </w:r>
          </w:p>
        </w:tc>
        <w:tc>
          <w:tcPr>
            <w:tcW w:w="15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988,488.70</w:t>
            </w:r>
          </w:p>
        </w:tc>
      </w:tr>
      <w:tr>
        <w:trPr>
          <w:trHeight w:val="410" w:hRule="exact"/>
        </w:trPr>
        <w:tc>
          <w:tcPr>
            <w:tcW w:w="19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4"/>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3,937,503.92</w:t>
            </w:r>
            <w:r>
              <w:rPr>
                <w:rFonts w:ascii="Times New Roman"/>
                <w:spacing w:val="-1"/>
                <w:sz w:val="18"/>
              </w:rPr>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103,498.09</w:t>
            </w:r>
            <w:r>
              <w:rPr>
                <w:rFonts w:ascii="Times New Roman"/>
                <w:spacing w:val="-1"/>
                <w:sz w:val="18"/>
              </w:rPr>
            </w:r>
          </w:p>
        </w:tc>
        <w:tc>
          <w:tcPr>
            <w:tcW w:w="11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2,996,312.49</w:t>
            </w:r>
            <w:r>
              <w:rPr>
                <w:rFonts w:ascii="Times New Roman"/>
                <w:spacing w:val="-1"/>
                <w:sz w:val="18"/>
              </w:rPr>
            </w:r>
          </w:p>
        </w:tc>
        <w:tc>
          <w:tcPr>
            <w:tcW w:w="15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1,044,689.52</w:t>
            </w:r>
            <w:r>
              <w:rPr>
                <w:rFonts w:ascii="Times New Roman"/>
                <w:spacing w:val="-1"/>
                <w:sz w:val="18"/>
              </w:rPr>
            </w:r>
          </w:p>
        </w:tc>
      </w:tr>
    </w:tbl>
    <w:p>
      <w:pPr>
        <w:spacing w:line="240" w:lineRule="auto" w:before="8"/>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）存货跌价准备情况</w:t>
      </w:r>
    </w:p>
    <w:p>
      <w:pPr>
        <w:spacing w:line="240" w:lineRule="auto" w:before="7"/>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471"/>
        <w:gridCol w:w="2664"/>
        <w:gridCol w:w="2455"/>
        <w:gridCol w:w="2081"/>
      </w:tblGrid>
      <w:tr>
        <w:trPr>
          <w:trHeight w:val="816" w:hRule="exact"/>
        </w:trPr>
        <w:tc>
          <w:tcPr>
            <w:tcW w:w="147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4" w:type="dxa"/>
            <w:tcBorders>
              <w:top w:val="single" w:sz="6" w:space="0" w:color="000008"/>
              <w:left w:val="single" w:sz="6" w:space="0" w:color="000008"/>
              <w:bottom w:val="single" w:sz="4" w:space="0" w:color="000008"/>
              <w:right w:val="single" w:sz="6" w:space="0" w:color="000008"/>
            </w:tcBorders>
          </w:tcPr>
          <w:p>
            <w:pPr>
              <w:pStyle w:val="TableParagraph"/>
              <w:spacing w:line="400" w:lineRule="exact" w:before="1"/>
              <w:ind w:left="873" w:right="782" w:hanging="89"/>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455" w:type="dxa"/>
            <w:tcBorders>
              <w:top w:val="single" w:sz="6" w:space="0" w:color="000008"/>
              <w:left w:val="single" w:sz="6" w:space="0" w:color="000008"/>
              <w:bottom w:val="single" w:sz="6" w:space="0" w:color="000008"/>
              <w:right w:val="single" w:sz="6" w:space="0" w:color="000008"/>
            </w:tcBorders>
          </w:tcPr>
          <w:p>
            <w:pPr>
              <w:pStyle w:val="TableParagraph"/>
              <w:spacing w:line="400" w:lineRule="exact" w:before="1"/>
              <w:ind w:left="770" w:right="499" w:hanging="272"/>
              <w:jc w:val="left"/>
              <w:rPr>
                <w:rFonts w:ascii="宋体" w:hAnsi="宋体" w:cs="宋体" w:eastAsia="宋体" w:hint="default"/>
                <w:sz w:val="18"/>
                <w:szCs w:val="18"/>
              </w:rPr>
            </w:pPr>
            <w:r>
              <w:rPr>
                <w:rFonts w:ascii="宋体" w:hAnsi="宋体" w:cs="宋体" w:eastAsia="宋体" w:hint="default"/>
                <w:sz w:val="18"/>
                <w:szCs w:val="18"/>
              </w:rPr>
              <w:t>本期转回存货跌价 准备的原因</w:t>
            </w:r>
          </w:p>
        </w:tc>
        <w:tc>
          <w:tcPr>
            <w:tcW w:w="2081" w:type="dxa"/>
            <w:tcBorders>
              <w:top w:val="single" w:sz="6" w:space="0" w:color="000008"/>
              <w:left w:val="single" w:sz="6" w:space="0" w:color="000008"/>
              <w:bottom w:val="single" w:sz="6" w:space="0" w:color="000008"/>
              <w:right w:val="single" w:sz="6" w:space="0" w:color="000008"/>
            </w:tcBorders>
          </w:tcPr>
          <w:p>
            <w:pPr>
              <w:pStyle w:val="TableParagraph"/>
              <w:spacing w:line="400" w:lineRule="exact" w:before="1"/>
              <w:ind w:left="268" w:right="41"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本期转回金额占该项存货 期末余额的比例</w:t>
            </w:r>
            <w:r>
              <w:rPr>
                <w:rFonts w:ascii="Times New Roman" w:hAnsi="Times New Roman" w:cs="Times New Roman" w:eastAsia="Times New Roman" w:hint="default"/>
                <w:sz w:val="18"/>
                <w:szCs w:val="18"/>
              </w:rPr>
              <w:t>(%)</w:t>
            </w:r>
          </w:p>
        </w:tc>
      </w:tr>
      <w:tr>
        <w:trPr>
          <w:trHeight w:val="415" w:hRule="exact"/>
        </w:trPr>
        <w:tc>
          <w:tcPr>
            <w:tcW w:w="147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664" w:type="dxa"/>
            <w:tcBorders>
              <w:top w:val="single" w:sz="4" w:space="0" w:color="000008"/>
              <w:left w:val="single" w:sz="6" w:space="0" w:color="000008"/>
              <w:bottom w:val="single" w:sz="4" w:space="0" w:color="000008"/>
              <w:right w:val="single" w:sz="6" w:space="0" w:color="000008"/>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w:t>
            </w:r>
          </w:p>
        </w:tc>
        <w:tc>
          <w:tcPr>
            <w:tcW w:w="245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z w:val="18"/>
              </w:rPr>
              <w:t>--</w:t>
            </w:r>
          </w:p>
        </w:tc>
        <w:tc>
          <w:tcPr>
            <w:tcW w:w="208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1"/>
              <w:ind w:right="972"/>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147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664" w:type="dxa"/>
            <w:tcBorders>
              <w:top w:val="single" w:sz="4" w:space="0" w:color="000008"/>
              <w:left w:val="single" w:sz="6" w:space="0" w:color="000008"/>
              <w:bottom w:val="single" w:sz="4" w:space="0" w:color="000008"/>
              <w:right w:val="single" w:sz="6" w:space="0" w:color="000008"/>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w:t>
            </w:r>
          </w:p>
        </w:tc>
        <w:tc>
          <w:tcPr>
            <w:tcW w:w="245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z w:val="18"/>
              </w:rPr>
              <w:t>--</w:t>
            </w:r>
          </w:p>
        </w:tc>
        <w:tc>
          <w:tcPr>
            <w:tcW w:w="208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1"/>
              <w:ind w:right="97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f)</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其他流动资产</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6"/>
        <w:gridCol w:w="2909"/>
        <w:gridCol w:w="2906"/>
      </w:tblGrid>
      <w:tr>
        <w:trPr>
          <w:trHeight w:val="408" w:hRule="exact"/>
        </w:trPr>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2009-12-31</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2008-12-31</w:t>
            </w:r>
          </w:p>
        </w:tc>
      </w:tr>
      <w:tr>
        <w:trPr>
          <w:trHeight w:val="410" w:hRule="exact"/>
        </w:trPr>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应收集贸公司股利</w:t>
            </w:r>
          </w:p>
        </w:tc>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2"/>
                <w:sz w:val="18"/>
              </w:rPr>
              <w:t>1,848,114.80</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2"/>
                <w:sz w:val="18"/>
              </w:rPr>
              <w:t>1,848,114.80</w:t>
            </w:r>
          </w:p>
        </w:tc>
      </w:tr>
      <w:tr>
        <w:trPr>
          <w:trHeight w:val="410" w:hRule="exact"/>
        </w:trPr>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应收博丽雅公司股利</w:t>
            </w:r>
            <w:r>
              <w:rPr>
                <w:rFonts w:ascii="Times New Roman" w:hAnsi="Times New Roman" w:cs="Times New Roman" w:eastAsia="Times New Roman" w:hint="default"/>
                <w:sz w:val="18"/>
                <w:szCs w:val="18"/>
              </w:rPr>
              <w:t>*1</w:t>
            </w:r>
          </w:p>
        </w:tc>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297,679.83</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抵押贷款</w:t>
            </w:r>
            <w:r>
              <w:rPr>
                <w:rFonts w:ascii="Times New Roman" w:hAnsi="Times New Roman" w:cs="Times New Roman" w:eastAsia="Times New Roman" w:hint="default"/>
                <w:sz w:val="18"/>
                <w:szCs w:val="18"/>
              </w:rPr>
              <w:t>*2</w:t>
            </w:r>
          </w:p>
        </w:tc>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4,854,000.00</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b/>
                <w:spacing w:val="-1"/>
                <w:sz w:val="18"/>
              </w:rPr>
              <w:t>6,999,794.63</w:t>
            </w:r>
            <w:r>
              <w:rPr>
                <w:rFonts w:ascii="Times New Roman"/>
                <w:spacing w:val="-1"/>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4"/>
              <w:jc w:val="right"/>
              <w:rPr>
                <w:rFonts w:ascii="Times New Roman" w:hAnsi="Times New Roman" w:cs="Times New Roman" w:eastAsia="Times New Roman" w:hint="default"/>
                <w:sz w:val="18"/>
                <w:szCs w:val="18"/>
              </w:rPr>
            </w:pPr>
            <w:r>
              <w:rPr>
                <w:rFonts w:ascii="Times New Roman"/>
                <w:b/>
                <w:spacing w:val="-2"/>
                <w:sz w:val="18"/>
              </w:rPr>
              <w:t>1,848,114.80</w:t>
            </w:r>
            <w:r>
              <w:rPr>
                <w:rFonts w:ascii="Times New Roman"/>
                <w:spacing w:val="-2"/>
                <w:sz w:val="18"/>
              </w:rPr>
            </w:r>
          </w:p>
        </w:tc>
      </w:tr>
    </w:tbl>
    <w:p>
      <w:pPr>
        <w:spacing w:line="240" w:lineRule="auto" w:before="5"/>
        <w:rPr>
          <w:rFonts w:ascii="宋体" w:hAnsi="宋体" w:cs="宋体" w:eastAsia="宋体" w:hint="default"/>
          <w:sz w:val="19"/>
          <w:szCs w:val="19"/>
        </w:rPr>
      </w:pPr>
    </w:p>
    <w:p>
      <w:pPr>
        <w:spacing w:before="0"/>
        <w:ind w:left="10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本期转让深圳博丽雅公司股权，该公司退出合并范围。</w:t>
      </w:r>
    </w:p>
    <w:p>
      <w:pPr>
        <w:spacing w:after="0"/>
        <w:jc w:val="left"/>
        <w:rPr>
          <w:rFonts w:ascii="宋体" w:hAnsi="宋体" w:cs="宋体" w:eastAsia="宋体" w:hint="default"/>
          <w:sz w:val="21"/>
          <w:szCs w:val="21"/>
        </w:rPr>
        <w:sectPr>
          <w:footerReference w:type="default" r:id="rId162"/>
          <w:pgSz w:w="11910" w:h="16840"/>
          <w:pgMar w:footer="897" w:header="943" w:top="1640" w:bottom="1080" w:left="1480" w:right="1440"/>
          <w:pgNumType w:start="150"/>
        </w:sectPr>
      </w:pPr>
    </w:p>
    <w:p>
      <w:pPr>
        <w:spacing w:line="240" w:lineRule="auto" w:before="11"/>
        <w:rPr>
          <w:rFonts w:ascii="宋体" w:hAnsi="宋体" w:cs="宋体" w:eastAsia="宋体" w:hint="default"/>
          <w:sz w:val="18"/>
          <w:szCs w:val="18"/>
        </w:rPr>
      </w:pPr>
    </w:p>
    <w:p>
      <w:pPr>
        <w:spacing w:line="331" w:lineRule="auto" w:before="36"/>
        <w:ind w:left="221" w:right="212"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系</w:t>
      </w:r>
      <w:r>
        <w:rPr>
          <w:rFonts w:ascii="宋体" w:hAnsi="宋体" w:cs="宋体" w:eastAsia="宋体" w:hint="default"/>
          <w:sz w:val="21"/>
          <w:szCs w:val="21"/>
        </w:rPr>
        <w:t>子公司控股企业南宁银通典当有限公司对外部单位的抵押贷款，贷款期限均为一年</w:t>
      </w:r>
      <w:r>
        <w:rPr>
          <w:rFonts w:ascii="宋体" w:hAnsi="宋体" w:cs="宋体" w:eastAsia="宋体" w:hint="default"/>
          <w:w w:val="100"/>
          <w:sz w:val="21"/>
          <w:szCs w:val="21"/>
        </w:rPr>
        <w:t> </w:t>
      </w:r>
      <w:r>
        <w:rPr>
          <w:rFonts w:ascii="宋体" w:hAnsi="宋体" w:cs="宋体" w:eastAsia="宋体" w:hint="default"/>
          <w:sz w:val="21"/>
          <w:szCs w:val="21"/>
        </w:rPr>
        <w:t>以内。</w:t>
      </w:r>
    </w:p>
    <w:p>
      <w:pPr>
        <w:spacing w:line="240" w:lineRule="auto" w:before="4"/>
        <w:rPr>
          <w:rFonts w:ascii="宋体" w:hAnsi="宋体" w:cs="宋体" w:eastAsia="宋体" w:hint="default"/>
          <w:sz w:val="17"/>
          <w:szCs w:val="17"/>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可供出售金融资产</w:t>
      </w:r>
    </w:p>
    <w:p>
      <w:pPr>
        <w:spacing w:line="240" w:lineRule="auto" w:before="13"/>
        <w:rPr>
          <w:rFonts w:ascii="宋体" w:hAnsi="宋体" w:cs="宋体" w:eastAsia="宋体" w:hint="default"/>
          <w:sz w:val="21"/>
          <w:szCs w:val="21"/>
        </w:rPr>
      </w:pPr>
    </w:p>
    <w:p>
      <w:pPr>
        <w:spacing w:before="0"/>
        <w:ind w:left="641" w:right="2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）可供出售金融资产情况</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413"/>
        <w:gridCol w:w="2657"/>
        <w:gridCol w:w="2652"/>
      </w:tblGrid>
      <w:tr>
        <w:trPr>
          <w:trHeight w:val="451" w:hRule="exact"/>
        </w:trPr>
        <w:tc>
          <w:tcPr>
            <w:tcW w:w="34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17"/>
              <w:jc w:val="right"/>
              <w:rPr>
                <w:rFonts w:ascii="宋体" w:hAnsi="宋体" w:cs="宋体" w:eastAsia="宋体" w:hint="default"/>
                <w:sz w:val="18"/>
                <w:szCs w:val="18"/>
              </w:rPr>
            </w:pPr>
            <w:r>
              <w:rPr>
                <w:rFonts w:ascii="宋体" w:hAnsi="宋体" w:cs="宋体" w:eastAsia="宋体" w:hint="default"/>
                <w:sz w:val="18"/>
                <w:szCs w:val="18"/>
              </w:rPr>
              <w:t>项目</w:t>
            </w:r>
          </w:p>
        </w:tc>
        <w:tc>
          <w:tcPr>
            <w:tcW w:w="26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c>
          <w:tcPr>
            <w:tcW w:w="26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449" w:hRule="exact"/>
        </w:trPr>
        <w:tc>
          <w:tcPr>
            <w:tcW w:w="34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6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6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34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6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6,199,690.00</w:t>
            </w:r>
          </w:p>
        </w:tc>
        <w:tc>
          <w:tcPr>
            <w:tcW w:w="26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34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6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34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51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6,199,690.00</w:t>
            </w:r>
            <w:r>
              <w:rPr>
                <w:rFonts w:ascii="Times New Roman"/>
                <w:spacing w:val="-1"/>
                <w:sz w:val="18"/>
              </w:rPr>
            </w:r>
          </w:p>
        </w:tc>
        <w:tc>
          <w:tcPr>
            <w:tcW w:w="26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5"/>
        <w:rPr>
          <w:rFonts w:ascii="宋体" w:hAnsi="宋体" w:cs="宋体" w:eastAsia="宋体" w:hint="default"/>
          <w:sz w:val="19"/>
          <w:szCs w:val="19"/>
        </w:rPr>
      </w:pPr>
    </w:p>
    <w:p>
      <w:pPr>
        <w:spacing w:line="350" w:lineRule="auto" w:before="0"/>
        <w:ind w:left="221" w:right="212" w:firstLine="420"/>
        <w:jc w:val="left"/>
        <w:rPr>
          <w:rFonts w:ascii="宋体" w:hAnsi="宋体" w:cs="宋体" w:eastAsia="宋体" w:hint="default"/>
          <w:sz w:val="21"/>
          <w:szCs w:val="21"/>
        </w:rPr>
      </w:pPr>
      <w:r>
        <w:rPr>
          <w:rFonts w:ascii="宋体" w:hAnsi="宋体" w:cs="宋体" w:eastAsia="宋体" w:hint="default"/>
          <w:sz w:val="21"/>
          <w:szCs w:val="21"/>
        </w:rPr>
        <w:t>本期深圳市民润农产品配送连锁商业有限公司将其持有的黑龙江龙涤股份有限公司法人</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3,999,800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股抵债过户于本公司，龙涤股份在三板交易市场挂牌，期末市价为每股</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1.55</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元</w:t>
      </w:r>
      <w:r>
        <w:rPr>
          <w:rFonts w:ascii="宋体" w:hAnsi="宋体" w:cs="宋体" w:eastAsia="宋体" w:hint="default"/>
          <w:spacing w:val="-74"/>
          <w:sz w:val="21"/>
          <w:szCs w:val="21"/>
        </w:rPr>
        <w:t> </w:t>
      </w:r>
      <w:r>
        <w:rPr>
          <w:rFonts w:ascii="宋体" w:hAnsi="宋体" w:cs="宋体" w:eastAsia="宋体" w:hint="default"/>
          <w:sz w:val="21"/>
          <w:szCs w:val="21"/>
        </w:rPr>
        <w:t>。</w:t>
      </w:r>
    </w:p>
    <w:p>
      <w:pPr>
        <w:spacing w:after="0" w:line="350" w:lineRule="auto"/>
        <w:jc w:val="left"/>
        <w:rPr>
          <w:rFonts w:ascii="宋体" w:hAnsi="宋体" w:cs="宋体" w:eastAsia="宋体" w:hint="default"/>
          <w:sz w:val="21"/>
          <w:szCs w:val="21"/>
        </w:rPr>
        <w:sectPr>
          <w:pgSz w:w="11910" w:h="16840"/>
          <w:pgMar w:header="943" w:footer="897" w:top="1640" w:bottom="1080" w:left="1480" w:right="1480"/>
        </w:sectPr>
      </w:pPr>
    </w:p>
    <w:p>
      <w:pPr>
        <w:spacing w:line="240" w:lineRule="auto" w:before="6"/>
        <w:rPr>
          <w:rFonts w:ascii="宋体" w:hAnsi="宋体" w:cs="宋体" w:eastAsia="宋体" w:hint="default"/>
          <w:sz w:val="20"/>
          <w:szCs w:val="20"/>
        </w:rPr>
      </w:pPr>
    </w:p>
    <w:p>
      <w:pPr>
        <w:spacing w:before="36"/>
        <w:ind w:left="958" w:right="5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长期股权投资</w:t>
      </w:r>
    </w:p>
    <w:p>
      <w:pPr>
        <w:spacing w:line="240" w:lineRule="auto" w:before="5"/>
        <w:rPr>
          <w:rFonts w:ascii="宋体" w:hAnsi="宋体" w:cs="宋体" w:eastAsia="宋体" w:hint="default"/>
          <w:sz w:val="17"/>
          <w:szCs w:val="17"/>
        </w:rPr>
      </w:pPr>
    </w:p>
    <w:p>
      <w:pPr>
        <w:spacing w:before="0"/>
        <w:ind w:left="958" w:right="5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）长期股权投资情况</w:t>
      </w:r>
    </w:p>
    <w:p>
      <w:pPr>
        <w:spacing w:line="240" w:lineRule="auto" w:before="6"/>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928"/>
        <w:gridCol w:w="1606"/>
        <w:gridCol w:w="1522"/>
        <w:gridCol w:w="1414"/>
        <w:gridCol w:w="1418"/>
        <w:gridCol w:w="835"/>
        <w:gridCol w:w="910"/>
        <w:gridCol w:w="1248"/>
        <w:gridCol w:w="1560"/>
        <w:gridCol w:w="1416"/>
      </w:tblGrid>
      <w:tr>
        <w:trPr>
          <w:trHeight w:val="49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82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256"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333" w:right="0"/>
              <w:jc w:val="left"/>
              <w:rPr>
                <w:rFonts w:ascii="Times New Roman" w:hAnsi="Times New Roman" w:cs="Times New Roman" w:eastAsia="Times New Roman" w:hint="default"/>
                <w:sz w:val="18"/>
                <w:szCs w:val="18"/>
              </w:rPr>
            </w:pPr>
            <w:r>
              <w:rPr>
                <w:rFonts w:ascii="Times New Roman"/>
                <w:sz w:val="18"/>
              </w:rPr>
              <w:t>2008-12-31</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340"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left="283" w:right="0"/>
              <w:jc w:val="left"/>
              <w:rPr>
                <w:rFonts w:ascii="Times New Roman" w:hAnsi="Times New Roman" w:cs="Times New Roman" w:eastAsia="Times New Roman" w:hint="default"/>
                <w:sz w:val="18"/>
                <w:szCs w:val="18"/>
              </w:rPr>
            </w:pPr>
            <w:r>
              <w:rPr>
                <w:rFonts w:ascii="Times New Roman"/>
                <w:sz w:val="18"/>
              </w:rPr>
              <w:t>2009-12-31</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87" w:right="139" w:hanging="4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34" w:right="134"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right="1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减值准备</w:t>
            </w:r>
            <w:r>
              <w:rPr>
                <w:rFonts w:ascii="Times New Roman" w:hAnsi="Times New Roman" w:cs="Times New Roman" w:eastAsia="Times New Roman" w:hint="default"/>
                <w:spacing w:val="-1"/>
                <w:sz w:val="18"/>
                <w:szCs w:val="18"/>
              </w:rPr>
              <w:t>*12</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415" w:right="413"/>
              <w:jc w:val="left"/>
              <w:rPr>
                <w:rFonts w:ascii="宋体" w:hAnsi="宋体" w:cs="宋体" w:eastAsia="宋体" w:hint="default"/>
                <w:sz w:val="18"/>
                <w:szCs w:val="18"/>
              </w:rPr>
            </w:pPr>
            <w:r>
              <w:rPr>
                <w:rFonts w:ascii="宋体" w:hAnsi="宋体" w:cs="宋体" w:eastAsia="宋体" w:hint="default"/>
                <w:sz w:val="18"/>
                <w:szCs w:val="18"/>
              </w:rPr>
              <w:t>本期减值 准备变化</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163"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7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9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一、权益法核算的联营企业</w:t>
            </w:r>
            <w:r>
              <w:rPr>
                <w:rFonts w:ascii="Microsoft JhengHei" w:hAnsi="Microsoft JhengHei" w:cs="Microsoft JhengHei" w:eastAsia="Microsoft JhengHei" w:hint="default"/>
                <w:sz w:val="18"/>
                <w:szCs w:val="18"/>
              </w:rPr>
            </w:r>
          </w:p>
        </w:tc>
        <w:tc>
          <w:tcPr>
            <w:tcW w:w="1606" w:type="dxa"/>
            <w:tcBorders>
              <w:top w:val="single" w:sz="4" w:space="0" w:color="000008"/>
              <w:left w:val="single" w:sz="4" w:space="0" w:color="000008"/>
              <w:bottom w:val="single" w:sz="4" w:space="0" w:color="000008"/>
              <w:right w:val="single" w:sz="4" w:space="0" w:color="000008"/>
            </w:tcBorders>
          </w:tcPr>
          <w:p>
            <w:pPr/>
          </w:p>
        </w:tc>
        <w:tc>
          <w:tcPr>
            <w:tcW w:w="1522" w:type="dxa"/>
            <w:tcBorders>
              <w:top w:val="single" w:sz="4" w:space="0" w:color="000008"/>
              <w:left w:val="single" w:sz="4" w:space="0" w:color="000008"/>
              <w:bottom w:val="single" w:sz="4" w:space="0" w:color="000008"/>
              <w:right w:val="single" w:sz="4" w:space="0" w:color="000008"/>
            </w:tcBorders>
          </w:tcPr>
          <w:p>
            <w:pPr/>
          </w:p>
        </w:tc>
        <w:tc>
          <w:tcPr>
            <w:tcW w:w="1414" w:type="dxa"/>
            <w:tcBorders>
              <w:top w:val="single" w:sz="4" w:space="0" w:color="000008"/>
              <w:left w:val="single" w:sz="4" w:space="0" w:color="000008"/>
              <w:bottom w:val="single" w:sz="4" w:space="0" w:color="000008"/>
              <w:right w:val="single" w:sz="4" w:space="0" w:color="000008"/>
            </w:tcBorders>
          </w:tcPr>
          <w:p>
            <w:pPr/>
          </w:p>
        </w:tc>
        <w:tc>
          <w:tcPr>
            <w:tcW w:w="1418" w:type="dxa"/>
            <w:tcBorders>
              <w:top w:val="single" w:sz="4" w:space="0" w:color="000008"/>
              <w:left w:val="single" w:sz="4" w:space="0" w:color="000008"/>
              <w:bottom w:val="single" w:sz="4" w:space="0" w:color="000008"/>
              <w:right w:val="single" w:sz="4" w:space="0" w:color="000008"/>
            </w:tcBorders>
          </w:tcPr>
          <w:p>
            <w:pPr/>
          </w:p>
        </w:tc>
        <w:tc>
          <w:tcPr>
            <w:tcW w:w="835" w:type="dxa"/>
            <w:tcBorders>
              <w:top w:val="single" w:sz="4" w:space="0" w:color="000008"/>
              <w:left w:val="single" w:sz="4" w:space="0" w:color="000008"/>
              <w:bottom w:val="single" w:sz="4" w:space="0" w:color="000008"/>
              <w:right w:val="single" w:sz="4" w:space="0" w:color="000008"/>
            </w:tcBorders>
          </w:tcPr>
          <w:p>
            <w:pPr/>
          </w:p>
        </w:tc>
        <w:tc>
          <w:tcPr>
            <w:tcW w:w="910" w:type="dxa"/>
            <w:tcBorders>
              <w:top w:val="single" w:sz="4" w:space="0" w:color="000008"/>
              <w:left w:val="single" w:sz="4" w:space="0" w:color="000008"/>
              <w:bottom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
        </w:tc>
        <w:tc>
          <w:tcPr>
            <w:tcW w:w="1560" w:type="dxa"/>
            <w:tcBorders>
              <w:top w:val="single" w:sz="4" w:space="0" w:color="000008"/>
              <w:left w:val="single" w:sz="4" w:space="0" w:color="000008"/>
              <w:bottom w:val="single" w:sz="4" w:space="0" w:color="000008"/>
              <w:right w:val="single" w:sz="4" w:space="0" w:color="000008"/>
            </w:tcBorders>
          </w:tcPr>
          <w:p>
            <w:pPr/>
          </w:p>
        </w:tc>
        <w:tc>
          <w:tcPr>
            <w:tcW w:w="1416" w:type="dxa"/>
            <w:tcBorders>
              <w:top w:val="single" w:sz="4" w:space="0" w:color="000008"/>
              <w:left w:val="single" w:sz="4" w:space="0" w:color="000008"/>
              <w:bottom w:val="single" w:sz="4" w:space="0" w:color="000008"/>
              <w:right w:val="single" w:sz="4" w:space="0" w:color="000008"/>
            </w:tcBorders>
          </w:tcPr>
          <w:p>
            <w:pP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深圳市深宝实业股份有限公司</w:t>
            </w:r>
            <w:r>
              <w:rPr>
                <w:rFonts w:ascii="Times New Roman" w:hAnsi="Times New Roman" w:cs="Times New Roman" w:eastAsia="Times New Roman" w:hint="default"/>
                <w:sz w:val="18"/>
                <w:szCs w:val="18"/>
              </w:rPr>
              <w:t>*1</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108,985,631.44</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111,147,017.83</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-9,953,479.20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101,193,538.63</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27.84</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27.84</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17,728,700.00</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35,537,081.74</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9,699,732.36</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45,236,814.10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44.68</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44.68</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8,935,000.00</w:t>
            </w:r>
          </w:p>
        </w:tc>
      </w:tr>
      <w:tr>
        <w:trPr>
          <w:trHeight w:val="43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4,000,000.00</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23,913,036.92</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8,183,238.30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32,096,275.22</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z w:val="18"/>
              </w:rPr>
              <w:t>40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40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13,906,513.01</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24,792,602.09</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2,983,018.66</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27,775,620.75</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广西大宗食糖交易中心有限公司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5,200,000.00</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z w:val="18"/>
              </w:rPr>
              <w:t>40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40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广州昆商商贸有限公司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300,000.00</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283,602.42</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79,632.38</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363,234.80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z w:val="18"/>
              </w:rPr>
              <w:t>30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30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11,167,446.00</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33.98</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33.98</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寿光蔬菜批发市场孙集公司</w:t>
            </w:r>
            <w:r>
              <w:rPr>
                <w:rFonts w:ascii="Times New Roman" w:hAnsi="Times New Roman" w:cs="Times New Roman" w:eastAsia="Times New Roman" w:hint="default"/>
                <w:sz w:val="18"/>
                <w:szCs w:val="18"/>
              </w:rPr>
              <w:t>*2</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750,808.82</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750,808.82</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-750,808.82</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z w:val="18"/>
              </w:rPr>
              <w:t>40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40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9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13"/>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 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18,900,000.00</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19,832,907.64</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2,899,578.75</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22,732,486.39</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z w:val="18"/>
              </w:rPr>
              <w:t>42</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42</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深圳市博丽雅设计装饰工程公司</w:t>
            </w:r>
            <w:r>
              <w:rPr>
                <w:rFonts w:ascii="Times New Roman" w:hAnsi="Times New Roman" w:cs="Times New Roman" w:eastAsia="Times New Roman" w:hint="default"/>
                <w:sz w:val="18"/>
                <w:szCs w:val="18"/>
              </w:rPr>
              <w:t>*3</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3,000,123.48</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2,422,597.24</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2,422,597.24</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9,838,779.66</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9,838,779.66</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40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40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193,939,222.75</w:t>
            </w:r>
            <w:r>
              <w:rPr>
                <w:rFonts w:ascii="Times New Roman"/>
                <w:spacing w:val="-1"/>
                <w:sz w:val="18"/>
              </w:rPr>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216,257,057.46</w:t>
            </w:r>
            <w:r>
              <w:rPr>
                <w:rFonts w:ascii="Times New Roman"/>
                <w:spacing w:val="-1"/>
                <w:sz w:val="18"/>
              </w:rPr>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25,402,289.33</w:t>
            </w:r>
            <w:r>
              <w:rPr>
                <w:rFonts w:ascii="Times New Roman"/>
                <w:spacing w:val="-1"/>
                <w:sz w:val="18"/>
              </w:rPr>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241,659,346.79</w:t>
            </w:r>
            <w:r>
              <w:rPr>
                <w:rFonts w:ascii="Times New Roman"/>
                <w:spacing w:val="-1"/>
                <w:sz w:val="18"/>
              </w:rPr>
            </w:r>
          </w:p>
        </w:tc>
        <w:tc>
          <w:tcPr>
            <w:tcW w:w="835" w:type="dxa"/>
            <w:tcBorders>
              <w:top w:val="single" w:sz="4" w:space="0" w:color="000008"/>
              <w:left w:val="single" w:sz="4" w:space="0" w:color="000008"/>
              <w:bottom w:val="single" w:sz="4" w:space="0" w:color="000008"/>
              <w:right w:val="single" w:sz="4" w:space="0" w:color="000008"/>
            </w:tcBorders>
          </w:tcPr>
          <w:p>
            <w:pPr/>
          </w:p>
        </w:tc>
        <w:tc>
          <w:tcPr>
            <w:tcW w:w="910" w:type="dxa"/>
            <w:tcBorders>
              <w:top w:val="single" w:sz="4" w:space="0" w:color="000008"/>
              <w:left w:val="single" w:sz="4" w:space="0" w:color="000008"/>
              <w:bottom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-500,000.00</w:t>
            </w:r>
            <w:r>
              <w:rPr>
                <w:rFonts w:ascii="Times New Roman"/>
                <w:spacing w:val="-1"/>
                <w:sz w:val="18"/>
              </w:rPr>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26,935,000.00</w:t>
            </w:r>
            <w:r>
              <w:rPr>
                <w:rFonts w:ascii="Times New Roman"/>
                <w:spacing w:val="-1"/>
                <w:sz w:val="18"/>
              </w:rPr>
            </w:r>
          </w:p>
        </w:tc>
      </w:tr>
      <w:tr>
        <w:trPr>
          <w:trHeight w:val="554"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8"/>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二、按成本法核算的其他股权投资</w:t>
            </w:r>
            <w:r>
              <w:rPr>
                <w:rFonts w:ascii="Microsoft JhengHei" w:hAnsi="Microsoft JhengHei" w:cs="Microsoft JhengHei" w:eastAsia="Microsoft JhengHei" w:hint="default"/>
                <w:sz w:val="18"/>
                <w:szCs w:val="18"/>
              </w:rPr>
            </w:r>
          </w:p>
        </w:tc>
        <w:tc>
          <w:tcPr>
            <w:tcW w:w="1606" w:type="dxa"/>
            <w:tcBorders>
              <w:top w:val="single" w:sz="4" w:space="0" w:color="000008"/>
              <w:left w:val="single" w:sz="4" w:space="0" w:color="000008"/>
              <w:bottom w:val="single" w:sz="4" w:space="0" w:color="000008"/>
              <w:right w:val="single" w:sz="4" w:space="0" w:color="000008"/>
            </w:tcBorders>
          </w:tcPr>
          <w:p>
            <w:pPr/>
          </w:p>
        </w:tc>
        <w:tc>
          <w:tcPr>
            <w:tcW w:w="1522" w:type="dxa"/>
            <w:tcBorders>
              <w:top w:val="single" w:sz="4" w:space="0" w:color="000008"/>
              <w:left w:val="single" w:sz="4" w:space="0" w:color="000008"/>
              <w:bottom w:val="single" w:sz="4" w:space="0" w:color="000008"/>
              <w:right w:val="single" w:sz="4" w:space="0" w:color="000008"/>
            </w:tcBorders>
          </w:tcPr>
          <w:p>
            <w:pPr/>
          </w:p>
        </w:tc>
        <w:tc>
          <w:tcPr>
            <w:tcW w:w="1414" w:type="dxa"/>
            <w:tcBorders>
              <w:top w:val="single" w:sz="4" w:space="0" w:color="000008"/>
              <w:left w:val="single" w:sz="4" w:space="0" w:color="000008"/>
              <w:bottom w:val="single" w:sz="4" w:space="0" w:color="000008"/>
              <w:right w:val="single" w:sz="4" w:space="0" w:color="000008"/>
            </w:tcBorders>
          </w:tcPr>
          <w:p>
            <w:pPr/>
          </w:p>
        </w:tc>
        <w:tc>
          <w:tcPr>
            <w:tcW w:w="1418" w:type="dxa"/>
            <w:tcBorders>
              <w:top w:val="single" w:sz="4" w:space="0" w:color="000008"/>
              <w:left w:val="single" w:sz="4" w:space="0" w:color="000008"/>
              <w:bottom w:val="single" w:sz="4" w:space="0" w:color="000008"/>
              <w:right w:val="single" w:sz="4" w:space="0" w:color="000008"/>
            </w:tcBorders>
          </w:tcPr>
          <w:p>
            <w:pPr/>
          </w:p>
        </w:tc>
        <w:tc>
          <w:tcPr>
            <w:tcW w:w="835" w:type="dxa"/>
            <w:tcBorders>
              <w:top w:val="single" w:sz="4" w:space="0" w:color="000008"/>
              <w:left w:val="single" w:sz="4" w:space="0" w:color="000008"/>
              <w:bottom w:val="single" w:sz="4" w:space="0" w:color="000008"/>
              <w:right w:val="single" w:sz="4" w:space="0" w:color="000008"/>
            </w:tcBorders>
          </w:tcPr>
          <w:p>
            <w:pPr/>
          </w:p>
        </w:tc>
        <w:tc>
          <w:tcPr>
            <w:tcW w:w="910" w:type="dxa"/>
            <w:tcBorders>
              <w:top w:val="single" w:sz="4" w:space="0" w:color="000008"/>
              <w:left w:val="single" w:sz="4" w:space="0" w:color="000008"/>
              <w:bottom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
        </w:tc>
        <w:tc>
          <w:tcPr>
            <w:tcW w:w="1560" w:type="dxa"/>
            <w:tcBorders>
              <w:top w:val="single" w:sz="4" w:space="0" w:color="000008"/>
              <w:left w:val="single" w:sz="4" w:space="0" w:color="000008"/>
              <w:bottom w:val="single" w:sz="4" w:space="0" w:color="000008"/>
              <w:right w:val="single" w:sz="4" w:space="0" w:color="000008"/>
            </w:tcBorders>
          </w:tcPr>
          <w:p>
            <w:pPr/>
          </w:p>
        </w:tc>
        <w:tc>
          <w:tcPr>
            <w:tcW w:w="1416" w:type="dxa"/>
            <w:tcBorders>
              <w:top w:val="single" w:sz="4" w:space="0" w:color="000008"/>
              <w:left w:val="single" w:sz="4" w:space="0" w:color="000008"/>
              <w:bottom w:val="single" w:sz="4" w:space="0" w:color="000008"/>
              <w:right w:val="single" w:sz="4" w:space="0" w:color="000008"/>
            </w:tcBorders>
          </w:tcPr>
          <w:p>
            <w:pPr/>
          </w:p>
        </w:tc>
      </w:tr>
      <w:tr>
        <w:trPr>
          <w:trHeight w:val="55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3"/>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深圳市民润农产品配送连锁商业公 司</w:t>
            </w:r>
            <w:r>
              <w:rPr>
                <w:rFonts w:ascii="Times New Roman" w:hAnsi="Times New Roman" w:cs="Times New Roman" w:eastAsia="Times New Roman" w:hint="default"/>
                <w:sz w:val="18"/>
                <w:szCs w:val="18"/>
              </w:rPr>
              <w:t>*4</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137,476,840.00</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47.76</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163"/>
          <w:footerReference w:type="default" r:id="rId164"/>
          <w:pgSz w:w="16840" w:h="11910" w:orient="landscape"/>
          <w:pgMar w:header="943" w:footer="896" w:top="1640" w:bottom="1080" w:left="880" w:right="880"/>
          <w:pgNumType w:start="152"/>
        </w:sectPr>
      </w:pPr>
    </w:p>
    <w:tbl>
      <w:tblPr>
        <w:tblW w:w="0" w:type="auto"/>
        <w:jc w:val="left"/>
        <w:tblInd w:w="106" w:type="dxa"/>
        <w:tblLayout w:type="fixed"/>
        <w:tblCellMar>
          <w:top w:w="0" w:type="dxa"/>
          <w:left w:w="0" w:type="dxa"/>
          <w:bottom w:w="0" w:type="dxa"/>
          <w:right w:w="0" w:type="dxa"/>
        </w:tblCellMar>
        <w:tblLook w:val="01E0"/>
      </w:tblPr>
      <w:tblGrid>
        <w:gridCol w:w="2928"/>
        <w:gridCol w:w="1606"/>
        <w:gridCol w:w="1519"/>
        <w:gridCol w:w="1416"/>
        <w:gridCol w:w="1418"/>
        <w:gridCol w:w="835"/>
        <w:gridCol w:w="910"/>
        <w:gridCol w:w="1248"/>
        <w:gridCol w:w="1560"/>
        <w:gridCol w:w="1416"/>
      </w:tblGrid>
      <w:tr>
        <w:trPr>
          <w:trHeight w:val="49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82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256"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333" w:right="0"/>
              <w:jc w:val="left"/>
              <w:rPr>
                <w:rFonts w:ascii="Times New Roman" w:hAnsi="Times New Roman" w:cs="Times New Roman" w:eastAsia="Times New Roman" w:hint="default"/>
                <w:sz w:val="18"/>
                <w:szCs w:val="18"/>
              </w:rPr>
            </w:pPr>
            <w:r>
              <w:rPr>
                <w:rFonts w:ascii="Times New Roman"/>
                <w:sz w:val="18"/>
              </w:rPr>
              <w:t>2008-12-31</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34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283" w:right="0"/>
              <w:jc w:val="left"/>
              <w:rPr>
                <w:rFonts w:ascii="Times New Roman" w:hAnsi="Times New Roman" w:cs="Times New Roman" w:eastAsia="Times New Roman" w:hint="default"/>
                <w:sz w:val="18"/>
                <w:szCs w:val="18"/>
              </w:rPr>
            </w:pPr>
            <w:r>
              <w:rPr>
                <w:rFonts w:ascii="Times New Roman"/>
                <w:sz w:val="18"/>
              </w:rPr>
              <w:t>2009-12-31</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87" w:right="139" w:hanging="4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34" w:right="134"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1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减值准备</w:t>
            </w:r>
            <w:r>
              <w:rPr>
                <w:rFonts w:ascii="Times New Roman" w:hAnsi="Times New Roman" w:cs="Times New Roman" w:eastAsia="Times New Roman" w:hint="default"/>
                <w:spacing w:val="-1"/>
                <w:sz w:val="18"/>
                <w:szCs w:val="18"/>
              </w:rPr>
              <w:t>*12</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415" w:right="413"/>
              <w:jc w:val="left"/>
              <w:rPr>
                <w:rFonts w:ascii="宋体" w:hAnsi="宋体" w:cs="宋体" w:eastAsia="宋体" w:hint="default"/>
                <w:sz w:val="18"/>
                <w:szCs w:val="18"/>
              </w:rPr>
            </w:pPr>
            <w:r>
              <w:rPr>
                <w:rFonts w:ascii="宋体" w:hAnsi="宋体" w:cs="宋体" w:eastAsia="宋体" w:hint="default"/>
                <w:sz w:val="18"/>
                <w:szCs w:val="18"/>
              </w:rPr>
              <w:t>本期减值 准备变化</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63"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55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云南云深饲料厂</w:t>
            </w:r>
            <w:r>
              <w:rPr>
                <w:rFonts w:ascii="Times New Roman" w:hAnsi="Times New Roman" w:cs="Times New Roman" w:eastAsia="Times New Roman" w:hint="default"/>
                <w:sz w:val="18"/>
                <w:szCs w:val="18"/>
              </w:rPr>
              <w:t>*5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深圳市益民西磷食品有限公司</w:t>
            </w:r>
            <w:r>
              <w:rPr>
                <w:rFonts w:ascii="Times New Roman" w:hAnsi="Times New Roman" w:cs="Times New Roman" w:eastAsia="Times New Roman" w:hint="default"/>
                <w:sz w:val="18"/>
                <w:szCs w:val="18"/>
              </w:rPr>
              <w:t>*5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4"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深圳市联福运输实业有限公司</w:t>
            </w:r>
            <w:r>
              <w:rPr>
                <w:rFonts w:ascii="Times New Roman" w:hAnsi="Times New Roman" w:cs="Times New Roman" w:eastAsia="Times New Roman" w:hint="default"/>
                <w:sz w:val="18"/>
                <w:szCs w:val="18"/>
              </w:rPr>
              <w:t>*5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593,629.82</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深圳市海农食品公司</w:t>
            </w:r>
            <w:r>
              <w:rPr>
                <w:rFonts w:ascii="Times New Roman" w:hAnsi="Times New Roman" w:cs="Times New Roman" w:eastAsia="Times New Roman" w:hint="default"/>
                <w:sz w:val="18"/>
                <w:szCs w:val="18"/>
              </w:rPr>
              <w:t>*5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1,034,629.55</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1,601,372.50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4"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深圳市龙江生猪批发市场</w:t>
            </w:r>
            <w:r>
              <w:rPr>
                <w:rFonts w:ascii="Times New Roman" w:hAnsi="Times New Roman" w:cs="Times New Roman" w:eastAsia="Times New Roman" w:hint="default"/>
                <w:sz w:val="18"/>
                <w:szCs w:val="18"/>
              </w:rPr>
              <w:t>*5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3,120,000.00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3,120,000.00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深圳倜拓实业有限公司</w:t>
            </w:r>
            <w:r>
              <w:rPr>
                <w:rFonts w:ascii="Times New Roman" w:hAnsi="Times New Roman" w:cs="Times New Roman" w:eastAsia="Times New Roman" w:hint="default"/>
                <w:sz w:val="18"/>
                <w:szCs w:val="18"/>
              </w:rPr>
              <w:t>*6</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2,275,000.00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2,275,000.00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-2,275,000.00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4"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金信信托投资股份有限公司</w:t>
            </w:r>
            <w:r>
              <w:rPr>
                <w:rFonts w:ascii="Times New Roman" w:hAnsi="Times New Roman" w:cs="Times New Roman" w:eastAsia="Times New Roman" w:hint="default"/>
                <w:sz w:val="18"/>
                <w:szCs w:val="18"/>
              </w:rPr>
              <w:t>*7</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9.82</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深圳市南方农产品物流有限公司</w:t>
            </w:r>
            <w:r>
              <w:rPr>
                <w:rFonts w:ascii="Times New Roman" w:hAnsi="Times New Roman" w:cs="Times New Roman" w:eastAsia="Times New Roman" w:hint="default"/>
                <w:sz w:val="18"/>
                <w:szCs w:val="18"/>
              </w:rPr>
              <w:t>*5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3,700,000.00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常州三井油脂有限公司</w:t>
            </w:r>
            <w:r>
              <w:rPr>
                <w:rFonts w:ascii="Times New Roman" w:hAnsi="Times New Roman" w:cs="Times New Roman" w:eastAsia="Times New Roman" w:hint="default"/>
                <w:sz w:val="18"/>
                <w:szCs w:val="18"/>
              </w:rPr>
              <w:t>*5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13,500,000.00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13,500,000.00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13,500,000.00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71"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20"/>
              <w:ind w:left="103" w:right="113"/>
              <w:jc w:val="left"/>
              <w:rPr>
                <w:rFonts w:ascii="宋体" w:hAnsi="宋体" w:cs="宋体" w:eastAsia="宋体" w:hint="default"/>
                <w:sz w:val="18"/>
                <w:szCs w:val="18"/>
              </w:rPr>
            </w:pPr>
            <w:r>
              <w:rPr>
                <w:rFonts w:ascii="宋体" w:hAnsi="宋体" w:cs="宋体" w:eastAsia="宋体" w:hint="default"/>
                <w:sz w:val="18"/>
                <w:szCs w:val="18"/>
              </w:rPr>
              <w:t>深圳市农产品丰湖干货特产城经营 管理有限公司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20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陕西秦深畜牧发展有限公司</w:t>
            </w:r>
            <w:r>
              <w:rPr>
                <w:rFonts w:ascii="Times New Roman" w:hAnsi="Times New Roman" w:cs="Times New Roman" w:eastAsia="Times New Roman" w:hint="default"/>
                <w:sz w:val="18"/>
                <w:szCs w:val="18"/>
              </w:rPr>
              <w:t>*8</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313,989.80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313,989.80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313,989.80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3.07</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54"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深圳市农产品肉类配送有限公司</w:t>
            </w:r>
            <w:r>
              <w:rPr>
                <w:rFonts w:ascii="Times New Roman" w:hAnsi="Times New Roman" w:cs="Times New Roman" w:eastAsia="Times New Roman" w:hint="default"/>
                <w:sz w:val="18"/>
                <w:szCs w:val="18"/>
              </w:rPr>
              <w:t>*9</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16,000,000.00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4,470,538.76</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深圳市农产品丰湖投资有限公司</w:t>
            </w:r>
          </w:p>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*10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8,000,000.00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8,000,000.00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深圳市合盈实业有限公司</w:t>
            </w:r>
            <w:r>
              <w:rPr>
                <w:rFonts w:ascii="Times New Roman" w:hAnsi="Times New Roman" w:cs="Times New Roman" w:eastAsia="Times New Roman" w:hint="default"/>
                <w:sz w:val="18"/>
                <w:szCs w:val="18"/>
              </w:rPr>
              <w:t>*11</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20,400,000.00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20,400,000.00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20,400,000.00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3,025,728.00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43" w:footer="896" w:top="1680" w:bottom="1080" w:left="880" w:right="880"/>
        </w:sectPr>
      </w:pPr>
    </w:p>
    <w:p>
      <w:pPr>
        <w:spacing w:line="240" w:lineRule="auto" w:before="9"/>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28"/>
        <w:gridCol w:w="1606"/>
        <w:gridCol w:w="1519"/>
        <w:gridCol w:w="1416"/>
        <w:gridCol w:w="1418"/>
        <w:gridCol w:w="835"/>
        <w:gridCol w:w="910"/>
        <w:gridCol w:w="1248"/>
        <w:gridCol w:w="1560"/>
        <w:gridCol w:w="1416"/>
      </w:tblGrid>
      <w:tr>
        <w:trPr>
          <w:trHeight w:val="492"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82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256"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333" w:right="0"/>
              <w:jc w:val="left"/>
              <w:rPr>
                <w:rFonts w:ascii="Times New Roman" w:hAnsi="Times New Roman" w:cs="Times New Roman" w:eastAsia="Times New Roman" w:hint="default"/>
                <w:sz w:val="18"/>
                <w:szCs w:val="18"/>
              </w:rPr>
            </w:pPr>
            <w:r>
              <w:rPr>
                <w:rFonts w:ascii="Times New Roman"/>
                <w:sz w:val="18"/>
              </w:rPr>
              <w:t>2008-12-31</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34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283" w:right="0"/>
              <w:jc w:val="left"/>
              <w:rPr>
                <w:rFonts w:ascii="Times New Roman" w:hAnsi="Times New Roman" w:cs="Times New Roman" w:eastAsia="Times New Roman" w:hint="default"/>
                <w:sz w:val="18"/>
                <w:szCs w:val="18"/>
              </w:rPr>
            </w:pPr>
            <w:r>
              <w:rPr>
                <w:rFonts w:ascii="Times New Roman"/>
                <w:sz w:val="18"/>
              </w:rPr>
              <w:t>2009-12-31</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87" w:right="139" w:hanging="4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34" w:right="134"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1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减值准备</w:t>
            </w:r>
            <w:r>
              <w:rPr>
                <w:rFonts w:ascii="Times New Roman" w:hAnsi="Times New Roman" w:cs="Times New Roman" w:eastAsia="Times New Roman" w:hint="default"/>
                <w:spacing w:val="-1"/>
                <w:sz w:val="18"/>
                <w:szCs w:val="18"/>
              </w:rPr>
              <w:t>*12</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415" w:right="413"/>
              <w:jc w:val="left"/>
              <w:rPr>
                <w:rFonts w:ascii="宋体" w:hAnsi="宋体" w:cs="宋体" w:eastAsia="宋体" w:hint="default"/>
                <w:sz w:val="18"/>
                <w:szCs w:val="18"/>
              </w:rPr>
            </w:pPr>
            <w:r>
              <w:rPr>
                <w:rFonts w:ascii="宋体" w:hAnsi="宋体" w:cs="宋体" w:eastAsia="宋体" w:hint="default"/>
                <w:sz w:val="18"/>
                <w:szCs w:val="18"/>
              </w:rPr>
              <w:t>本期减值 准备变化</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63"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深圳市农产品坂田肉联厂有限公司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北京中商铁菜蔬有限公司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大象投资管理有限公司</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6.67</w:t>
            </w:r>
          </w:p>
        </w:tc>
        <w:tc>
          <w:tcPr>
            <w:tcW w:w="9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51"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275</w:t>
            </w:r>
            <w:r>
              <w:rPr>
                <w:rFonts w:ascii="宋体" w:hAnsi="宋体" w:cs="宋体" w:eastAsia="宋体" w:hint="default"/>
                <w:spacing w:val="-1"/>
                <w:sz w:val="18"/>
                <w:szCs w:val="18"/>
              </w:rPr>
              <w:t>万股</w:t>
            </w:r>
          </w:p>
        </w:tc>
        <w:tc>
          <w:tcPr>
            <w:tcW w:w="910" w:type="dxa"/>
            <w:tcBorders>
              <w:top w:val="single" w:sz="4" w:space="0" w:color="000008"/>
              <w:left w:val="single" w:sz="4" w:space="0" w:color="000008"/>
              <w:bottom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61,852.58</w:t>
            </w:r>
          </w:p>
        </w:tc>
      </w:tr>
      <w:tr>
        <w:trPr>
          <w:trHeight w:val="449"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325,784,089.17</w:t>
            </w:r>
            <w:r>
              <w:rPr>
                <w:rFonts w:ascii="Times New Roman"/>
                <w:spacing w:val="-1"/>
                <w:sz w:val="18"/>
              </w:rPr>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176,030,901.06</w:t>
            </w:r>
            <w:r>
              <w:rPr>
                <w:rFonts w:ascii="Times New Roman"/>
                <w:spacing w:val="-1"/>
                <w:sz w:val="18"/>
              </w:rPr>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-102,275,000.00</w:t>
            </w:r>
            <w:r>
              <w:rPr>
                <w:rFonts w:ascii="Times New Roman"/>
                <w:spacing w:val="-1"/>
                <w:sz w:val="18"/>
              </w:rPr>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73,755,901.06</w:t>
            </w:r>
            <w:r>
              <w:rPr>
                <w:rFonts w:ascii="Times New Roman"/>
                <w:spacing w:val="-1"/>
                <w:sz w:val="18"/>
              </w:rPr>
            </w:r>
          </w:p>
        </w:tc>
        <w:tc>
          <w:tcPr>
            <w:tcW w:w="835" w:type="dxa"/>
            <w:tcBorders>
              <w:top w:val="single" w:sz="4" w:space="0" w:color="000008"/>
              <w:left w:val="single" w:sz="4" w:space="0" w:color="000008"/>
              <w:bottom w:val="single" w:sz="4" w:space="0" w:color="000008"/>
              <w:right w:val="single" w:sz="4" w:space="0" w:color="000008"/>
            </w:tcBorders>
          </w:tcPr>
          <w:p>
            <w:pPr/>
          </w:p>
        </w:tc>
        <w:tc>
          <w:tcPr>
            <w:tcW w:w="910" w:type="dxa"/>
            <w:tcBorders>
              <w:top w:val="single" w:sz="4" w:space="0" w:color="000008"/>
              <w:left w:val="single" w:sz="4" w:space="0" w:color="000008"/>
              <w:bottom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2"/>
                <w:sz w:val="18"/>
              </w:rPr>
              <w:t>6,471,911.26</w:t>
            </w:r>
            <w:r>
              <w:rPr>
                <w:rFonts w:ascii="Times New Roman"/>
                <w:spacing w:val="-2"/>
                <w:sz w:val="18"/>
              </w:rPr>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-100,000,000.00</w:t>
            </w:r>
            <w:r>
              <w:rPr>
                <w:rFonts w:ascii="Times New Roman"/>
                <w:spacing w:val="-1"/>
                <w:sz w:val="18"/>
              </w:rPr>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3,807,580.58</w:t>
            </w:r>
            <w:r>
              <w:rPr>
                <w:rFonts w:ascii="Times New Roman"/>
                <w:spacing w:val="-1"/>
                <w:sz w:val="18"/>
              </w:rPr>
            </w:r>
          </w:p>
        </w:tc>
      </w:tr>
      <w:tr>
        <w:trPr>
          <w:trHeight w:val="370" w:hRule="exact"/>
        </w:trPr>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2"/>
                <w:sz w:val="18"/>
              </w:rPr>
              <w:t>519,723,311.92</w:t>
            </w:r>
            <w:r>
              <w:rPr>
                <w:rFonts w:ascii="Times New Roman"/>
                <w:spacing w:val="-2"/>
                <w:sz w:val="18"/>
              </w:rPr>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392,287,958.52</w:t>
            </w:r>
            <w:r>
              <w:rPr>
                <w:rFonts w:ascii="Times New Roman"/>
                <w:spacing w:val="-1"/>
                <w:sz w:val="18"/>
              </w:rPr>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1"/>
                <w:sz w:val="18"/>
              </w:rPr>
              <w:t>-76,872,710.67</w:t>
            </w:r>
            <w:r>
              <w:rPr>
                <w:rFonts w:ascii="Times New Roman"/>
                <w:spacing w:val="-1"/>
                <w:sz w:val="18"/>
              </w:rPr>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1"/>
                <w:sz w:val="18"/>
              </w:rPr>
              <w:t>315,415,247.85</w:t>
            </w:r>
            <w:r>
              <w:rPr>
                <w:rFonts w:ascii="Times New Roman"/>
                <w:spacing w:val="-1"/>
                <w:sz w:val="18"/>
              </w:rPr>
            </w:r>
          </w:p>
        </w:tc>
        <w:tc>
          <w:tcPr>
            <w:tcW w:w="835" w:type="dxa"/>
            <w:tcBorders>
              <w:top w:val="single" w:sz="4" w:space="0" w:color="000008"/>
              <w:left w:val="single" w:sz="4" w:space="0" w:color="000008"/>
              <w:bottom w:val="single" w:sz="4" w:space="0" w:color="000008"/>
              <w:right w:val="single" w:sz="4" w:space="0" w:color="000008"/>
            </w:tcBorders>
          </w:tcPr>
          <w:p>
            <w:pPr/>
          </w:p>
        </w:tc>
        <w:tc>
          <w:tcPr>
            <w:tcW w:w="910" w:type="dxa"/>
            <w:tcBorders>
              <w:top w:val="single" w:sz="4" w:space="0" w:color="000008"/>
              <w:left w:val="single" w:sz="4" w:space="0" w:color="000008"/>
              <w:bottom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2"/>
                <w:sz w:val="18"/>
              </w:rPr>
              <w:t>6,471,911.26</w:t>
            </w:r>
            <w:r>
              <w:rPr>
                <w:rFonts w:ascii="Times New Roman"/>
                <w:spacing w:val="-2"/>
                <w:sz w:val="18"/>
              </w:rPr>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1"/>
                <w:sz w:val="18"/>
              </w:rPr>
              <w:t>-100,500,000.00</w:t>
            </w:r>
            <w:r>
              <w:rPr>
                <w:rFonts w:ascii="Times New Roman"/>
                <w:spacing w:val="-1"/>
                <w:sz w:val="18"/>
              </w:rPr>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1"/>
                <w:sz w:val="18"/>
              </w:rPr>
              <w:t>30,742,580.58</w:t>
            </w:r>
            <w:r>
              <w:rPr>
                <w:rFonts w:ascii="Times New Roman"/>
                <w:spacing w:val="-1"/>
                <w:sz w:val="18"/>
              </w:rPr>
            </w:r>
          </w:p>
        </w:tc>
      </w:tr>
    </w:tbl>
    <w:p>
      <w:pPr>
        <w:spacing w:line="240" w:lineRule="auto" w:before="3"/>
        <w:rPr>
          <w:rFonts w:ascii="宋体" w:hAnsi="宋体" w:cs="宋体" w:eastAsia="宋体" w:hint="default"/>
          <w:sz w:val="14"/>
          <w:szCs w:val="14"/>
        </w:rPr>
      </w:pPr>
    </w:p>
    <w:p>
      <w:pPr>
        <w:spacing w:line="297" w:lineRule="auto" w:before="36"/>
        <w:ind w:left="538" w:right="531"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本公司期初持有深圳市深宝实业股份有限公司股票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53,743,347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29.54%</w:t>
      </w:r>
      <w:r>
        <w:rPr>
          <w:rFonts w:ascii="宋体" w:hAnsi="宋体" w:cs="宋体" w:eastAsia="宋体" w:hint="default"/>
          <w:sz w:val="21"/>
          <w:szCs w:val="21"/>
        </w:rPr>
        <w:t>，本期通过集中竞价交易减持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3,099,084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股，减持后期末持有该公司</w:t>
      </w:r>
      <w:r>
        <w:rPr>
          <w:rFonts w:ascii="宋体" w:hAnsi="宋体" w:cs="宋体" w:eastAsia="宋体" w:hint="default"/>
          <w:w w:val="100"/>
          <w:sz w:val="21"/>
          <w:szCs w:val="21"/>
        </w:rPr>
        <w:t> </w:t>
      </w:r>
      <w:r>
        <w:rPr>
          <w:rFonts w:ascii="宋体" w:hAnsi="宋体" w:cs="宋体" w:eastAsia="宋体" w:hint="default"/>
          <w:sz w:val="21"/>
          <w:szCs w:val="21"/>
        </w:rPr>
        <w:t>股票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50,644,263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27.84%</w:t>
      </w:r>
      <w:r>
        <w:rPr>
          <w:rFonts w:ascii="宋体" w:hAnsi="宋体" w:cs="宋体" w:eastAsia="宋体" w:hint="default"/>
          <w:sz w:val="21"/>
          <w:szCs w:val="21"/>
        </w:rPr>
        <w:t>，其中有限售条件的股票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44,647,193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股，无限售条件的股票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5,997,070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p>
      <w:pPr>
        <w:spacing w:line="297" w:lineRule="auto" w:before="193"/>
        <w:ind w:left="538" w:right="531"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pacing w:val="43"/>
          <w:sz w:val="21"/>
          <w:szCs w:val="21"/>
        </w:rPr>
        <w:t> </w:t>
      </w:r>
      <w:r>
        <w:rPr>
          <w:rFonts w:ascii="宋体" w:hAnsi="宋体" w:cs="宋体" w:eastAsia="宋体" w:hint="default"/>
          <w:spacing w:val="-2"/>
          <w:sz w:val="21"/>
          <w:szCs w:val="21"/>
        </w:rPr>
        <w:t>寿光蔬菜批发市场孙集公司原为本公司原子公司山东寿光蔬菜批发市场有限公司持有，本期本公司转让了山东寿光蔬菜批发市场有限公司全部股</w:t>
      </w:r>
      <w:r>
        <w:rPr>
          <w:rFonts w:ascii="宋体" w:hAnsi="宋体" w:cs="宋体" w:eastAsia="宋体" w:hint="default"/>
          <w:w w:val="100"/>
          <w:sz w:val="21"/>
          <w:szCs w:val="21"/>
        </w:rPr>
        <w:t> </w:t>
      </w:r>
      <w:r>
        <w:rPr>
          <w:rFonts w:ascii="宋体" w:hAnsi="宋体" w:cs="宋体" w:eastAsia="宋体" w:hint="default"/>
          <w:sz w:val="21"/>
          <w:szCs w:val="21"/>
        </w:rPr>
        <w:t>权，本期末不再将其列入合并报表。</w:t>
      </w:r>
    </w:p>
    <w:p>
      <w:pPr>
        <w:spacing w:line="240" w:lineRule="auto" w:before="5"/>
        <w:rPr>
          <w:rFonts w:ascii="宋体" w:hAnsi="宋体" w:cs="宋体" w:eastAsia="宋体" w:hint="default"/>
          <w:sz w:val="16"/>
          <w:szCs w:val="16"/>
        </w:rPr>
      </w:pPr>
    </w:p>
    <w:p>
      <w:pPr>
        <w:spacing w:line="297" w:lineRule="auto" w:before="0"/>
        <w:ind w:left="538" w:right="531"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 </w:t>
      </w:r>
      <w:r>
        <w:rPr>
          <w:rFonts w:ascii="宋体" w:hAnsi="宋体" w:cs="宋体" w:eastAsia="宋体" w:hint="default"/>
          <w:sz w:val="21"/>
          <w:szCs w:val="21"/>
        </w:rPr>
        <w:t>本公司本期将持有的深圳市博丽雅设计装饰工程有限公司 </w:t>
      </w:r>
      <w:r>
        <w:rPr>
          <w:rFonts w:ascii="Times New Roman" w:hAnsi="Times New Roman" w:cs="Times New Roman" w:eastAsia="Times New Roman" w:hint="default"/>
          <w:sz w:val="21"/>
          <w:szCs w:val="21"/>
        </w:rPr>
        <w:t>21.02%</w:t>
      </w:r>
      <w:r>
        <w:rPr>
          <w:rFonts w:ascii="宋体" w:hAnsi="宋体" w:cs="宋体" w:eastAsia="宋体" w:hint="default"/>
          <w:sz w:val="21"/>
          <w:szCs w:val="21"/>
        </w:rPr>
        <w:t>转让给深圳市东雅贸易有限公司，转让后本公司拥有博丽雅公司</w:t>
      </w:r>
      <w:r>
        <w:rPr>
          <w:rFonts w:ascii="宋体" w:hAnsi="宋体" w:cs="宋体" w:eastAsia="宋体" w:hint="default"/>
          <w:spacing w:val="-73"/>
          <w:sz w:val="21"/>
          <w:szCs w:val="21"/>
        </w:rPr>
        <w:t> </w:t>
      </w:r>
      <w:r>
        <w:rPr>
          <w:rFonts w:ascii="Times New Roman" w:hAnsi="Times New Roman" w:cs="Times New Roman" w:eastAsia="Times New Roman" w:hint="default"/>
          <w:spacing w:val="-4"/>
          <w:sz w:val="21"/>
          <w:szCs w:val="21"/>
        </w:rPr>
        <w:t>30%</w:t>
      </w:r>
      <w:r>
        <w:rPr>
          <w:rFonts w:ascii="宋体" w:hAnsi="宋体" w:cs="宋体" w:eastAsia="宋体" w:hint="default"/>
          <w:spacing w:val="-4"/>
          <w:sz w:val="21"/>
          <w:szCs w:val="21"/>
        </w:rPr>
        <w:t>的股权，对</w:t>
      </w:r>
      <w:r>
        <w:rPr>
          <w:rFonts w:ascii="宋体" w:hAnsi="宋体" w:cs="宋体" w:eastAsia="宋体" w:hint="default"/>
          <w:w w:val="100"/>
          <w:sz w:val="21"/>
          <w:szCs w:val="21"/>
        </w:rPr>
        <w:t> </w:t>
      </w:r>
      <w:r>
        <w:rPr>
          <w:rFonts w:ascii="宋体" w:hAnsi="宋体" w:cs="宋体" w:eastAsia="宋体" w:hint="default"/>
          <w:sz w:val="21"/>
          <w:szCs w:val="21"/>
        </w:rPr>
        <w:t>其不再拥有控制权，故对该公司的长期股权投资由成本法转为权益法核算。该公司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日更名为深圳市山河设计装饰工程有限公司。</w:t>
      </w:r>
    </w:p>
    <w:p>
      <w:pPr>
        <w:spacing w:line="297" w:lineRule="auto" w:before="191"/>
        <w:ind w:left="538" w:right="531"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Times New Roman" w:hAnsi="Times New Roman" w:cs="Times New Roman" w:eastAsia="Times New Roman" w:hint="default"/>
          <w:spacing w:val="43"/>
          <w:sz w:val="21"/>
          <w:szCs w:val="21"/>
        </w:rPr>
        <w:t> </w:t>
      </w:r>
      <w:r>
        <w:rPr>
          <w:rFonts w:ascii="宋体" w:hAnsi="宋体" w:cs="宋体" w:eastAsia="宋体" w:hint="default"/>
          <w:spacing w:val="-2"/>
          <w:sz w:val="21"/>
          <w:szCs w:val="21"/>
        </w:rPr>
        <w:t>深圳市民润农产品配送连锁商业公司的日常经营管理由华润（集团）有限公司控制，本公司对其不再具有重大影响，故按成本法核算。对该公司</w:t>
      </w:r>
      <w:r>
        <w:rPr>
          <w:rFonts w:ascii="宋体" w:hAnsi="宋体" w:cs="宋体" w:eastAsia="宋体" w:hint="default"/>
          <w:w w:val="100"/>
          <w:sz w:val="21"/>
          <w:szCs w:val="21"/>
        </w:rPr>
        <w:t> </w:t>
      </w:r>
      <w:r>
        <w:rPr>
          <w:rFonts w:ascii="宋体" w:hAnsi="宋体" w:cs="宋体" w:eastAsia="宋体" w:hint="default"/>
          <w:sz w:val="21"/>
          <w:szCs w:val="21"/>
        </w:rPr>
        <w:t>的投资已减至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before="193"/>
        <w:ind w:left="958"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*5 </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对该等公司本公司不具有重大影响，故按成本法核算。云南云深饲料厂和深圳市联福运输实业有限公司原按权益法核算，投资净值已冲减至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18"/>
          <w:szCs w:val="18"/>
        </w:rPr>
      </w:pPr>
    </w:p>
    <w:p>
      <w:pPr>
        <w:spacing w:before="0"/>
        <w:ind w:left="958" w:right="531" w:firstLine="0"/>
        <w:jc w:val="left"/>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与</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方</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市</w:t>
      </w:r>
      <w:r>
        <w:rPr>
          <w:rFonts w:ascii="宋体" w:hAnsi="宋体" w:cs="宋体" w:eastAsia="宋体" w:hint="default"/>
          <w:w w:val="100"/>
          <w:sz w:val="21"/>
          <w:szCs w:val="21"/>
        </w:rPr>
        <w:t>创</w:t>
      </w:r>
      <w:r>
        <w:rPr>
          <w:rFonts w:ascii="宋体" w:hAnsi="宋体" w:cs="宋体" w:eastAsia="宋体" w:hint="default"/>
          <w:spacing w:val="-3"/>
          <w:w w:val="100"/>
          <w:sz w:val="21"/>
          <w:szCs w:val="21"/>
        </w:rPr>
        <w:t>旗</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（香</w:t>
      </w:r>
      <w:r>
        <w:rPr>
          <w:rFonts w:ascii="宋体" w:hAnsi="宋体" w:cs="宋体" w:eastAsia="宋体" w:hint="default"/>
          <w:w w:val="100"/>
          <w:sz w:val="21"/>
          <w:szCs w:val="21"/>
        </w:rPr>
        <w:t>港</w:t>
      </w:r>
      <w:r>
        <w:rPr>
          <w:rFonts w:ascii="宋体" w:hAnsi="宋体" w:cs="宋体" w:eastAsia="宋体" w:hint="default"/>
          <w:spacing w:val="-3"/>
          <w:w w:val="100"/>
          <w:sz w:val="21"/>
          <w:szCs w:val="21"/>
        </w:rPr>
        <w:t>）</w:t>
      </w:r>
      <w:r>
        <w:rPr>
          <w:rFonts w:ascii="宋体" w:hAnsi="宋体" w:cs="宋体" w:eastAsia="宋体" w:hint="default"/>
          <w:w w:val="100"/>
          <w:sz w:val="21"/>
          <w:szCs w:val="21"/>
        </w:rPr>
        <w:t>丹</w:t>
      </w:r>
      <w:r>
        <w:rPr>
          <w:rFonts w:ascii="宋体" w:hAnsi="宋体" w:cs="宋体" w:eastAsia="宋体" w:hint="default"/>
          <w:spacing w:val="-3"/>
          <w:w w:val="100"/>
          <w:sz w:val="21"/>
          <w:szCs w:val="21"/>
        </w:rPr>
        <w:t>仕</w:t>
      </w:r>
      <w:r>
        <w:rPr>
          <w:rFonts w:ascii="宋体" w:hAnsi="宋体" w:cs="宋体" w:eastAsia="宋体" w:hint="default"/>
          <w:w w:val="100"/>
          <w:sz w:val="21"/>
          <w:szCs w:val="21"/>
        </w:rPr>
        <w:t>国</w:t>
      </w:r>
      <w:r>
        <w:rPr>
          <w:rFonts w:ascii="宋体" w:hAnsi="宋体" w:cs="宋体" w:eastAsia="宋体" w:hint="default"/>
          <w:spacing w:val="-3"/>
          <w:w w:val="100"/>
          <w:sz w:val="21"/>
          <w:szCs w:val="21"/>
        </w:rPr>
        <w:t>际</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共</w:t>
      </w:r>
      <w:r>
        <w:rPr>
          <w:rFonts w:ascii="宋体" w:hAnsi="宋体" w:cs="宋体" w:eastAsia="宋体" w:hint="default"/>
          <w:spacing w:val="-3"/>
          <w:w w:val="100"/>
          <w:sz w:val="21"/>
          <w:szCs w:val="21"/>
        </w:rPr>
        <w:t>同</w:t>
      </w:r>
      <w:r>
        <w:rPr>
          <w:rFonts w:ascii="宋体" w:hAnsi="宋体" w:cs="宋体" w:eastAsia="宋体" w:hint="default"/>
          <w:w w:val="100"/>
          <w:sz w:val="21"/>
          <w:szCs w:val="21"/>
        </w:rPr>
        <w:t>对</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倜</w:t>
      </w:r>
      <w:r>
        <w:rPr>
          <w:rFonts w:ascii="宋体" w:hAnsi="宋体" w:cs="宋体" w:eastAsia="宋体" w:hint="default"/>
          <w:w w:val="100"/>
          <w:sz w:val="21"/>
          <w:szCs w:val="21"/>
        </w:rPr>
        <w:t>拓</w:t>
      </w:r>
      <w:r>
        <w:rPr>
          <w:rFonts w:ascii="宋体" w:hAnsi="宋体" w:cs="宋体" w:eastAsia="宋体" w:hint="default"/>
          <w:spacing w:val="-3"/>
          <w:w w:val="100"/>
          <w:sz w:val="21"/>
          <w:szCs w:val="21"/>
        </w:rPr>
        <w:t>实</w:t>
      </w:r>
      <w:r>
        <w:rPr>
          <w:rFonts w:ascii="宋体" w:hAnsi="宋体" w:cs="宋体" w:eastAsia="宋体" w:hint="default"/>
          <w:w w:val="100"/>
          <w:sz w:val="21"/>
          <w:szCs w:val="21"/>
        </w:rPr>
        <w:t>业</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完</w:t>
      </w:r>
      <w:r>
        <w:rPr>
          <w:rFonts w:ascii="宋体" w:hAnsi="宋体" w:cs="宋体" w:eastAsia="宋体" w:hint="default"/>
          <w:w w:val="100"/>
          <w:sz w:val="21"/>
          <w:szCs w:val="21"/>
        </w:rPr>
        <w:t>成</w:t>
      </w:r>
      <w:r>
        <w:rPr>
          <w:rFonts w:ascii="宋体" w:hAnsi="宋体" w:cs="宋体" w:eastAsia="宋体" w:hint="default"/>
          <w:spacing w:val="-3"/>
          <w:w w:val="100"/>
          <w:sz w:val="21"/>
          <w:szCs w:val="21"/>
        </w:rPr>
        <w:t>清</w:t>
      </w:r>
      <w:r>
        <w:rPr>
          <w:rFonts w:ascii="宋体" w:hAnsi="宋体" w:cs="宋体" w:eastAsia="宋体" w:hint="default"/>
          <w:w w:val="100"/>
          <w:sz w:val="21"/>
          <w:szCs w:val="21"/>
        </w:rPr>
        <w:t>算</w:t>
      </w:r>
      <w:r>
        <w:rPr>
          <w:rFonts w:ascii="宋体" w:hAnsi="宋体" w:cs="宋体" w:eastAsia="宋体" w:hint="default"/>
          <w:spacing w:val="-3"/>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注</w:t>
      </w:r>
      <w:r>
        <w:rPr>
          <w:rFonts w:ascii="宋体" w:hAnsi="宋体" w:cs="宋体" w:eastAsia="宋体" w:hint="default"/>
          <w:w w:val="100"/>
          <w:sz w:val="21"/>
          <w:szCs w:val="21"/>
        </w:rPr>
        <w:t>销。</w:t>
      </w:r>
    </w:p>
    <w:p>
      <w:pPr>
        <w:spacing w:line="240" w:lineRule="auto" w:before="1"/>
        <w:rPr>
          <w:rFonts w:ascii="宋体" w:hAnsi="宋体" w:cs="宋体" w:eastAsia="宋体" w:hint="default"/>
          <w:sz w:val="19"/>
          <w:szCs w:val="19"/>
        </w:rPr>
      </w:pPr>
    </w:p>
    <w:p>
      <w:pPr>
        <w:spacing w:before="0"/>
        <w:ind w:left="958" w:right="531"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*7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本期本公司将持有的全部金信信托股份转让给浙江国际贸易集团，转让款为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亿元人民币。同时转回已计提的长期投资减值准备。</w:t>
      </w:r>
    </w:p>
    <w:p>
      <w:pPr>
        <w:spacing w:after="0"/>
        <w:jc w:val="left"/>
        <w:rPr>
          <w:rFonts w:ascii="宋体" w:hAnsi="宋体" w:cs="宋体" w:eastAsia="宋体" w:hint="default"/>
          <w:sz w:val="21"/>
          <w:szCs w:val="21"/>
        </w:rPr>
        <w:sectPr>
          <w:pgSz w:w="16840" w:h="11910" w:orient="landscape"/>
          <w:pgMar w:header="943" w:footer="896" w:top="1640" w:bottom="1080" w:left="880" w:right="880"/>
        </w:sectPr>
      </w:pPr>
    </w:p>
    <w:p>
      <w:pPr>
        <w:spacing w:before="93"/>
        <w:ind w:left="558" w:right="431"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*8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本公司子公司深圳市农牧实业有限公司原持有该公司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股权，本期该公司另一个股东单方增资，农牧公司持股比例降为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3.07%</w:t>
      </w:r>
      <w:r>
        <w:rPr>
          <w:rFonts w:ascii="宋体" w:hAnsi="宋体" w:cs="宋体" w:eastAsia="宋体" w:hint="default"/>
          <w:sz w:val="21"/>
          <w:szCs w:val="21"/>
        </w:rPr>
        <w:t>。</w:t>
      </w:r>
    </w:p>
    <w:p>
      <w:pPr>
        <w:spacing w:line="240" w:lineRule="auto" w:before="11"/>
        <w:rPr>
          <w:rFonts w:ascii="宋体" w:hAnsi="宋体" w:cs="宋体" w:eastAsia="宋体" w:hint="default"/>
          <w:sz w:val="18"/>
          <w:szCs w:val="18"/>
        </w:rPr>
      </w:pPr>
    </w:p>
    <w:p>
      <w:pPr>
        <w:spacing w:line="297" w:lineRule="auto" w:before="0"/>
        <w:ind w:left="138" w:right="153" w:firstLine="420"/>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spacing w:val="6"/>
          <w:w w:val="100"/>
          <w:sz w:val="21"/>
          <w:szCs w:val="21"/>
        </w:rPr>
        <w:t> </w:t>
      </w:r>
      <w:r>
        <w:rPr>
          <w:rFonts w:ascii="宋体" w:hAnsi="宋体" w:cs="宋体" w:eastAsia="宋体" w:hint="default"/>
          <w:w w:val="100"/>
          <w:sz w:val="21"/>
          <w:szCs w:val="21"/>
        </w:rPr>
        <w:t>根据</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2004</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28</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7"/>
          <w:w w:val="100"/>
          <w:sz w:val="21"/>
          <w:szCs w:val="21"/>
        </w:rPr>
        <w:t>日本公司及深圳市南山肉联厂共同作为发包方与奚永鹏签订《承包经营合同》，将肉类配送公司承包给奚永鹏经营，承包期</w:t>
      </w:r>
      <w:r>
        <w:rPr>
          <w:rFonts w:ascii="Times New Roman" w:hAnsi="Times New Roman" w:cs="Times New Roman" w:eastAsia="Times New Roman" w:hint="default"/>
          <w:spacing w:val="-7"/>
          <w:w w:val="100"/>
          <w:sz w:val="21"/>
          <w:szCs w:val="21"/>
        </w:rPr>
        <w:t>20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年，承包金为第一年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万元，以后每年按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递增，承包金不受承包方是否盈利影响。另外，承包期内每年所得盈利可分配部分由发包方与承包方四六</w:t>
      </w:r>
      <w:r>
        <w:rPr>
          <w:rFonts w:ascii="宋体" w:hAnsi="宋体" w:cs="宋体" w:eastAsia="宋体" w:hint="default"/>
          <w:w w:val="100"/>
          <w:sz w:val="21"/>
          <w:szCs w:val="21"/>
        </w:rPr>
        <w:t> </w:t>
      </w:r>
      <w:r>
        <w:rPr>
          <w:rFonts w:ascii="宋体" w:hAnsi="宋体" w:cs="宋体" w:eastAsia="宋体" w:hint="default"/>
          <w:sz w:val="21"/>
          <w:szCs w:val="21"/>
        </w:rPr>
        <w:t>分成，本公司和南山肉联厂作为发包方按初始投资比例分配。基于上述原因，本公司在承包期内不能对该公司实施控制，故自</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年起未将肉类配送公</w:t>
      </w:r>
      <w:r>
        <w:rPr>
          <w:rFonts w:ascii="宋体" w:hAnsi="宋体" w:cs="宋体" w:eastAsia="宋体" w:hint="default"/>
          <w:w w:val="100"/>
          <w:sz w:val="21"/>
          <w:szCs w:val="21"/>
        </w:rPr>
        <w:t> </w:t>
      </w:r>
      <w:r>
        <w:rPr>
          <w:rFonts w:ascii="宋体" w:hAnsi="宋体" w:cs="宋体" w:eastAsia="宋体" w:hint="default"/>
          <w:sz w:val="21"/>
          <w:szCs w:val="21"/>
        </w:rPr>
        <w:t>司纳入合并报表。</w:t>
      </w:r>
    </w:p>
    <w:p>
      <w:pPr>
        <w:spacing w:line="240" w:lineRule="auto" w:before="5"/>
        <w:rPr>
          <w:rFonts w:ascii="宋体" w:hAnsi="宋体" w:cs="宋体" w:eastAsia="宋体" w:hint="default"/>
          <w:sz w:val="16"/>
          <w:szCs w:val="16"/>
        </w:rPr>
      </w:pPr>
    </w:p>
    <w:p>
      <w:pPr>
        <w:spacing w:line="297" w:lineRule="auto" w:before="0"/>
        <w:ind w:left="138" w:right="153"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*10</w:t>
      </w:r>
      <w:r>
        <w:rPr>
          <w:rFonts w:ascii="Times New Roman" w:hAnsi="Times New Roman" w:cs="Times New Roman" w:eastAsia="Times New Roman" w:hint="default"/>
          <w:spacing w:val="12"/>
          <w:sz w:val="21"/>
          <w:szCs w:val="21"/>
        </w:rPr>
        <w:t> </w:t>
      </w:r>
      <w:r>
        <w:rPr>
          <w:rFonts w:ascii="宋体" w:hAnsi="宋体" w:cs="宋体" w:eastAsia="宋体" w:hint="default"/>
          <w:spacing w:val="-2"/>
          <w:sz w:val="21"/>
          <w:szCs w:val="21"/>
        </w:rPr>
        <w:t>本公司与深圳市楷桓实业发展有限公司（以下简称楷桓公司）共同设立深圳市农产品丰湖投资有限公司，负责开发丰湖花园项目，本公司持有深</w:t>
      </w:r>
      <w:r>
        <w:rPr>
          <w:rFonts w:ascii="宋体" w:hAnsi="宋体" w:cs="宋体" w:eastAsia="宋体" w:hint="default"/>
          <w:w w:val="100"/>
          <w:sz w:val="21"/>
          <w:szCs w:val="21"/>
        </w:rPr>
        <w:t> </w:t>
      </w:r>
      <w:r>
        <w:rPr>
          <w:rFonts w:ascii="宋体" w:hAnsi="宋体" w:cs="宋体" w:eastAsia="宋体" w:hint="default"/>
          <w:sz w:val="21"/>
          <w:szCs w:val="21"/>
        </w:rPr>
        <w:t>圳市农产品丰湖投资有限公司 </w:t>
      </w:r>
      <w:r>
        <w:rPr>
          <w:rFonts w:ascii="Times New Roman" w:hAnsi="Times New Roman" w:cs="Times New Roman" w:eastAsia="Times New Roman" w:hint="default"/>
          <w:spacing w:val="-3"/>
          <w:sz w:val="21"/>
          <w:szCs w:val="21"/>
        </w:rPr>
        <w:t>80%</w:t>
      </w:r>
      <w:r>
        <w:rPr>
          <w:rFonts w:ascii="宋体" w:hAnsi="宋体" w:cs="宋体" w:eastAsia="宋体" w:hint="default"/>
          <w:spacing w:val="-3"/>
          <w:sz w:val="21"/>
          <w:szCs w:val="21"/>
        </w:rPr>
        <w:t>股权，根据双方协商方案，由楷桓公司控制该公司经营，本公司不享有控制权，故一直未纳入合并报表。截至报告期末</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该公司正在进行清算注销。</w:t>
      </w:r>
    </w:p>
    <w:p>
      <w:pPr>
        <w:spacing w:line="240" w:lineRule="auto" w:before="5"/>
        <w:rPr>
          <w:rFonts w:ascii="宋体" w:hAnsi="宋体" w:cs="宋体" w:eastAsia="宋体" w:hint="default"/>
          <w:sz w:val="16"/>
          <w:szCs w:val="16"/>
        </w:rPr>
      </w:pPr>
    </w:p>
    <w:p>
      <w:pPr>
        <w:spacing w:line="297" w:lineRule="auto" w:before="0"/>
        <w:ind w:left="138" w:right="10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本公司子公司深圳市布吉海鲜批发市场有限公司持有该公司</w:t>
      </w:r>
      <w:r>
        <w:rPr>
          <w:rFonts w:ascii="宋体" w:hAnsi="宋体" w:cs="宋体" w:eastAsia="宋体" w:hint="default"/>
          <w:spacing w:val="-73"/>
          <w:sz w:val="21"/>
          <w:szCs w:val="21"/>
        </w:rPr>
        <w:t> </w:t>
      </w:r>
      <w:r>
        <w:rPr>
          <w:rFonts w:ascii="Times New Roman" w:hAnsi="Times New Roman" w:cs="Times New Roman" w:eastAsia="Times New Roman" w:hint="default"/>
          <w:spacing w:val="-5"/>
          <w:sz w:val="21"/>
          <w:szCs w:val="21"/>
        </w:rPr>
        <w:t>51%</w:t>
      </w:r>
      <w:r>
        <w:rPr>
          <w:rFonts w:ascii="宋体" w:hAnsi="宋体" w:cs="宋体" w:eastAsia="宋体" w:hint="default"/>
          <w:spacing w:val="-5"/>
          <w:sz w:val="21"/>
          <w:szCs w:val="21"/>
        </w:rPr>
        <w:t>股权，但该公司已由其他方承包经营，本公司在承包期内不能对该公司实施控制</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w w:val="75"/>
          <w:sz w:val="21"/>
          <w:szCs w:val="21"/>
        </w:rPr>
        <w:t> </w:t>
      </w:r>
      <w:r>
        <w:rPr>
          <w:rFonts w:ascii="宋体" w:hAnsi="宋体" w:cs="宋体" w:eastAsia="宋体" w:hint="default"/>
          <w:sz w:val="21"/>
          <w:szCs w:val="21"/>
        </w:rPr>
        <w:t>故未将该公司纳入合并报表。</w:t>
      </w:r>
    </w:p>
    <w:p>
      <w:pPr>
        <w:spacing w:line="240" w:lineRule="auto" w:before="3"/>
        <w:rPr>
          <w:rFonts w:ascii="宋体" w:hAnsi="宋体" w:cs="宋体" w:eastAsia="宋体" w:hint="default"/>
          <w:sz w:val="16"/>
          <w:szCs w:val="16"/>
        </w:rPr>
      </w:pPr>
    </w:p>
    <w:p>
      <w:pPr>
        <w:spacing w:before="0"/>
        <w:ind w:left="558" w:right="4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减值准备计提原因：</w:t>
      </w:r>
    </w:p>
    <w:p>
      <w:pPr>
        <w:spacing w:line="240" w:lineRule="auto" w:before="1"/>
        <w:rPr>
          <w:rFonts w:ascii="宋体" w:hAnsi="宋体" w:cs="宋体" w:eastAsia="宋体" w:hint="default"/>
          <w:sz w:val="19"/>
          <w:szCs w:val="19"/>
        </w:rPr>
      </w:pPr>
    </w:p>
    <w:p>
      <w:pPr>
        <w:spacing w:line="458" w:lineRule="auto" w:before="0"/>
        <w:ind w:left="558" w:right="431" w:firstLine="0"/>
        <w:jc w:val="left"/>
        <w:rPr>
          <w:rFonts w:ascii="宋体" w:hAnsi="宋体" w:cs="宋体" w:eastAsia="宋体" w:hint="default"/>
          <w:sz w:val="21"/>
          <w:szCs w:val="21"/>
        </w:rPr>
      </w:pPr>
      <w:r>
        <w:rPr>
          <w:rFonts w:ascii="宋体" w:hAnsi="宋体" w:cs="宋体" w:eastAsia="宋体" w:hint="default"/>
          <w:sz w:val="21"/>
          <w:szCs w:val="21"/>
        </w:rPr>
        <w:t>深圳市海农食品公司：该公司已于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年被吊销营业执照，公司无可实际清算资产。</w:t>
      </w:r>
      <w:r>
        <w:rPr>
          <w:rFonts w:ascii="宋体" w:hAnsi="宋体" w:cs="宋体" w:eastAsia="宋体" w:hint="default"/>
          <w:w w:val="100"/>
          <w:sz w:val="21"/>
          <w:szCs w:val="21"/>
        </w:rPr>
        <w:t> </w:t>
      </w:r>
      <w:r>
        <w:rPr>
          <w:rFonts w:ascii="宋体" w:hAnsi="宋体" w:cs="宋体" w:eastAsia="宋体" w:hint="default"/>
          <w:sz w:val="21"/>
          <w:szCs w:val="21"/>
        </w:rPr>
        <w:t>深圳市益民西磷食品有限公司：该公司已被吊销营业执照。</w:t>
      </w:r>
      <w:r>
        <w:rPr>
          <w:rFonts w:ascii="宋体" w:hAnsi="宋体" w:cs="宋体" w:eastAsia="宋体" w:hint="default"/>
          <w:w w:val="100"/>
          <w:sz w:val="21"/>
          <w:szCs w:val="21"/>
        </w:rPr>
        <w:t> </w:t>
      </w:r>
      <w:r>
        <w:rPr>
          <w:rFonts w:ascii="宋体" w:hAnsi="宋体" w:cs="宋体" w:eastAsia="宋体" w:hint="default"/>
          <w:spacing w:val="-2"/>
          <w:sz w:val="21"/>
          <w:szCs w:val="21"/>
        </w:rPr>
        <w:t>深圳市农产品肉类配送有限公司：该公司已承包给他人经营，目前经营连续亏损，承包金回收困难。</w:t>
      </w:r>
    </w:p>
    <w:p>
      <w:pPr>
        <w:spacing w:after="0" w:line="458" w:lineRule="auto"/>
        <w:jc w:val="left"/>
        <w:rPr>
          <w:rFonts w:ascii="宋体" w:hAnsi="宋体" w:cs="宋体" w:eastAsia="宋体" w:hint="default"/>
          <w:sz w:val="21"/>
          <w:szCs w:val="21"/>
        </w:rPr>
        <w:sectPr>
          <w:pgSz w:w="16840" w:h="11910" w:orient="landscape"/>
          <w:pgMar w:header="943" w:footer="896" w:top="1640" w:bottom="1080" w:left="1280" w:right="12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641" w:right="9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i)</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投资性房地产</w:t>
      </w:r>
    </w:p>
    <w:p>
      <w:pPr>
        <w:spacing w:line="240" w:lineRule="auto" w:before="13"/>
        <w:rPr>
          <w:rFonts w:ascii="宋体" w:hAnsi="宋体" w:cs="宋体" w:eastAsia="宋体" w:hint="default"/>
          <w:sz w:val="21"/>
          <w:szCs w:val="21"/>
        </w:rPr>
      </w:pPr>
    </w:p>
    <w:p>
      <w:pPr>
        <w:spacing w:before="0"/>
        <w:ind w:left="641" w:right="9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）按成本模式计量的投资性房地产</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899"/>
        <w:gridCol w:w="1450"/>
        <w:gridCol w:w="1450"/>
        <w:gridCol w:w="1452"/>
        <w:gridCol w:w="1450"/>
      </w:tblGrid>
      <w:tr>
        <w:trPr>
          <w:trHeight w:val="370"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300" w:right="0"/>
              <w:jc w:val="left"/>
              <w:rPr>
                <w:rFonts w:ascii="Times New Roman" w:hAnsi="Times New Roman" w:cs="Times New Roman" w:eastAsia="Times New Roman" w:hint="default"/>
                <w:sz w:val="18"/>
                <w:szCs w:val="18"/>
              </w:rPr>
            </w:pPr>
            <w:r>
              <w:rPr>
                <w:rFonts w:ascii="Times New Roman"/>
                <w:sz w:val="18"/>
              </w:rPr>
              <w:t>2008-12-31</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3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3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297" w:right="0"/>
              <w:jc w:val="left"/>
              <w:rPr>
                <w:rFonts w:ascii="Times New Roman" w:hAnsi="Times New Roman" w:cs="Times New Roman" w:eastAsia="Times New Roman" w:hint="default"/>
                <w:sz w:val="18"/>
                <w:szCs w:val="18"/>
              </w:rPr>
            </w:pPr>
            <w:r>
              <w:rPr>
                <w:rFonts w:ascii="Times New Roman"/>
                <w:sz w:val="18"/>
              </w:rPr>
              <w:t>2009-12-31</w:t>
            </w:r>
          </w:p>
        </w:tc>
      </w:tr>
      <w:tr>
        <w:trPr>
          <w:trHeight w:val="370"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713,961,563.84</w:t>
            </w:r>
            <w:r>
              <w:rPr>
                <w:rFonts w:ascii="Times New Roman"/>
                <w:spacing w:val="-1"/>
                <w:sz w:val="18"/>
              </w:rPr>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8,361,886.38</w:t>
            </w:r>
            <w:r>
              <w:rPr>
                <w:rFonts w:ascii="Times New Roman"/>
                <w:spacing w:val="-1"/>
                <w:sz w:val="18"/>
              </w:rPr>
            </w:r>
          </w:p>
        </w:tc>
        <w:tc>
          <w:tcPr>
            <w:tcW w:w="14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29,927,025.27</w:t>
            </w:r>
            <w:r>
              <w:rPr>
                <w:rFonts w:ascii="Times New Roman"/>
                <w:spacing w:val="-1"/>
                <w:sz w:val="18"/>
              </w:rPr>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692,396,424.95</w:t>
            </w:r>
            <w:r>
              <w:rPr>
                <w:rFonts w:ascii="Times New Roman"/>
                <w:spacing w:val="-1"/>
                <w:sz w:val="18"/>
              </w:rPr>
            </w:r>
          </w:p>
        </w:tc>
      </w:tr>
      <w:tr>
        <w:trPr>
          <w:trHeight w:val="370"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713,961,563.84</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8,361,886.38</w:t>
            </w:r>
          </w:p>
        </w:tc>
        <w:tc>
          <w:tcPr>
            <w:tcW w:w="14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29,927,025.27</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692,396,424.95</w:t>
            </w:r>
          </w:p>
        </w:tc>
      </w:tr>
      <w:tr>
        <w:trPr>
          <w:trHeight w:val="370"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2"/>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二、累计折旧合计</w:t>
            </w:r>
            <w:r>
              <w:rPr>
                <w:rFonts w:ascii="Microsoft JhengHei" w:hAnsi="Microsoft JhengHei" w:cs="Microsoft JhengHei" w:eastAsia="Microsoft JhengHei" w:hint="default"/>
                <w:sz w:val="18"/>
                <w:szCs w:val="18"/>
              </w:rPr>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b/>
                <w:spacing w:val="-1"/>
                <w:sz w:val="18"/>
              </w:rPr>
              <w:t>124,957,884.03</w:t>
            </w:r>
            <w:r>
              <w:rPr>
                <w:rFonts w:ascii="Times New Roman"/>
                <w:spacing w:val="-1"/>
                <w:sz w:val="18"/>
              </w:rPr>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b/>
                <w:spacing w:val="-1"/>
                <w:sz w:val="18"/>
              </w:rPr>
              <w:t>21,379,508.40</w:t>
            </w:r>
            <w:r>
              <w:rPr>
                <w:rFonts w:ascii="Times New Roman"/>
                <w:spacing w:val="-1"/>
                <w:sz w:val="18"/>
              </w:rPr>
            </w:r>
          </w:p>
        </w:tc>
        <w:tc>
          <w:tcPr>
            <w:tcW w:w="14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4"/>
              <w:jc w:val="right"/>
              <w:rPr>
                <w:rFonts w:ascii="Times New Roman" w:hAnsi="Times New Roman" w:cs="Times New Roman" w:eastAsia="Times New Roman" w:hint="default"/>
                <w:sz w:val="18"/>
                <w:szCs w:val="18"/>
              </w:rPr>
            </w:pPr>
            <w:r>
              <w:rPr>
                <w:rFonts w:ascii="Times New Roman"/>
                <w:b/>
                <w:spacing w:val="-1"/>
                <w:sz w:val="18"/>
              </w:rPr>
              <w:t>1,454,219.73</w:t>
            </w:r>
            <w:r>
              <w:rPr>
                <w:rFonts w:ascii="Times New Roman"/>
                <w:spacing w:val="-1"/>
                <w:sz w:val="18"/>
              </w:rPr>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b/>
                <w:spacing w:val="-1"/>
                <w:sz w:val="18"/>
              </w:rPr>
              <w:t>144,883,172.70</w:t>
            </w:r>
            <w:r>
              <w:rPr>
                <w:rFonts w:ascii="Times New Roman"/>
                <w:spacing w:val="-1"/>
                <w:sz w:val="18"/>
              </w:rPr>
            </w:r>
          </w:p>
        </w:tc>
      </w:tr>
      <w:tr>
        <w:trPr>
          <w:trHeight w:val="372"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124,957,884.03</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21,379,508.40</w:t>
            </w:r>
          </w:p>
        </w:tc>
        <w:tc>
          <w:tcPr>
            <w:tcW w:w="14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1,454,219.73</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144,883,172.70</w:t>
            </w:r>
          </w:p>
        </w:tc>
      </w:tr>
      <w:tr>
        <w:trPr>
          <w:trHeight w:val="370"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三、账面净值合计</w:t>
            </w:r>
            <w:r>
              <w:rPr>
                <w:rFonts w:ascii="Microsoft JhengHei" w:hAnsi="Microsoft JhengHei" w:cs="Microsoft JhengHei" w:eastAsia="Microsoft JhengHei" w:hint="default"/>
                <w:sz w:val="18"/>
                <w:szCs w:val="18"/>
              </w:rPr>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b/>
                <w:spacing w:val="-1"/>
                <w:sz w:val="18"/>
              </w:rPr>
              <w:t>589,003,679.81</w:t>
            </w:r>
            <w:r>
              <w:rPr>
                <w:rFonts w:ascii="Times New Roman"/>
                <w:spacing w:val="-1"/>
                <w:sz w:val="18"/>
              </w:rPr>
            </w:r>
          </w:p>
        </w:tc>
        <w:tc>
          <w:tcPr>
            <w:tcW w:w="1450" w:type="dxa"/>
            <w:tcBorders>
              <w:top w:val="single" w:sz="4" w:space="0" w:color="000008"/>
              <w:left w:val="single" w:sz="4" w:space="0" w:color="000008"/>
              <w:bottom w:val="single" w:sz="4" w:space="0" w:color="000008"/>
              <w:right w:val="single" w:sz="4" w:space="0" w:color="000008"/>
            </w:tcBorders>
          </w:tcPr>
          <w:p>
            <w:pPr/>
          </w:p>
        </w:tc>
        <w:tc>
          <w:tcPr>
            <w:tcW w:w="1452"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b/>
                <w:spacing w:val="-1"/>
                <w:sz w:val="18"/>
              </w:rPr>
              <w:t>547,513,252.25</w:t>
            </w:r>
            <w:r>
              <w:rPr>
                <w:rFonts w:ascii="Times New Roman"/>
                <w:spacing w:val="-1"/>
                <w:sz w:val="18"/>
              </w:rPr>
            </w:r>
          </w:p>
        </w:tc>
      </w:tr>
      <w:tr>
        <w:trPr>
          <w:trHeight w:val="370"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589,003,679.81</w:t>
            </w:r>
          </w:p>
        </w:tc>
        <w:tc>
          <w:tcPr>
            <w:tcW w:w="1450" w:type="dxa"/>
            <w:tcBorders>
              <w:top w:val="single" w:sz="4" w:space="0" w:color="000008"/>
              <w:left w:val="single" w:sz="4" w:space="0" w:color="000008"/>
              <w:bottom w:val="single" w:sz="4" w:space="0" w:color="000008"/>
              <w:right w:val="single" w:sz="4" w:space="0" w:color="000008"/>
            </w:tcBorders>
          </w:tcPr>
          <w:p>
            <w:pPr/>
          </w:p>
        </w:tc>
        <w:tc>
          <w:tcPr>
            <w:tcW w:w="1452"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547,513,252.25</w:t>
            </w:r>
          </w:p>
        </w:tc>
      </w:tr>
      <w:tr>
        <w:trPr>
          <w:trHeight w:val="370"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50" w:type="dxa"/>
            <w:tcBorders>
              <w:top w:val="single" w:sz="4" w:space="0" w:color="000008"/>
              <w:left w:val="single" w:sz="4" w:space="0" w:color="000008"/>
              <w:bottom w:val="single" w:sz="4" w:space="0" w:color="000008"/>
              <w:right w:val="single" w:sz="4" w:space="0" w:color="000008"/>
            </w:tcBorders>
          </w:tcPr>
          <w:p>
            <w:pPr/>
          </w:p>
        </w:tc>
        <w:tc>
          <w:tcPr>
            <w:tcW w:w="1452"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70"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8"/>
              <w:left w:val="single" w:sz="4" w:space="0" w:color="000008"/>
              <w:bottom w:val="single" w:sz="4" w:space="0" w:color="000008"/>
              <w:right w:val="single" w:sz="4" w:space="0" w:color="000008"/>
            </w:tcBorders>
          </w:tcPr>
          <w:p>
            <w:pPr/>
          </w:p>
        </w:tc>
        <w:tc>
          <w:tcPr>
            <w:tcW w:w="1452"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2"/>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五、账面价值合计</w:t>
            </w:r>
            <w:r>
              <w:rPr>
                <w:rFonts w:ascii="Microsoft JhengHei" w:hAnsi="Microsoft JhengHei" w:cs="Microsoft JhengHei" w:eastAsia="Microsoft JhengHei" w:hint="default"/>
                <w:sz w:val="18"/>
                <w:szCs w:val="18"/>
              </w:rPr>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b/>
                <w:spacing w:val="-1"/>
                <w:sz w:val="18"/>
              </w:rPr>
              <w:t>589,003,679.81</w:t>
            </w:r>
            <w:r>
              <w:rPr>
                <w:rFonts w:ascii="Times New Roman"/>
                <w:spacing w:val="-1"/>
                <w:sz w:val="18"/>
              </w:rPr>
            </w:r>
          </w:p>
        </w:tc>
        <w:tc>
          <w:tcPr>
            <w:tcW w:w="1450" w:type="dxa"/>
            <w:tcBorders>
              <w:top w:val="single" w:sz="4" w:space="0" w:color="000008"/>
              <w:left w:val="single" w:sz="4" w:space="0" w:color="000008"/>
              <w:bottom w:val="single" w:sz="4" w:space="0" w:color="000008"/>
              <w:right w:val="single" w:sz="4" w:space="0" w:color="000008"/>
            </w:tcBorders>
          </w:tcPr>
          <w:p>
            <w:pPr/>
          </w:p>
        </w:tc>
        <w:tc>
          <w:tcPr>
            <w:tcW w:w="1452"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b/>
                <w:spacing w:val="-1"/>
                <w:sz w:val="18"/>
              </w:rPr>
              <w:t>547,513,252.25</w:t>
            </w:r>
            <w:r>
              <w:rPr>
                <w:rFonts w:ascii="Times New Roman"/>
                <w:spacing w:val="-1"/>
                <w:sz w:val="18"/>
              </w:rPr>
            </w:r>
          </w:p>
        </w:tc>
      </w:tr>
      <w:tr>
        <w:trPr>
          <w:trHeight w:val="372" w:hRule="exact"/>
        </w:trPr>
        <w:tc>
          <w:tcPr>
            <w:tcW w:w="28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589,003,679.81</w:t>
            </w:r>
          </w:p>
        </w:tc>
        <w:tc>
          <w:tcPr>
            <w:tcW w:w="1450" w:type="dxa"/>
            <w:tcBorders>
              <w:top w:val="single" w:sz="4" w:space="0" w:color="000008"/>
              <w:left w:val="single" w:sz="4" w:space="0" w:color="000008"/>
              <w:bottom w:val="single" w:sz="4" w:space="0" w:color="000008"/>
              <w:right w:val="single" w:sz="4" w:space="0" w:color="000008"/>
            </w:tcBorders>
          </w:tcPr>
          <w:p>
            <w:pPr/>
          </w:p>
        </w:tc>
        <w:tc>
          <w:tcPr>
            <w:tcW w:w="1452"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547,513,252.25</w:t>
            </w:r>
          </w:p>
        </w:tc>
      </w:tr>
    </w:tbl>
    <w:p>
      <w:pPr>
        <w:spacing w:before="165"/>
        <w:ind w:left="641" w:right="914" w:firstLine="0"/>
        <w:jc w:val="left"/>
        <w:rPr>
          <w:rFonts w:ascii="宋体" w:hAnsi="宋体" w:cs="宋体" w:eastAsia="宋体" w:hint="default"/>
          <w:sz w:val="21"/>
          <w:szCs w:val="21"/>
        </w:rPr>
      </w:pPr>
      <w:r>
        <w:rPr>
          <w:rFonts w:ascii="宋体" w:hAnsi="宋体" w:cs="宋体" w:eastAsia="宋体" w:hint="default"/>
          <w:sz w:val="21"/>
          <w:szCs w:val="21"/>
        </w:rPr>
        <w:t>本期折旧</w:t>
      </w:r>
      <w:r>
        <w:rPr>
          <w:rFonts w:ascii="宋体" w:hAnsi="宋体" w:cs="宋体" w:eastAsia="宋体" w:hint="default"/>
          <w:spacing w:val="-56"/>
          <w:sz w:val="21"/>
          <w:szCs w:val="21"/>
        </w:rPr>
        <w:t> </w:t>
      </w:r>
      <w:r>
        <w:rPr>
          <w:rFonts w:ascii="Times New Roman" w:hAnsi="Times New Roman" w:cs="Times New Roman" w:eastAsia="Times New Roman" w:hint="default"/>
          <w:sz w:val="18"/>
          <w:szCs w:val="18"/>
        </w:rPr>
        <w:t>21,379,508.40</w:t>
      </w:r>
      <w:r>
        <w:rPr>
          <w:rFonts w:ascii="Times New Roman" w:hAnsi="Times New Roman" w:cs="Times New Roman" w:eastAsia="Times New Roman" w:hint="default"/>
          <w:spacing w:val="-2"/>
          <w:sz w:val="18"/>
          <w:szCs w:val="18"/>
        </w:rPr>
        <w:t> </w:t>
      </w:r>
      <w:r>
        <w:rPr>
          <w:rFonts w:ascii="宋体" w:hAnsi="宋体" w:cs="宋体" w:eastAsia="宋体" w:hint="default"/>
          <w:sz w:val="21"/>
          <w:szCs w:val="21"/>
        </w:rPr>
        <w:t>元。</w:t>
      </w:r>
    </w:p>
    <w:p>
      <w:pPr>
        <w:spacing w:line="240" w:lineRule="auto" w:before="2"/>
        <w:rPr>
          <w:rFonts w:ascii="宋体" w:hAnsi="宋体" w:cs="宋体" w:eastAsia="宋体" w:hint="default"/>
          <w:sz w:val="24"/>
          <w:szCs w:val="24"/>
        </w:rPr>
      </w:pPr>
    </w:p>
    <w:p>
      <w:pPr>
        <w:spacing w:line="345" w:lineRule="auto" w:before="0"/>
        <w:ind w:left="221" w:right="914"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日，本公司投资性房地产项目中未发现有减值事项发生，故未计提</w:t>
      </w:r>
      <w:r>
        <w:rPr>
          <w:rFonts w:ascii="宋体" w:hAnsi="宋体" w:cs="宋体" w:eastAsia="宋体" w:hint="default"/>
          <w:w w:val="100"/>
          <w:sz w:val="21"/>
          <w:szCs w:val="21"/>
        </w:rPr>
        <w:t> </w:t>
      </w:r>
      <w:r>
        <w:rPr>
          <w:rFonts w:ascii="宋体" w:hAnsi="宋体" w:cs="宋体" w:eastAsia="宋体" w:hint="default"/>
          <w:sz w:val="21"/>
          <w:szCs w:val="21"/>
        </w:rPr>
        <w:t>相应的资产减值准备。</w:t>
      </w:r>
    </w:p>
    <w:p>
      <w:pPr>
        <w:spacing w:line="240" w:lineRule="auto" w:before="10"/>
        <w:rPr>
          <w:rFonts w:ascii="宋体" w:hAnsi="宋体" w:cs="宋体" w:eastAsia="宋体" w:hint="default"/>
          <w:sz w:val="17"/>
          <w:szCs w:val="17"/>
        </w:rPr>
      </w:pPr>
    </w:p>
    <w:p>
      <w:pPr>
        <w:spacing w:before="0"/>
        <w:ind w:left="641" w:right="9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）期末抵押的投资性房地产</w:t>
      </w:r>
    </w:p>
    <w:p>
      <w:pPr>
        <w:spacing w:line="240" w:lineRule="auto" w:before="1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38"/>
        <w:gridCol w:w="2966"/>
        <w:gridCol w:w="2945"/>
      </w:tblGrid>
      <w:tr>
        <w:trPr>
          <w:trHeight w:val="497" w:hRule="exact"/>
        </w:trPr>
        <w:tc>
          <w:tcPr>
            <w:tcW w:w="2938"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被抵押的投资性房地产项目</w:t>
            </w:r>
          </w:p>
        </w:tc>
        <w:tc>
          <w:tcPr>
            <w:tcW w:w="2966"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被抵押投资性房地产期末原值</w:t>
            </w:r>
          </w:p>
        </w:tc>
        <w:tc>
          <w:tcPr>
            <w:tcW w:w="2945"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被抵押投资性房地产期末净值</w:t>
            </w:r>
          </w:p>
        </w:tc>
      </w:tr>
      <w:tr>
        <w:trPr>
          <w:trHeight w:val="514" w:hRule="exact"/>
        </w:trPr>
        <w:tc>
          <w:tcPr>
            <w:tcW w:w="2938"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南昌农批老市场</w:t>
            </w:r>
          </w:p>
        </w:tc>
        <w:tc>
          <w:tcPr>
            <w:tcW w:w="2966"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51,661,190.73</w:t>
            </w:r>
          </w:p>
        </w:tc>
        <w:tc>
          <w:tcPr>
            <w:tcW w:w="2945"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41,872,954.53</w:t>
            </w:r>
          </w:p>
        </w:tc>
      </w:tr>
      <w:tr>
        <w:trPr>
          <w:trHeight w:val="516" w:hRule="exact"/>
        </w:trPr>
        <w:tc>
          <w:tcPr>
            <w:tcW w:w="2938"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南山批发市场</w:t>
            </w:r>
          </w:p>
        </w:tc>
        <w:tc>
          <w:tcPr>
            <w:tcW w:w="2966"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19,800,000.00</w:t>
            </w:r>
          </w:p>
        </w:tc>
        <w:tc>
          <w:tcPr>
            <w:tcW w:w="2945"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17,172,571.25</w:t>
            </w:r>
          </w:p>
        </w:tc>
      </w:tr>
      <w:tr>
        <w:trPr>
          <w:trHeight w:val="533" w:hRule="exact"/>
        </w:trPr>
        <w:tc>
          <w:tcPr>
            <w:tcW w:w="2938"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5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66"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71,461,190.73</w:t>
            </w:r>
            <w:r>
              <w:rPr>
                <w:rFonts w:ascii="Times New Roman"/>
                <w:spacing w:val="-1"/>
                <w:sz w:val="18"/>
              </w:rPr>
            </w:r>
          </w:p>
        </w:tc>
        <w:tc>
          <w:tcPr>
            <w:tcW w:w="2945"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59,045,525.78</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641" w:right="9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）未办妥产权证书的投资性房地产情况</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807"/>
        <w:gridCol w:w="1361"/>
        <w:gridCol w:w="1250"/>
        <w:gridCol w:w="658"/>
        <w:gridCol w:w="1358"/>
        <w:gridCol w:w="1711"/>
        <w:gridCol w:w="1270"/>
      </w:tblGrid>
      <w:tr>
        <w:trPr>
          <w:trHeight w:val="809" w:hRule="exact"/>
        </w:trPr>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658"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28"/>
              <w:ind w:left="141" w:right="14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28"/>
              <w:ind w:left="492" w:right="396" w:hanging="89"/>
              <w:jc w:val="left"/>
              <w:rPr>
                <w:rFonts w:ascii="宋体" w:hAnsi="宋体" w:cs="宋体" w:eastAsia="宋体" w:hint="default"/>
                <w:sz w:val="18"/>
                <w:szCs w:val="18"/>
              </w:rPr>
            </w:pPr>
            <w:r>
              <w:rPr>
                <w:rFonts w:ascii="宋体" w:hAnsi="宋体" w:cs="宋体" w:eastAsia="宋体" w:hint="default"/>
                <w:sz w:val="18"/>
                <w:szCs w:val="18"/>
              </w:rPr>
              <w:t>未办妥产权 证书原因</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28"/>
              <w:ind w:left="88" w:right="89" w:firstLine="180"/>
              <w:jc w:val="left"/>
              <w:rPr>
                <w:rFonts w:ascii="宋体" w:hAnsi="宋体" w:cs="宋体" w:eastAsia="宋体" w:hint="default"/>
                <w:sz w:val="18"/>
                <w:szCs w:val="18"/>
              </w:rPr>
            </w:pPr>
            <w:r>
              <w:rPr>
                <w:rFonts w:ascii="宋体" w:hAnsi="宋体" w:cs="宋体" w:eastAsia="宋体" w:hint="default"/>
                <w:sz w:val="18"/>
                <w:szCs w:val="18"/>
              </w:rPr>
              <w:t>预计办结 产权证书时间</w:t>
            </w:r>
          </w:p>
        </w:tc>
      </w:tr>
      <w:tr>
        <w:trPr>
          <w:trHeight w:val="410" w:hRule="exact"/>
        </w:trPr>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left"/>
              <w:rPr>
                <w:rFonts w:ascii="宋体" w:hAnsi="宋体" w:cs="宋体" w:eastAsia="宋体" w:hint="default"/>
                <w:sz w:val="18"/>
                <w:szCs w:val="18"/>
              </w:rPr>
            </w:pPr>
            <w:r>
              <w:rPr>
                <w:rFonts w:ascii="宋体" w:hAnsi="宋体" w:cs="宋体" w:eastAsia="宋体" w:hint="default"/>
                <w:sz w:val="18"/>
                <w:szCs w:val="18"/>
              </w:rPr>
              <w:t>南昌农批新市场</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92,892,182.92</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3,084,519.15</w:t>
            </w:r>
          </w:p>
        </w:tc>
        <w:tc>
          <w:tcPr>
            <w:tcW w:w="6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89,807,663.77</w:t>
            </w:r>
          </w:p>
        </w:tc>
        <w:tc>
          <w:tcPr>
            <w:tcW w:w="1711" w:type="dxa"/>
            <w:vMerge w:val="restart"/>
            <w:tcBorders>
              <w:top w:val="single" w:sz="4" w:space="0" w:color="000008"/>
              <w:left w:val="single" w:sz="4" w:space="0" w:color="000008"/>
              <w:right w:val="single" w:sz="4" w:space="0" w:color="000008"/>
            </w:tcBorders>
          </w:tcPr>
          <w:p>
            <w:pPr>
              <w:pStyle w:val="TableParagraph"/>
              <w:spacing w:line="408" w:lineRule="auto" w:before="154"/>
              <w:ind w:left="2" w:right="2"/>
              <w:jc w:val="both"/>
              <w:rPr>
                <w:rFonts w:ascii="宋体" w:hAnsi="宋体" w:cs="宋体" w:eastAsia="宋体" w:hint="default"/>
                <w:sz w:val="18"/>
                <w:szCs w:val="18"/>
              </w:rPr>
            </w:pPr>
            <w:r>
              <w:rPr>
                <w:rFonts w:ascii="宋体" w:hAnsi="宋体" w:cs="宋体" w:eastAsia="宋体" w:hint="default"/>
                <w:spacing w:val="7"/>
                <w:sz w:val="18"/>
                <w:szCs w:val="18"/>
              </w:rPr>
              <w:t>已取得市场整体土地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使用证，但市场内建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设的交易大棚及配套</w:t>
            </w:r>
          </w:p>
          <w:p>
            <w:pPr>
              <w:pStyle w:val="TableParagraph"/>
              <w:spacing w:line="240" w:lineRule="auto" w:before="39"/>
              <w:ind w:left="2" w:right="0"/>
              <w:jc w:val="both"/>
              <w:rPr>
                <w:rFonts w:ascii="宋体" w:hAnsi="宋体" w:cs="宋体" w:eastAsia="宋体" w:hint="default"/>
                <w:sz w:val="18"/>
                <w:szCs w:val="18"/>
              </w:rPr>
            </w:pPr>
            <w:r>
              <w:rPr>
                <w:rFonts w:ascii="宋体" w:hAnsi="宋体" w:cs="宋体" w:eastAsia="宋体" w:hint="default"/>
                <w:sz w:val="18"/>
                <w:szCs w:val="18"/>
              </w:rPr>
              <w:t>设施未办理产权证</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年前</w:t>
            </w:r>
          </w:p>
        </w:tc>
      </w:tr>
      <w:tr>
        <w:trPr>
          <w:trHeight w:val="410" w:hRule="exact"/>
        </w:trPr>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0"/>
              <w:jc w:val="left"/>
              <w:rPr>
                <w:rFonts w:ascii="宋体" w:hAnsi="宋体" w:cs="宋体" w:eastAsia="宋体" w:hint="default"/>
                <w:sz w:val="18"/>
                <w:szCs w:val="18"/>
              </w:rPr>
            </w:pPr>
            <w:r>
              <w:rPr>
                <w:rFonts w:ascii="宋体" w:hAnsi="宋体" w:cs="宋体" w:eastAsia="宋体" w:hint="default"/>
                <w:sz w:val="18"/>
                <w:szCs w:val="18"/>
              </w:rPr>
              <w:t>上海农批市场</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144,565,851.56</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36,442,470.25</w:t>
            </w:r>
          </w:p>
        </w:tc>
        <w:tc>
          <w:tcPr>
            <w:tcW w:w="6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108,123,381.31</w:t>
            </w:r>
          </w:p>
        </w:tc>
        <w:tc>
          <w:tcPr>
            <w:tcW w:w="1711" w:type="dxa"/>
            <w:vMerge/>
            <w:tcBorders>
              <w:left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410" w:hRule="exact"/>
        </w:trPr>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left"/>
              <w:rPr>
                <w:rFonts w:ascii="宋体" w:hAnsi="宋体" w:cs="宋体" w:eastAsia="宋体" w:hint="default"/>
                <w:sz w:val="18"/>
                <w:szCs w:val="18"/>
              </w:rPr>
            </w:pPr>
            <w:r>
              <w:rPr>
                <w:rFonts w:ascii="宋体" w:hAnsi="宋体" w:cs="宋体" w:eastAsia="宋体" w:hint="default"/>
                <w:sz w:val="18"/>
                <w:szCs w:val="18"/>
              </w:rPr>
              <w:t>西安西北农批市场</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84,197,997.50</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6,107,192.13</w:t>
            </w:r>
          </w:p>
        </w:tc>
        <w:tc>
          <w:tcPr>
            <w:tcW w:w="6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78,090,805.37</w:t>
            </w:r>
          </w:p>
        </w:tc>
        <w:tc>
          <w:tcPr>
            <w:tcW w:w="1711" w:type="dxa"/>
            <w:vMerge/>
            <w:tcBorders>
              <w:left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410" w:hRule="exact"/>
        </w:trPr>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left"/>
              <w:rPr>
                <w:rFonts w:ascii="宋体" w:hAnsi="宋体" w:cs="宋体" w:eastAsia="宋体" w:hint="default"/>
                <w:sz w:val="18"/>
                <w:szCs w:val="18"/>
              </w:rPr>
            </w:pPr>
            <w:r>
              <w:rPr>
                <w:rFonts w:ascii="宋体" w:hAnsi="宋体" w:cs="宋体" w:eastAsia="宋体" w:hint="default"/>
                <w:sz w:val="18"/>
                <w:szCs w:val="18"/>
              </w:rPr>
              <w:t>长沙马王堆批发市场</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85,817,855.92</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24,265,939.84</w:t>
            </w:r>
          </w:p>
        </w:tc>
        <w:tc>
          <w:tcPr>
            <w:tcW w:w="6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61,551,916.08</w:t>
            </w:r>
          </w:p>
        </w:tc>
        <w:tc>
          <w:tcPr>
            <w:tcW w:w="1711" w:type="dxa"/>
            <w:vMerge/>
            <w:tcBorders>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408" w:hRule="exact"/>
        </w:trPr>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407,473,887.90</w:t>
            </w:r>
            <w:r>
              <w:rPr>
                <w:rFonts w:ascii="Times New Roman"/>
                <w:spacing w:val="-1"/>
                <w:sz w:val="18"/>
              </w:rPr>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69,900,121.37</w:t>
            </w:r>
            <w:r>
              <w:rPr>
                <w:rFonts w:ascii="Times New Roman"/>
                <w:spacing w:val="-1"/>
                <w:sz w:val="18"/>
              </w:rPr>
            </w:r>
          </w:p>
        </w:tc>
        <w:tc>
          <w:tcPr>
            <w:tcW w:w="6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337,573,766.53</w:t>
            </w:r>
            <w:r>
              <w:rPr>
                <w:rFonts w:ascii="Times New Roman"/>
                <w:spacing w:val="-1"/>
                <w:sz w:val="18"/>
              </w:rPr>
            </w:r>
          </w:p>
        </w:tc>
        <w:tc>
          <w:tcPr>
            <w:tcW w:w="1711" w:type="dxa"/>
            <w:tcBorders>
              <w:top w:val="single" w:sz="4" w:space="0" w:color="000008"/>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r>
    </w:tbl>
    <w:p>
      <w:pPr>
        <w:spacing w:after="0"/>
        <w:sectPr>
          <w:headerReference w:type="default" r:id="rId165"/>
          <w:footerReference w:type="default" r:id="rId166"/>
          <w:pgSz w:w="11910" w:h="16840"/>
          <w:pgMar w:header="943" w:footer="897" w:top="1640" w:bottom="1080" w:left="1480" w:right="780"/>
          <w:pgNumType w:start="156"/>
        </w:sectPr>
      </w:pPr>
    </w:p>
    <w:p>
      <w:pPr>
        <w:spacing w:line="240" w:lineRule="auto" w:before="11"/>
        <w:rPr>
          <w:rFonts w:ascii="宋体" w:hAnsi="宋体" w:cs="宋体" w:eastAsia="宋体" w:hint="default"/>
          <w:sz w:val="18"/>
          <w:szCs w:val="18"/>
        </w:rPr>
      </w:pPr>
    </w:p>
    <w:p>
      <w:pPr>
        <w:spacing w:before="36"/>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j)</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固定资产及累计折旧</w:t>
      </w:r>
    </w:p>
    <w:p>
      <w:pPr>
        <w:spacing w:line="240" w:lineRule="auto" w:before="8"/>
        <w:rPr>
          <w:rFonts w:ascii="宋体" w:hAnsi="宋体" w:cs="宋体" w:eastAsia="宋体" w:hint="default"/>
          <w:sz w:val="17"/>
          <w:szCs w:val="17"/>
        </w:rPr>
      </w:pPr>
    </w:p>
    <w:p>
      <w:pPr>
        <w:spacing w:before="0"/>
        <w:ind w:left="561"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194"/>
        <w:gridCol w:w="1716"/>
        <w:gridCol w:w="1483"/>
        <w:gridCol w:w="1382"/>
        <w:gridCol w:w="1711"/>
      </w:tblGrid>
      <w:tr>
        <w:trPr>
          <w:trHeight w:val="360"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434" w:right="0"/>
              <w:jc w:val="left"/>
              <w:rPr>
                <w:rFonts w:ascii="Times New Roman" w:hAnsi="Times New Roman" w:cs="Times New Roman" w:eastAsia="Times New Roman" w:hint="default"/>
                <w:sz w:val="18"/>
                <w:szCs w:val="18"/>
              </w:rPr>
            </w:pPr>
            <w:r>
              <w:rPr>
                <w:rFonts w:ascii="Times New Roman"/>
                <w:sz w:val="18"/>
              </w:rPr>
              <w:t>2008-12-31</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3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32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429" w:right="0"/>
              <w:jc w:val="left"/>
              <w:rPr>
                <w:rFonts w:ascii="Times New Roman" w:hAnsi="Times New Roman" w:cs="Times New Roman" w:eastAsia="Times New Roman" w:hint="default"/>
                <w:sz w:val="18"/>
                <w:szCs w:val="18"/>
              </w:rPr>
            </w:pPr>
            <w:r>
              <w:rPr>
                <w:rFonts w:ascii="Times New Roman"/>
                <w:sz w:val="18"/>
              </w:rPr>
              <w:t>2009-12-31</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2,097,042,072.08</w:t>
            </w:r>
            <w:r>
              <w:rPr>
                <w:rFonts w:ascii="Times New Roman"/>
                <w:spacing w:val="-1"/>
                <w:sz w:val="18"/>
              </w:rPr>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78,541,500.40</w:t>
            </w:r>
            <w:r>
              <w:rPr>
                <w:rFonts w:ascii="Times New Roman"/>
                <w:spacing w:val="-1"/>
                <w:sz w:val="18"/>
              </w:rPr>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176,176,723.80</w:t>
            </w:r>
            <w:r>
              <w:rPr>
                <w:rFonts w:ascii="Times New Roman"/>
                <w:spacing w:val="-1"/>
                <w:sz w:val="18"/>
              </w:rPr>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1,999,406,848.68</w:t>
            </w:r>
            <w:r>
              <w:rPr>
                <w:rFonts w:ascii="Times New Roman"/>
                <w:spacing w:val="-1"/>
                <w:sz w:val="18"/>
              </w:rPr>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1,618,982,839.10</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27,323,013.92</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135,355,300.71</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1,510,950,552.31</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127,315,224.89</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3,705,431.04</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9,760,210.25</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121,260,445.68</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49,765,626.11</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6,847,369.05</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5,194,428.44</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51,418,566.72</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67,889,941.47</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12,089,352.61</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14,423,649.11</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65,555,644.97</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45,874,691.35</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1,706,599.44</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948,813.92</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46,632,476.87</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174,714,143.15</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21,209,842.67</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10,494,321.37</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185,429,664.45</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自有房屋装修费</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12,499,606.01</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5,659,891.67</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18,159,497.68</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二、累计折旧合计：</w:t>
            </w:r>
            <w:r>
              <w:rPr>
                <w:rFonts w:ascii="Microsoft JhengHei" w:hAnsi="Microsoft JhengHei" w:cs="Microsoft JhengHei" w:eastAsia="Microsoft JhengHei" w:hint="default"/>
                <w:sz w:val="18"/>
                <w:szCs w:val="18"/>
              </w:rPr>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500,332,048.17</w:t>
            </w:r>
            <w:r>
              <w:rPr>
                <w:rFonts w:ascii="Times New Roman"/>
                <w:spacing w:val="-1"/>
                <w:sz w:val="18"/>
              </w:rPr>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84,561,933.52</w:t>
            </w:r>
            <w:r>
              <w:rPr>
                <w:rFonts w:ascii="Times New Roman"/>
                <w:spacing w:val="-1"/>
                <w:sz w:val="18"/>
              </w:rPr>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66,542,454.74</w:t>
            </w:r>
            <w:r>
              <w:rPr>
                <w:rFonts w:ascii="Times New Roman"/>
                <w:spacing w:val="-1"/>
                <w:sz w:val="18"/>
              </w:rPr>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518,351,526.95</w:t>
            </w:r>
            <w:r>
              <w:rPr>
                <w:rFonts w:ascii="Times New Roman"/>
                <w:spacing w:val="-1"/>
                <w:sz w:val="18"/>
              </w:rPr>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317,241,458.63</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44,696,490.30</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42,189,411.15</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319,748,537.78</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52,405,280.46</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8,637,496.20</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6,897,913.80</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54,144,862.86</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30,485,648.90</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4,692,704.11</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4,934,834.18</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30,243,518.83</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35,985,294.97</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9,046,278.82</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10,450,239.44</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34,581,334.35</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19,455,148.00</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8,049,588.70</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1,767,419.02</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25,737,317.68</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38,801,778.12</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7,804,434.24</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294,590.42</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46,311,621.94</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自有房屋装修费</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5,957,439.09</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1,634,941.15</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8,046.73</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7,584,333.51</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三、固定资产账面净值合计</w:t>
            </w:r>
            <w:r>
              <w:rPr>
                <w:rFonts w:ascii="Microsoft JhengHei" w:hAnsi="Microsoft JhengHei" w:cs="Microsoft JhengHei" w:eastAsia="Microsoft JhengHei" w:hint="default"/>
                <w:spacing w:val="-3"/>
                <w:sz w:val="18"/>
                <w:szCs w:val="18"/>
              </w:rPr>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1,596,710,023.91</w:t>
            </w:r>
            <w:r>
              <w:rPr>
                <w:rFonts w:ascii="Times New Roman"/>
                <w:spacing w:val="-1"/>
                <w:sz w:val="18"/>
              </w:rPr>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1,481,055,321.73</w:t>
            </w:r>
            <w:r>
              <w:rPr>
                <w:rFonts w:ascii="Times New Roman"/>
                <w:spacing w:val="-1"/>
                <w:sz w:val="18"/>
              </w:rPr>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1,301,741,380.47</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1,191,202,014.53</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74,909,944.43</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67,115,582.82</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19,279,977.21</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21,175,047.89</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31,904,646.50</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30,974,310.62</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26,419,543.35</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20,895,159.19</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135,912,365.03</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139,118,042.51</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自有房屋装修费</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6,542,166.92</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10,575,164.17</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7,670,920.32</w:t>
            </w:r>
            <w:r>
              <w:rPr>
                <w:rFonts w:ascii="Times New Roman"/>
                <w:spacing w:val="-1"/>
                <w:sz w:val="18"/>
              </w:rPr>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7,670,920.32</w:t>
            </w:r>
            <w:r>
              <w:rPr>
                <w:rFonts w:ascii="Times New Roman"/>
                <w:spacing w:val="-1"/>
                <w:sz w:val="18"/>
              </w:rPr>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4,136,245.09</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4,136,245.09</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2,168,569.40</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2,168,569.40</w:t>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640" w:bottom="1080" w:left="1560" w:right="1560"/>
        </w:sectPr>
      </w:pPr>
    </w:p>
    <w:p>
      <w:pPr>
        <w:spacing w:line="240" w:lineRule="auto" w:before="13"/>
        <w:rPr>
          <w:rFonts w:ascii="宋体" w:hAnsi="宋体" w:cs="宋体" w:eastAsia="宋体" w:hint="default"/>
          <w:sz w:val="15"/>
          <w:szCs w:val="15"/>
        </w:rPr>
      </w:pPr>
    </w:p>
    <w:tbl>
      <w:tblPr>
        <w:tblW w:w="0" w:type="auto"/>
        <w:jc w:val="left"/>
        <w:tblInd w:w="185" w:type="dxa"/>
        <w:tblLayout w:type="fixed"/>
        <w:tblCellMar>
          <w:top w:w="0" w:type="dxa"/>
          <w:left w:w="0" w:type="dxa"/>
          <w:bottom w:w="0" w:type="dxa"/>
          <w:right w:w="0" w:type="dxa"/>
        </w:tblCellMar>
        <w:tblLook w:val="01E0"/>
      </w:tblPr>
      <w:tblGrid>
        <w:gridCol w:w="2194"/>
        <w:gridCol w:w="1716"/>
        <w:gridCol w:w="1483"/>
        <w:gridCol w:w="1382"/>
        <w:gridCol w:w="1711"/>
      </w:tblGrid>
      <w:tr>
        <w:trPr>
          <w:trHeight w:val="360"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34" w:right="0"/>
              <w:jc w:val="left"/>
              <w:rPr>
                <w:rFonts w:ascii="Times New Roman" w:hAnsi="Times New Roman" w:cs="Times New Roman" w:eastAsia="Times New Roman" w:hint="default"/>
                <w:sz w:val="18"/>
                <w:szCs w:val="18"/>
              </w:rPr>
            </w:pPr>
            <w:r>
              <w:rPr>
                <w:rFonts w:ascii="Times New Roman"/>
                <w:sz w:val="18"/>
              </w:rPr>
              <w:t>2008-12-31</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3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32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29" w:right="0"/>
              <w:jc w:val="left"/>
              <w:rPr>
                <w:rFonts w:ascii="Times New Roman" w:hAnsi="Times New Roman" w:cs="Times New Roman" w:eastAsia="Times New Roman" w:hint="default"/>
                <w:sz w:val="18"/>
                <w:szCs w:val="18"/>
              </w:rPr>
            </w:pPr>
            <w:r>
              <w:rPr>
                <w:rFonts w:ascii="Times New Roman"/>
                <w:sz w:val="18"/>
              </w:rPr>
              <w:t>2009-12-31</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309,520.83</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309,520.83</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1,056,585.00</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1,056,585.00</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自有房屋装修费</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五、固定资产账面价值合计</w:t>
            </w:r>
            <w:r>
              <w:rPr>
                <w:rFonts w:ascii="Microsoft JhengHei" w:hAnsi="Microsoft JhengHei" w:cs="Microsoft JhengHei" w:eastAsia="Microsoft JhengHei" w:hint="default"/>
                <w:spacing w:val="-3"/>
                <w:sz w:val="18"/>
                <w:szCs w:val="18"/>
              </w:rPr>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1,589,039,103.59</w:t>
            </w:r>
            <w:r>
              <w:rPr>
                <w:rFonts w:ascii="Times New Roman"/>
                <w:spacing w:val="-1"/>
                <w:sz w:val="18"/>
              </w:rPr>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1,473,384,401.41</w:t>
            </w:r>
            <w:r>
              <w:rPr>
                <w:rFonts w:ascii="Times New Roman"/>
                <w:spacing w:val="-1"/>
                <w:sz w:val="18"/>
              </w:rPr>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1,297,605,135.38</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26"/>
              <w:jc w:val="right"/>
              <w:rPr>
                <w:rFonts w:ascii="Garamond" w:hAnsi="Garamond" w:cs="Garamond" w:eastAsia="Garamond" w:hint="default"/>
                <w:sz w:val="18"/>
                <w:szCs w:val="18"/>
              </w:rPr>
            </w:pPr>
            <w:r>
              <w:rPr>
                <w:rFonts w:ascii="Garamond"/>
                <w:spacing w:val="-1"/>
                <w:sz w:val="18"/>
              </w:rPr>
              <w:t>1,187,065,769.44</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72,741,375.03</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28"/>
              <w:jc w:val="right"/>
              <w:rPr>
                <w:rFonts w:ascii="Garamond" w:hAnsi="Garamond" w:cs="Garamond" w:eastAsia="Garamond" w:hint="default"/>
                <w:sz w:val="18"/>
                <w:szCs w:val="18"/>
              </w:rPr>
            </w:pPr>
            <w:r>
              <w:rPr>
                <w:rFonts w:ascii="Garamond"/>
                <w:spacing w:val="-1"/>
                <w:sz w:val="18"/>
              </w:rPr>
              <w:t>64,947,013.42</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19,279,977.21</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28"/>
              <w:jc w:val="right"/>
              <w:rPr>
                <w:rFonts w:ascii="Garamond" w:hAnsi="Garamond" w:cs="Garamond" w:eastAsia="Garamond" w:hint="default"/>
                <w:sz w:val="18"/>
                <w:szCs w:val="18"/>
              </w:rPr>
            </w:pPr>
            <w:r>
              <w:rPr>
                <w:rFonts w:ascii="Garamond"/>
                <w:spacing w:val="-1"/>
                <w:sz w:val="18"/>
              </w:rPr>
              <w:t>21,175,047.89</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31,595,125.67</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28"/>
              <w:jc w:val="right"/>
              <w:rPr>
                <w:rFonts w:ascii="Garamond" w:hAnsi="Garamond" w:cs="Garamond" w:eastAsia="Garamond" w:hint="default"/>
                <w:sz w:val="18"/>
                <w:szCs w:val="18"/>
              </w:rPr>
            </w:pPr>
            <w:r>
              <w:rPr>
                <w:rFonts w:ascii="Garamond"/>
                <w:spacing w:val="-1"/>
                <w:sz w:val="18"/>
              </w:rPr>
              <w:t>30,664,789.79</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25,362,958.35</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28"/>
              <w:jc w:val="right"/>
              <w:rPr>
                <w:rFonts w:ascii="Garamond" w:hAnsi="Garamond" w:cs="Garamond" w:eastAsia="Garamond" w:hint="default"/>
                <w:sz w:val="18"/>
                <w:szCs w:val="18"/>
              </w:rPr>
            </w:pPr>
            <w:r>
              <w:rPr>
                <w:rFonts w:ascii="Garamond"/>
                <w:spacing w:val="-1"/>
                <w:sz w:val="18"/>
              </w:rPr>
              <w:t>19,838,574.19</w:t>
            </w:r>
          </w:p>
        </w:tc>
      </w:tr>
      <w:tr>
        <w:trPr>
          <w:trHeight w:val="451"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135,912,365.03</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26"/>
              <w:jc w:val="right"/>
              <w:rPr>
                <w:rFonts w:ascii="Garamond" w:hAnsi="Garamond" w:cs="Garamond" w:eastAsia="Garamond" w:hint="default"/>
                <w:sz w:val="18"/>
                <w:szCs w:val="18"/>
              </w:rPr>
            </w:pPr>
            <w:r>
              <w:rPr>
                <w:rFonts w:ascii="Garamond"/>
                <w:spacing w:val="-1"/>
                <w:sz w:val="18"/>
              </w:rPr>
              <w:t>139,118,042.51</w:t>
            </w:r>
          </w:p>
        </w:tc>
      </w:tr>
      <w:tr>
        <w:trPr>
          <w:trHeight w:val="449" w:hRule="exact"/>
        </w:trPr>
        <w:tc>
          <w:tcPr>
            <w:tcW w:w="21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自有房屋装修费</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6,542,166.92</w:t>
            </w:r>
          </w:p>
        </w:tc>
        <w:tc>
          <w:tcPr>
            <w:tcW w:w="1483"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28"/>
              <w:jc w:val="right"/>
              <w:rPr>
                <w:rFonts w:ascii="Garamond" w:hAnsi="Garamond" w:cs="Garamond" w:eastAsia="Garamond" w:hint="default"/>
                <w:sz w:val="18"/>
                <w:szCs w:val="18"/>
              </w:rPr>
            </w:pPr>
            <w:r>
              <w:rPr>
                <w:rFonts w:ascii="Garamond"/>
                <w:spacing w:val="-1"/>
                <w:sz w:val="18"/>
              </w:rPr>
              <w:t>10,575,164.17</w:t>
            </w:r>
          </w:p>
        </w:tc>
      </w:tr>
    </w:tbl>
    <w:p>
      <w:pPr>
        <w:spacing w:line="240" w:lineRule="auto" w:before="10"/>
        <w:rPr>
          <w:rFonts w:ascii="宋体" w:hAnsi="宋体" w:cs="宋体" w:eastAsia="宋体" w:hint="default"/>
          <w:sz w:val="8"/>
          <w:szCs w:val="8"/>
        </w:rPr>
      </w:pPr>
    </w:p>
    <w:p>
      <w:pPr>
        <w:spacing w:before="36"/>
        <w:ind w:left="641" w:right="0"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84,561,933.52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before="184"/>
        <w:ind w:left="641" w:right="0" w:firstLine="0"/>
        <w:jc w:val="left"/>
        <w:rPr>
          <w:rFonts w:ascii="宋体" w:hAnsi="宋体" w:cs="宋体" w:eastAsia="宋体" w:hint="default"/>
          <w:sz w:val="21"/>
          <w:szCs w:val="21"/>
        </w:rPr>
      </w:pPr>
      <w:r>
        <w:rPr>
          <w:rFonts w:ascii="宋体" w:hAnsi="宋体" w:cs="宋体" w:eastAsia="宋体" w:hint="default"/>
          <w:sz w:val="21"/>
          <w:szCs w:val="21"/>
        </w:rPr>
        <w:t>本期在建工程完工转入固定资产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26,333,258.61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）期末抵押的固定资产</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40"/>
        <w:gridCol w:w="2969"/>
        <w:gridCol w:w="2947"/>
      </w:tblGrid>
      <w:tr>
        <w:trPr>
          <w:trHeight w:val="434" w:hRule="exact"/>
        </w:trPr>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9"/>
              <w:ind w:left="564" w:right="0"/>
              <w:jc w:val="left"/>
              <w:rPr>
                <w:rFonts w:ascii="宋体" w:hAnsi="宋体" w:cs="宋体" w:eastAsia="宋体" w:hint="default"/>
                <w:sz w:val="18"/>
                <w:szCs w:val="18"/>
              </w:rPr>
            </w:pPr>
            <w:r>
              <w:rPr>
                <w:rFonts w:ascii="宋体" w:hAnsi="宋体" w:cs="宋体" w:eastAsia="宋体" w:hint="default"/>
                <w:sz w:val="18"/>
                <w:szCs w:val="18"/>
              </w:rPr>
              <w:t>被抵押的固定资产项目</w:t>
            </w:r>
          </w:p>
        </w:tc>
        <w:tc>
          <w:tcPr>
            <w:tcW w:w="296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9"/>
              <w:ind w:left="487" w:right="0"/>
              <w:jc w:val="left"/>
              <w:rPr>
                <w:rFonts w:ascii="宋体" w:hAnsi="宋体" w:cs="宋体" w:eastAsia="宋体" w:hint="default"/>
                <w:sz w:val="18"/>
                <w:szCs w:val="18"/>
              </w:rPr>
            </w:pPr>
            <w:r>
              <w:rPr>
                <w:rFonts w:ascii="宋体" w:hAnsi="宋体" w:cs="宋体" w:eastAsia="宋体" w:hint="default"/>
                <w:sz w:val="18"/>
                <w:szCs w:val="18"/>
              </w:rPr>
              <w:t>被抵押固定资产期末原值</w:t>
            </w:r>
          </w:p>
        </w:tc>
        <w:tc>
          <w:tcPr>
            <w:tcW w:w="2947"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49"/>
              <w:ind w:left="475" w:right="0"/>
              <w:jc w:val="left"/>
              <w:rPr>
                <w:rFonts w:ascii="宋体" w:hAnsi="宋体" w:cs="宋体" w:eastAsia="宋体" w:hint="default"/>
                <w:sz w:val="18"/>
                <w:szCs w:val="18"/>
              </w:rPr>
            </w:pPr>
            <w:r>
              <w:rPr>
                <w:rFonts w:ascii="宋体" w:hAnsi="宋体" w:cs="宋体" w:eastAsia="宋体" w:hint="default"/>
                <w:sz w:val="18"/>
                <w:szCs w:val="18"/>
              </w:rPr>
              <w:t>被抵押固定资产期末净值</w:t>
            </w:r>
          </w:p>
        </w:tc>
      </w:tr>
      <w:tr>
        <w:trPr>
          <w:trHeight w:val="456" w:hRule="exact"/>
        </w:trPr>
        <w:tc>
          <w:tcPr>
            <w:tcW w:w="2940"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上海吉农酒店</w:t>
            </w:r>
          </w:p>
        </w:tc>
        <w:tc>
          <w:tcPr>
            <w:tcW w:w="2969"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819" w:right="0"/>
              <w:jc w:val="left"/>
              <w:rPr>
                <w:rFonts w:ascii="Times New Roman" w:hAnsi="Times New Roman" w:cs="Times New Roman" w:eastAsia="Times New Roman" w:hint="default"/>
                <w:sz w:val="18"/>
                <w:szCs w:val="18"/>
              </w:rPr>
            </w:pPr>
            <w:r>
              <w:rPr>
                <w:rFonts w:ascii="Times New Roman"/>
                <w:sz w:val="18"/>
              </w:rPr>
              <w:t>18,473,025.30</w:t>
            </w:r>
          </w:p>
        </w:tc>
        <w:tc>
          <w:tcPr>
            <w:tcW w:w="2947"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797" w:right="0"/>
              <w:jc w:val="left"/>
              <w:rPr>
                <w:rFonts w:ascii="Times New Roman" w:hAnsi="Times New Roman" w:cs="Times New Roman" w:eastAsia="Times New Roman" w:hint="default"/>
                <w:sz w:val="18"/>
                <w:szCs w:val="18"/>
              </w:rPr>
            </w:pPr>
            <w:r>
              <w:rPr>
                <w:rFonts w:ascii="Times New Roman"/>
                <w:sz w:val="18"/>
              </w:rPr>
              <w:t>16,323,396.74</w:t>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）未办妥产权证书的房屋建筑物情况</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060"/>
        <w:gridCol w:w="1476"/>
        <w:gridCol w:w="1476"/>
        <w:gridCol w:w="1339"/>
        <w:gridCol w:w="1370"/>
      </w:tblGrid>
      <w:tr>
        <w:trPr>
          <w:trHeight w:val="73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19"/>
              <w:ind w:left="304" w:right="215" w:hanging="92"/>
              <w:jc w:val="left"/>
              <w:rPr>
                <w:rFonts w:ascii="宋体" w:hAnsi="宋体" w:cs="宋体" w:eastAsia="宋体" w:hint="default"/>
                <w:sz w:val="18"/>
                <w:szCs w:val="18"/>
              </w:rPr>
            </w:pPr>
            <w:r>
              <w:rPr>
                <w:rFonts w:ascii="宋体" w:hAnsi="宋体" w:cs="宋体" w:eastAsia="宋体" w:hint="default"/>
                <w:sz w:val="18"/>
                <w:szCs w:val="18"/>
              </w:rPr>
              <w:t>未办妥产权 证书原因</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19"/>
              <w:ind w:left="321" w:right="137" w:hanging="180"/>
              <w:jc w:val="left"/>
              <w:rPr>
                <w:rFonts w:ascii="宋体" w:hAnsi="宋体" w:cs="宋体" w:eastAsia="宋体" w:hint="default"/>
                <w:sz w:val="18"/>
                <w:szCs w:val="18"/>
              </w:rPr>
            </w:pPr>
            <w:r>
              <w:rPr>
                <w:rFonts w:ascii="宋体" w:hAnsi="宋体" w:cs="宋体" w:eastAsia="宋体" w:hint="default"/>
                <w:sz w:val="18"/>
                <w:szCs w:val="18"/>
              </w:rPr>
              <w:t>预计办结产权 证书时间</w:t>
            </w:r>
          </w:p>
        </w:tc>
      </w:tr>
      <w:tr>
        <w:trPr>
          <w:trHeight w:val="37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农牧南头大楼</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2,695,067.61</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1,778,603.30</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未办理产权证</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73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百货广场物业</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24,931,741.35</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20,678,665.44</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1"/>
              <w:ind w:left="103" w:right="110"/>
              <w:jc w:val="left"/>
              <w:rPr>
                <w:rFonts w:ascii="宋体" w:hAnsi="宋体" w:cs="宋体" w:eastAsia="宋体" w:hint="default"/>
                <w:sz w:val="18"/>
                <w:szCs w:val="18"/>
              </w:rPr>
            </w:pPr>
            <w:r>
              <w:rPr>
                <w:rFonts w:ascii="宋体" w:hAnsi="宋体" w:cs="宋体" w:eastAsia="宋体" w:hint="default"/>
                <w:spacing w:val="5"/>
                <w:sz w:val="18"/>
                <w:szCs w:val="18"/>
              </w:rPr>
              <w:t>历史遗留，尚</w:t>
            </w:r>
            <w:r>
              <w:rPr>
                <w:rFonts w:ascii="宋体" w:hAnsi="宋体" w:cs="宋体" w:eastAsia="宋体" w:hint="default"/>
                <w:sz w:val="18"/>
                <w:szCs w:val="18"/>
              </w:rPr>
              <w:t> 未办理产权证</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732"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布吉七层综合楼</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6,283,609.61</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4,198,048.33</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1"/>
              <w:ind w:left="103" w:right="110"/>
              <w:jc w:val="left"/>
              <w:rPr>
                <w:rFonts w:ascii="宋体" w:hAnsi="宋体" w:cs="宋体" w:eastAsia="宋体" w:hint="default"/>
                <w:sz w:val="18"/>
                <w:szCs w:val="18"/>
              </w:rPr>
            </w:pPr>
            <w:r>
              <w:rPr>
                <w:rFonts w:ascii="宋体" w:hAnsi="宋体" w:cs="宋体" w:eastAsia="宋体" w:hint="default"/>
                <w:spacing w:val="5"/>
                <w:sz w:val="18"/>
                <w:szCs w:val="18"/>
              </w:rPr>
              <w:t>历史遗留，尚</w:t>
            </w:r>
            <w:r>
              <w:rPr>
                <w:rFonts w:ascii="宋体" w:hAnsi="宋体" w:cs="宋体" w:eastAsia="宋体" w:hint="default"/>
                <w:sz w:val="18"/>
                <w:szCs w:val="18"/>
              </w:rPr>
              <w:t> 未办理产权证</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73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坪地三幢厂房</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6,027,595.52</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3,486,513.97</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19"/>
              <w:ind w:left="103" w:right="110"/>
              <w:jc w:val="left"/>
              <w:rPr>
                <w:rFonts w:ascii="宋体" w:hAnsi="宋体" w:cs="宋体" w:eastAsia="宋体" w:hint="default"/>
                <w:sz w:val="18"/>
                <w:szCs w:val="18"/>
              </w:rPr>
            </w:pPr>
            <w:r>
              <w:rPr>
                <w:rFonts w:ascii="宋体" w:hAnsi="宋体" w:cs="宋体" w:eastAsia="宋体" w:hint="default"/>
                <w:spacing w:val="5"/>
                <w:sz w:val="18"/>
                <w:szCs w:val="18"/>
              </w:rPr>
              <w:t>历史遗留，尚</w:t>
            </w:r>
            <w:r>
              <w:rPr>
                <w:rFonts w:ascii="宋体" w:hAnsi="宋体" w:cs="宋体" w:eastAsia="宋体" w:hint="default"/>
                <w:sz w:val="18"/>
                <w:szCs w:val="18"/>
              </w:rPr>
              <w:t> 未办理产权证</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730" w:hRule="exact"/>
        </w:trPr>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其他房屋建筑物</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22,189,099.17</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13,209,500.27</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19"/>
              <w:ind w:left="103" w:right="110"/>
              <w:jc w:val="left"/>
              <w:rPr>
                <w:rFonts w:ascii="宋体" w:hAnsi="宋体" w:cs="宋体" w:eastAsia="宋体" w:hint="default"/>
                <w:sz w:val="18"/>
                <w:szCs w:val="18"/>
              </w:rPr>
            </w:pPr>
            <w:r>
              <w:rPr>
                <w:rFonts w:ascii="宋体" w:hAnsi="宋体" w:cs="宋体" w:eastAsia="宋体" w:hint="default"/>
                <w:spacing w:val="5"/>
                <w:sz w:val="18"/>
                <w:szCs w:val="18"/>
              </w:rPr>
              <w:t>历史遗留，尚</w:t>
            </w:r>
            <w:r>
              <w:rPr>
                <w:rFonts w:ascii="宋体" w:hAnsi="宋体" w:cs="宋体" w:eastAsia="宋体" w:hint="default"/>
                <w:sz w:val="18"/>
                <w:szCs w:val="18"/>
              </w:rPr>
              <w:t> 未办理产权证</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bl>
    <w:p>
      <w:pPr>
        <w:spacing w:after="0" w:line="240" w:lineRule="auto"/>
        <w:jc w:val="left"/>
        <w:rPr>
          <w:rFonts w:ascii="宋体" w:hAnsi="宋体" w:cs="宋体" w:eastAsia="宋体" w:hint="default"/>
          <w:sz w:val="18"/>
          <w:szCs w:val="18"/>
        </w:rPr>
        <w:sectPr>
          <w:pgSz w:w="11910" w:h="16840"/>
          <w:pgMar w:header="943" w:footer="897" w:top="1640" w:bottom="1080" w:left="1480" w:right="1340"/>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058"/>
        <w:gridCol w:w="1478"/>
        <w:gridCol w:w="1476"/>
        <w:gridCol w:w="1337"/>
        <w:gridCol w:w="1373"/>
      </w:tblGrid>
      <w:tr>
        <w:trPr>
          <w:trHeight w:val="730" w:hRule="exact"/>
        </w:trPr>
        <w:tc>
          <w:tcPr>
            <w:tcW w:w="3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1337"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19"/>
              <w:ind w:left="304" w:right="211" w:hanging="92"/>
              <w:jc w:val="left"/>
              <w:rPr>
                <w:rFonts w:ascii="宋体" w:hAnsi="宋体" w:cs="宋体" w:eastAsia="宋体" w:hint="default"/>
                <w:sz w:val="18"/>
                <w:szCs w:val="18"/>
              </w:rPr>
            </w:pPr>
            <w:r>
              <w:rPr>
                <w:rFonts w:ascii="宋体" w:hAnsi="宋体" w:cs="宋体" w:eastAsia="宋体" w:hint="default"/>
                <w:sz w:val="18"/>
                <w:szCs w:val="18"/>
              </w:rPr>
              <w:t>未办妥产权 证书原因</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19"/>
              <w:ind w:left="324" w:right="137" w:hanging="180"/>
              <w:jc w:val="left"/>
              <w:rPr>
                <w:rFonts w:ascii="宋体" w:hAnsi="宋体" w:cs="宋体" w:eastAsia="宋体" w:hint="default"/>
                <w:sz w:val="18"/>
                <w:szCs w:val="18"/>
              </w:rPr>
            </w:pPr>
            <w:r>
              <w:rPr>
                <w:rFonts w:ascii="宋体" w:hAnsi="宋体" w:cs="宋体" w:eastAsia="宋体" w:hint="default"/>
                <w:sz w:val="18"/>
                <w:szCs w:val="18"/>
              </w:rPr>
              <w:t>预计办结产权 证书时间</w:t>
            </w:r>
          </w:p>
        </w:tc>
      </w:tr>
      <w:tr>
        <w:trPr>
          <w:trHeight w:val="370" w:hRule="exact"/>
        </w:trPr>
        <w:tc>
          <w:tcPr>
            <w:tcW w:w="3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346" w:right="0"/>
              <w:jc w:val="left"/>
              <w:rPr>
                <w:rFonts w:ascii="Times New Roman" w:hAnsi="Times New Roman" w:cs="Times New Roman" w:eastAsia="Times New Roman" w:hint="default"/>
                <w:sz w:val="18"/>
                <w:szCs w:val="18"/>
              </w:rPr>
            </w:pPr>
            <w:r>
              <w:rPr>
                <w:rFonts w:ascii="Times New Roman"/>
                <w:b/>
                <w:sz w:val="18"/>
              </w:rPr>
              <w:t>62,127,113.26</w:t>
            </w:r>
            <w:r>
              <w:rPr>
                <w:rFonts w:ascii="Times New Roman"/>
                <w:sz w:val="18"/>
              </w:rPr>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334" w:right="0"/>
              <w:jc w:val="left"/>
              <w:rPr>
                <w:rFonts w:ascii="Times New Roman" w:hAnsi="Times New Roman" w:cs="Times New Roman" w:eastAsia="Times New Roman" w:hint="default"/>
                <w:sz w:val="18"/>
                <w:szCs w:val="18"/>
              </w:rPr>
            </w:pPr>
            <w:r>
              <w:rPr>
                <w:rFonts w:ascii="Times New Roman"/>
                <w:b/>
                <w:sz w:val="18"/>
              </w:rPr>
              <w:t>43,351,331.31</w:t>
            </w:r>
            <w:r>
              <w:rPr>
                <w:rFonts w:ascii="Times New Roman"/>
                <w:sz w:val="18"/>
              </w:rPr>
            </w:r>
          </w:p>
        </w:tc>
        <w:tc>
          <w:tcPr>
            <w:tcW w:w="1337" w:type="dxa"/>
            <w:tcBorders>
              <w:top w:val="single" w:sz="4" w:space="0" w:color="000008"/>
              <w:left w:val="single" w:sz="4" w:space="0" w:color="000008"/>
              <w:bottom w:val="single" w:sz="4" w:space="0" w:color="000008"/>
              <w:right w:val="single" w:sz="4" w:space="0" w:color="000008"/>
            </w:tcBorders>
          </w:tcPr>
          <w:p>
            <w:pPr/>
          </w:p>
        </w:tc>
        <w:tc>
          <w:tcPr>
            <w:tcW w:w="1373"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3"/>
        <w:rPr>
          <w:rFonts w:ascii="宋体" w:hAnsi="宋体" w:cs="宋体" w:eastAsia="宋体" w:hint="default"/>
          <w:sz w:val="14"/>
          <w:szCs w:val="14"/>
        </w:rPr>
      </w:pPr>
    </w:p>
    <w:p>
      <w:pPr>
        <w:spacing w:before="36"/>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日，本公司无重大固定资产闲置的情况。</w:t>
      </w:r>
    </w:p>
    <w:p>
      <w:pPr>
        <w:spacing w:line="240" w:lineRule="auto" w:before="1"/>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日，本公司无持有待售的重大固定资产。</w:t>
      </w:r>
    </w:p>
    <w:p>
      <w:pPr>
        <w:spacing w:line="240" w:lineRule="auto" w:before="1"/>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k)</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在建工程</w:t>
      </w:r>
    </w:p>
    <w:p>
      <w:pPr>
        <w:spacing w:line="240" w:lineRule="auto" w:before="12"/>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2436"/>
        <w:gridCol w:w="1404"/>
        <w:gridCol w:w="538"/>
        <w:gridCol w:w="1320"/>
        <w:gridCol w:w="1320"/>
        <w:gridCol w:w="506"/>
        <w:gridCol w:w="1320"/>
      </w:tblGrid>
      <w:tr>
        <w:trPr>
          <w:trHeight w:val="414" w:hRule="exact"/>
        </w:trPr>
        <w:tc>
          <w:tcPr>
            <w:tcW w:w="2436" w:type="dxa"/>
            <w:vMerge w:val="restart"/>
            <w:tcBorders>
              <w:top w:val="single" w:sz="6" w:space="0" w:color="000008"/>
              <w:left w:val="single" w:sz="6" w:space="0" w:color="000008"/>
              <w:right w:val="single" w:sz="6"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2" w:type="dxa"/>
            <w:gridSpan w:val="3"/>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2009-12-31</w:t>
            </w:r>
          </w:p>
        </w:tc>
        <w:tc>
          <w:tcPr>
            <w:tcW w:w="3146" w:type="dxa"/>
            <w:gridSpan w:val="3"/>
            <w:tcBorders>
              <w:top w:val="single" w:sz="6" w:space="0" w:color="000008"/>
              <w:left w:val="single" w:sz="6" w:space="0" w:color="000008"/>
              <w:bottom w:val="single" w:sz="6" w:space="0" w:color="000008"/>
              <w:right w:val="single" w:sz="6" w:space="0" w:color="000008"/>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497" w:hRule="exact"/>
        </w:trPr>
        <w:tc>
          <w:tcPr>
            <w:tcW w:w="2436" w:type="dxa"/>
            <w:vMerge/>
            <w:tcBorders>
              <w:left w:val="single" w:sz="6" w:space="0" w:color="000008"/>
              <w:bottom w:val="single" w:sz="6" w:space="0" w:color="000008"/>
              <w:right w:val="single" w:sz="6" w:space="0" w:color="000008"/>
            </w:tcBorders>
          </w:tcPr>
          <w:p>
            <w:pP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exact" w:before="5"/>
              <w:ind w:left="81" w:right="7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exact" w:before="5"/>
              <w:ind w:left="64" w:right="6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平湖国际物流园项目</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285,950,550.13</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285,950,550.13</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201,539,125.14</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201,539,125.14</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海吉星数据中心建设</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2,281,233.06</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2,281,233.06</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南昌新市场项目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二期</w:t>
            </w:r>
            <w:r>
              <w:rPr>
                <w:rFonts w:ascii="Times New Roman" w:hAnsi="Times New Roman" w:cs="Times New Roman" w:eastAsia="Times New Roman" w:hint="default"/>
                <w:sz w:val="18"/>
                <w:szCs w:val="18"/>
              </w:rPr>
              <w:t>)</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18,621,763.28</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18,621,763.28</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18,018,579.30</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18,018,579.30</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上海农批市场二期工程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22,157,675.50</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22,157,675.50</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38,059,242.39</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38,059,242.39</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上海农批市场综合改造</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3,324,215.00</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3,324,215.00</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489,400.00</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489,400.00</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农牧绿美特猪场改造</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1,214,479.23</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1,214,479.23</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农牧高要猪场基建工程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8,293,272.87</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8,293,272.87</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4,676,724.79</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4,676,724.79</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农牧紫金猪场基建办二期工程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722,523.40</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722,523.40</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7,246,535.38</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7,246,535.38</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农牧美益肉联厂工程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211,082,003.16</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211,082,003.16</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125,296,616.11</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125,296,616.11</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果菜基本农田改造工程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1,577,685.80</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1,577,685.80</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117,848.00</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117,848.00</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果菜益民豆制品基地</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70,659,785.90</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70,659,785.90</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42,938,598.31</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42,938,598.31</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西安西北农产品市场工程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1,248,802.24</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1,248,802.24</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2,217,441.77</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2,217,441.77</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长沙物流园新市场工程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2,157,172.46</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2,157,172.46</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690,650.46</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690,650.46</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惠州市场工程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8,766,478.26</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8,766,478.26</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4,172,514.50</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4,172,514.50</w:t>
            </w:r>
          </w:p>
        </w:tc>
      </w:tr>
      <w:tr>
        <w:trPr>
          <w:trHeight w:val="413"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成都新双流市场建设</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909,206.92</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909,206.92</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5,684,574.62</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5,684,574.62</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沈阳海吉星物流园工程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26,511,748.64</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26,511,748.64</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5,641,852.39</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5,641,852.39</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南山农批市场工程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3,382,619.46</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3,382,619.46</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436,767.20</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436,767.20</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广西海吉星农产品物流园</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14,016,230.38</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14,016,230.38</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984,279.59</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984,279.59</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宁夏海吉星市场工程</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16,829,949.48</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16,829,949.48</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其他工程项目</w:t>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5,117,380.50</w:t>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5,117,380.50</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5,519,175.66</w:t>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5,519,175.66</w:t>
            </w:r>
          </w:p>
        </w:tc>
      </w:tr>
      <w:tr>
        <w:trPr>
          <w:trHeight w:val="415" w:hRule="exact"/>
        </w:trPr>
        <w:tc>
          <w:tcPr>
            <w:tcW w:w="24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8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0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704,824,775.67</w:t>
            </w:r>
            <w:r>
              <w:rPr>
                <w:rFonts w:ascii="Times New Roman"/>
                <w:spacing w:val="-1"/>
                <w:sz w:val="18"/>
              </w:rPr>
            </w:r>
          </w:p>
        </w:tc>
        <w:tc>
          <w:tcPr>
            <w:tcW w:w="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704,824,775.67</w:t>
            </w:r>
            <w:r>
              <w:rPr>
                <w:rFonts w:ascii="Times New Roman"/>
                <w:spacing w:val="-1"/>
                <w:sz w:val="18"/>
              </w:rPr>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463,729,925.61</w:t>
            </w:r>
            <w:r>
              <w:rPr>
                <w:rFonts w:ascii="Times New Roman"/>
                <w:spacing w:val="-1"/>
                <w:sz w:val="18"/>
              </w:rPr>
            </w:r>
          </w:p>
        </w:tc>
        <w:tc>
          <w:tcPr>
            <w:tcW w:w="50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20"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463,729,925.61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640" w:bottom="1080" w:left="1480" w:right="1260"/>
        </w:sectPr>
      </w:pPr>
    </w:p>
    <w:p>
      <w:pPr>
        <w:spacing w:line="240" w:lineRule="auto" w:before="0"/>
        <w:rPr>
          <w:rFonts w:ascii="宋体" w:hAnsi="宋体" w:cs="宋体" w:eastAsia="宋体" w:hint="default"/>
          <w:sz w:val="25"/>
          <w:szCs w:val="25"/>
        </w:rPr>
      </w:pPr>
    </w:p>
    <w:p>
      <w:pPr>
        <w:spacing w:before="36"/>
        <w:ind w:left="0" w:right="195" w:firstLine="0"/>
        <w:jc w:val="right"/>
        <w:rPr>
          <w:rFonts w:ascii="宋体" w:hAnsi="宋体" w:cs="宋体" w:eastAsia="宋体" w:hint="default"/>
          <w:sz w:val="21"/>
          <w:szCs w:val="21"/>
        </w:rPr>
      </w:pPr>
      <w:r>
        <w:rPr/>
        <w:pict>
          <v:shape style="position:absolute;margin-left:70.919998pt;margin-top:-12.576341pt;width:153pt;height:26.52pt;mso-position-horizontal-relative:page;mso-position-vertical-relative:paragraph;z-index:3784" type="#_x0000_t75" stroked="false">
            <v:imagedata r:id="rId5" o:title=""/>
          </v:shape>
        </w:pic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p>
      <w:pPr>
        <w:spacing w:line="240" w:lineRule="auto" w:before="11"/>
        <w:rPr>
          <w:rFonts w:ascii="宋体" w:hAnsi="宋体" w:cs="宋体" w:eastAsia="宋体" w:hint="default"/>
          <w:sz w:val="8"/>
          <w:szCs w:val="8"/>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703pt;height:.75pt;mso-position-horizontal-relative:char;mso-position-vertical-relative:line" coordorigin="0,0" coordsize="14060,15">
            <v:group style="position:absolute;left:7;top:7;width:14045;height:2" coordorigin="7,7" coordsize="14045,2">
              <v:shape style="position:absolute;left:7;top:7;width:14045;height:2" coordorigin="7,7" coordsize="14045,0" path="m7,7l14052,7e" filled="false" stroked="true" strokeweight=".72pt" strokecolor="#000008">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702.75pt;height:.5pt;mso-position-horizontal-relative:char;mso-position-vertical-relative:line" coordorigin="0,0" coordsize="14055,10">
            <v:group style="position:absolute;left:5;top:5;width:14045;height:2" coordorigin="5,5" coordsize="14045,2">
              <v:shape style="position:absolute;left:5;top:5;width:14045;height:2" coordorigin="5,5" coordsize="14045,0" path="m5,5l14050,5e" filled="false" stroked="true" strokeweight=".48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before="19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）重大在建工程项目变动情况</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937"/>
        <w:gridCol w:w="787"/>
        <w:gridCol w:w="1277"/>
        <w:gridCol w:w="1310"/>
        <w:gridCol w:w="1202"/>
        <w:gridCol w:w="1114"/>
        <w:gridCol w:w="766"/>
        <w:gridCol w:w="1250"/>
        <w:gridCol w:w="1248"/>
        <w:gridCol w:w="622"/>
        <w:gridCol w:w="1250"/>
        <w:gridCol w:w="1248"/>
      </w:tblGrid>
      <w:tr>
        <w:trPr>
          <w:trHeight w:val="970"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784" w:right="780"/>
              <w:jc w:val="center"/>
              <w:rPr>
                <w:rFonts w:ascii="宋体" w:hAnsi="宋体" w:cs="宋体" w:eastAsia="宋体" w:hint="default"/>
                <w:sz w:val="18"/>
                <w:szCs w:val="18"/>
              </w:rPr>
            </w:pPr>
            <w:r>
              <w:rPr>
                <w:rFonts w:ascii="宋体" w:hAnsi="宋体" w:cs="宋体" w:eastAsia="宋体" w:hint="default"/>
                <w:sz w:val="18"/>
                <w:szCs w:val="18"/>
              </w:rPr>
              <w:t>项目 名称</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4"/>
              <w:ind w:left="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5"/>
              <w:jc w:val="right"/>
              <w:rPr>
                <w:rFonts w:ascii="宋体" w:hAnsi="宋体" w:cs="宋体" w:eastAsia="宋体" w:hint="default"/>
                <w:sz w:val="18"/>
                <w:szCs w:val="18"/>
              </w:rPr>
            </w:pPr>
            <w:r>
              <w:rPr>
                <w:rFonts w:ascii="宋体" w:hAnsi="宋体" w:cs="宋体" w:eastAsia="宋体" w:hint="default"/>
                <w:sz w:val="18"/>
                <w:szCs w:val="18"/>
              </w:rPr>
              <w:t>转入固定资产</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9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工程投</w:t>
            </w:r>
          </w:p>
          <w:p>
            <w:pPr>
              <w:pStyle w:val="TableParagraph"/>
              <w:spacing w:line="244" w:lineRule="auto" w:before="4"/>
              <w:ind w:left="110" w:right="103"/>
              <w:jc w:val="center"/>
              <w:rPr>
                <w:rFonts w:ascii="宋体" w:hAnsi="宋体" w:cs="宋体" w:eastAsia="宋体" w:hint="default"/>
                <w:sz w:val="18"/>
                <w:szCs w:val="18"/>
              </w:rPr>
            </w:pPr>
            <w:r>
              <w:rPr>
                <w:rFonts w:ascii="宋体" w:hAnsi="宋体" w:cs="宋体" w:eastAsia="宋体" w:hint="default"/>
                <w:sz w:val="18"/>
                <w:szCs w:val="18"/>
              </w:rPr>
              <w:t>入占预 算比例</w:t>
            </w:r>
          </w:p>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350" w:right="77" w:hanging="269"/>
              <w:jc w:val="left"/>
              <w:rPr>
                <w:rFonts w:ascii="宋体" w:hAnsi="宋体" w:cs="宋体" w:eastAsia="宋体" w:hint="default"/>
                <w:sz w:val="18"/>
                <w:szCs w:val="18"/>
              </w:rPr>
            </w:pPr>
            <w:r>
              <w:rPr>
                <w:rFonts w:ascii="宋体" w:hAnsi="宋体" w:cs="宋体" w:eastAsia="宋体" w:hint="default"/>
                <w:sz w:val="18"/>
                <w:szCs w:val="18"/>
              </w:rPr>
              <w:t>累计利息资本 化金额</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168" w:right="24" w:hanging="142"/>
              <w:jc w:val="left"/>
              <w:rPr>
                <w:rFonts w:ascii="宋体" w:hAnsi="宋体" w:cs="宋体" w:eastAsia="宋体" w:hint="default"/>
                <w:sz w:val="18"/>
                <w:szCs w:val="18"/>
              </w:rPr>
            </w:pPr>
            <w:r>
              <w:rPr>
                <w:rFonts w:ascii="宋体" w:hAnsi="宋体" w:cs="宋体" w:eastAsia="宋体" w:hint="default"/>
                <w:spacing w:val="-1"/>
                <w:w w:val="94"/>
                <w:sz w:val="18"/>
                <w:szCs w:val="18"/>
              </w:rPr>
              <w:t>其中：本期利息</w:t>
            </w:r>
            <w:r>
              <w:rPr>
                <w:rFonts w:ascii="宋体" w:hAnsi="宋体" w:cs="宋体" w:eastAsia="宋体" w:hint="default"/>
                <w:spacing w:val="-80"/>
                <w:w w:val="94"/>
                <w:sz w:val="18"/>
                <w:szCs w:val="18"/>
              </w:rPr>
              <w:t> </w:t>
            </w:r>
            <w:r>
              <w:rPr>
                <w:rFonts w:ascii="宋体" w:hAnsi="宋体" w:cs="宋体" w:eastAsia="宋体" w:hint="default"/>
                <w:spacing w:val="-80"/>
                <w:w w:val="94"/>
                <w:sz w:val="18"/>
                <w:szCs w:val="18"/>
              </w:rPr>
            </w:r>
            <w:r>
              <w:rPr>
                <w:rFonts w:ascii="宋体" w:hAnsi="宋体" w:cs="宋体" w:eastAsia="宋体" w:hint="default"/>
                <w:sz w:val="18"/>
                <w:szCs w:val="18"/>
              </w:rPr>
              <w:t>资本化金额</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本期利</w:t>
            </w:r>
          </w:p>
          <w:p>
            <w:pPr>
              <w:pStyle w:val="TableParagraph"/>
              <w:spacing w:line="244" w:lineRule="auto" w:before="4"/>
              <w:ind w:left="38" w:right="31"/>
              <w:jc w:val="center"/>
              <w:rPr>
                <w:rFonts w:ascii="宋体" w:hAnsi="宋体" w:cs="宋体" w:eastAsia="宋体" w:hint="default"/>
                <w:sz w:val="18"/>
                <w:szCs w:val="18"/>
              </w:rPr>
            </w:pPr>
            <w:r>
              <w:rPr>
                <w:rFonts w:ascii="宋体" w:hAnsi="宋体" w:cs="宋体" w:eastAsia="宋体" w:hint="default"/>
                <w:sz w:val="18"/>
                <w:szCs w:val="18"/>
              </w:rPr>
              <w:t>息资本 化率</w:t>
            </w:r>
          </w:p>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4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10"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平湖国际物流园项目</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184,000</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201,539,125.140</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85,327,998.88</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916,573.89</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59" w:right="0"/>
              <w:jc w:val="left"/>
              <w:rPr>
                <w:rFonts w:ascii="宋体" w:hAnsi="宋体" w:cs="宋体" w:eastAsia="宋体" w:hint="default"/>
                <w:sz w:val="18"/>
                <w:szCs w:val="18"/>
              </w:rPr>
            </w:pPr>
            <w:r>
              <w:rPr>
                <w:rFonts w:ascii="宋体" w:hAnsi="宋体" w:cs="宋体" w:eastAsia="宋体" w:hint="default"/>
                <w:sz w:val="18"/>
                <w:szCs w:val="18"/>
              </w:rPr>
              <w:t>募股资金</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285,950,550.13</w:t>
            </w:r>
          </w:p>
        </w:tc>
      </w:tr>
      <w:tr>
        <w:trPr>
          <w:trHeight w:val="410"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南昌新市场项目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二期</w:t>
            </w:r>
            <w:r>
              <w:rPr>
                <w:rFonts w:ascii="Times New Roman" w:hAnsi="Times New Roman" w:cs="Times New Roman" w:eastAsia="Times New Roman" w:hint="default"/>
                <w:sz w:val="18"/>
                <w:szCs w:val="18"/>
              </w:rPr>
              <w:t>)</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18,018,579.30</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603,183.98</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5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18,621,763.28</w:t>
            </w:r>
          </w:p>
        </w:tc>
      </w:tr>
      <w:tr>
        <w:trPr>
          <w:trHeight w:val="410"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上海农批市场二期工程</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38,059,242.39</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2,050,994.54</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17,952,561.43</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5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22,157,675.50</w:t>
            </w:r>
          </w:p>
        </w:tc>
      </w:tr>
      <w:tr>
        <w:trPr>
          <w:trHeight w:val="410"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农牧美益肉联厂工程</w:t>
            </w:r>
          </w:p>
        </w:tc>
        <w:tc>
          <w:tcPr>
            <w:tcW w:w="787" w:type="dxa"/>
            <w:tcBorders>
              <w:top w:val="single" w:sz="4" w:space="0" w:color="000008"/>
              <w:left w:val="single" w:sz="4" w:space="0" w:color="000008"/>
              <w:bottom w:val="single" w:sz="4" w:space="0" w:color="000008"/>
              <w:right w:val="single" w:sz="4" w:space="0" w:color="000008"/>
            </w:tcBorders>
          </w:tcPr>
          <w:p>
            <w:pP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125,296,616.11</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85,785,387.05</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8"/>
              <w:left w:val="single" w:sz="4" w:space="0" w:color="000008"/>
              <w:bottom w:val="single" w:sz="4" w:space="0" w:color="000008"/>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6,326,580.01</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4,126,720.00</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70" w:right="0"/>
              <w:jc w:val="left"/>
              <w:rPr>
                <w:rFonts w:ascii="宋体" w:hAnsi="宋体" w:cs="宋体" w:eastAsia="宋体" w:hint="default"/>
                <w:sz w:val="18"/>
                <w:szCs w:val="18"/>
              </w:rPr>
            </w:pPr>
            <w:r>
              <w:rPr>
                <w:rFonts w:ascii="宋体" w:hAnsi="宋体" w:cs="宋体" w:eastAsia="宋体" w:hint="default"/>
                <w:sz w:val="18"/>
                <w:szCs w:val="18"/>
              </w:rPr>
              <w:t>自有及借款</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211,082,003.16</w:t>
            </w:r>
          </w:p>
        </w:tc>
      </w:tr>
      <w:tr>
        <w:trPr>
          <w:trHeight w:val="410"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果菜益民豆制品基地</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42,938,598.31</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27,721,187.59</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4,083,735.00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1,865,355.00</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70" w:right="0"/>
              <w:jc w:val="left"/>
              <w:rPr>
                <w:rFonts w:ascii="宋体" w:hAnsi="宋体" w:cs="宋体" w:eastAsia="宋体" w:hint="default"/>
                <w:sz w:val="18"/>
                <w:szCs w:val="18"/>
              </w:rPr>
            </w:pPr>
            <w:r>
              <w:rPr>
                <w:rFonts w:ascii="宋体" w:hAnsi="宋体" w:cs="宋体" w:eastAsia="宋体" w:hint="default"/>
                <w:sz w:val="18"/>
                <w:szCs w:val="18"/>
              </w:rPr>
              <w:t>自有及借款</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70,659,785.90</w:t>
            </w:r>
          </w:p>
        </w:tc>
      </w:tr>
      <w:tr>
        <w:trPr>
          <w:trHeight w:val="408"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惠州市场工程</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4,172,514.50</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4,593,963.76</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327,375.00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327,375.00</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70" w:right="0"/>
              <w:jc w:val="left"/>
              <w:rPr>
                <w:rFonts w:ascii="宋体" w:hAnsi="宋体" w:cs="宋体" w:eastAsia="宋体" w:hint="default"/>
                <w:sz w:val="18"/>
                <w:szCs w:val="18"/>
              </w:rPr>
            </w:pPr>
            <w:r>
              <w:rPr>
                <w:rFonts w:ascii="宋体" w:hAnsi="宋体" w:cs="宋体" w:eastAsia="宋体" w:hint="default"/>
                <w:sz w:val="18"/>
                <w:szCs w:val="18"/>
              </w:rPr>
              <w:t>自有及借款</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8,766,478.26</w:t>
            </w:r>
          </w:p>
        </w:tc>
      </w:tr>
      <w:tr>
        <w:trPr>
          <w:trHeight w:val="811"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30"/>
              <w:ind w:left="26" w:right="36"/>
              <w:jc w:val="left"/>
              <w:rPr>
                <w:rFonts w:ascii="宋体" w:hAnsi="宋体" w:cs="宋体" w:eastAsia="宋体" w:hint="default"/>
                <w:sz w:val="18"/>
                <w:szCs w:val="18"/>
              </w:rPr>
            </w:pPr>
            <w:r>
              <w:rPr>
                <w:rFonts w:ascii="宋体" w:hAnsi="宋体" w:cs="宋体" w:eastAsia="宋体" w:hint="default"/>
                <w:spacing w:val="6"/>
                <w:sz w:val="18"/>
                <w:szCs w:val="18"/>
              </w:rPr>
              <w:t>沈阳海吉星农产品物流</w:t>
            </w:r>
            <w:r>
              <w:rPr>
                <w:rFonts w:ascii="宋体" w:hAnsi="宋体" w:cs="宋体" w:eastAsia="宋体" w:hint="default"/>
                <w:sz w:val="18"/>
                <w:szCs w:val="18"/>
              </w:rPr>
              <w:t> 园工程</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15,000</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5,641,852.39</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20,974,578.52</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104,682.27</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17.67</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2"/>
                <w:sz w:val="18"/>
              </w:rPr>
              <w:t>26,511,748.64</w:t>
            </w:r>
          </w:p>
        </w:tc>
      </w:tr>
      <w:tr>
        <w:trPr>
          <w:trHeight w:val="809"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28"/>
              <w:ind w:left="26" w:right="36"/>
              <w:jc w:val="left"/>
              <w:rPr>
                <w:rFonts w:ascii="宋体" w:hAnsi="宋体" w:cs="宋体" w:eastAsia="宋体" w:hint="default"/>
                <w:sz w:val="18"/>
                <w:szCs w:val="18"/>
              </w:rPr>
            </w:pPr>
            <w:r>
              <w:rPr>
                <w:rFonts w:ascii="宋体" w:hAnsi="宋体" w:cs="宋体" w:eastAsia="宋体" w:hint="default"/>
                <w:spacing w:val="6"/>
                <w:sz w:val="18"/>
                <w:szCs w:val="18"/>
              </w:rPr>
              <w:t>广西海吉星农产品物流</w:t>
            </w:r>
            <w:r>
              <w:rPr>
                <w:rFonts w:ascii="宋体" w:hAnsi="宋体" w:cs="宋体" w:eastAsia="宋体" w:hint="default"/>
                <w:sz w:val="18"/>
                <w:szCs w:val="18"/>
              </w:rPr>
              <w:t> 园</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3"/>
              <w:jc w:val="right"/>
              <w:rPr>
                <w:rFonts w:ascii="Times New Roman" w:hAnsi="Times New Roman" w:cs="Times New Roman" w:eastAsia="Times New Roman" w:hint="default"/>
                <w:sz w:val="18"/>
                <w:szCs w:val="18"/>
              </w:rPr>
            </w:pPr>
            <w:r>
              <w:rPr>
                <w:rFonts w:ascii="Times New Roman"/>
                <w:spacing w:val="-1"/>
                <w:sz w:val="18"/>
              </w:rPr>
              <w:t>76,000</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3"/>
              <w:jc w:val="right"/>
              <w:rPr>
                <w:rFonts w:ascii="Times New Roman" w:hAnsi="Times New Roman" w:cs="Times New Roman" w:eastAsia="Times New Roman" w:hint="default"/>
                <w:sz w:val="18"/>
                <w:szCs w:val="18"/>
              </w:rPr>
            </w:pPr>
            <w:r>
              <w:rPr>
                <w:rFonts w:ascii="Times New Roman"/>
                <w:spacing w:val="-1"/>
                <w:sz w:val="18"/>
              </w:rPr>
              <w:t>984,279.59</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5"/>
              <w:jc w:val="right"/>
              <w:rPr>
                <w:rFonts w:ascii="Times New Roman" w:hAnsi="Times New Roman" w:cs="Times New Roman" w:eastAsia="Times New Roman" w:hint="default"/>
                <w:sz w:val="18"/>
                <w:szCs w:val="18"/>
              </w:rPr>
            </w:pPr>
            <w:r>
              <w:rPr>
                <w:rFonts w:ascii="Times New Roman"/>
                <w:spacing w:val="-1"/>
                <w:sz w:val="18"/>
              </w:rPr>
              <w:t>21,370,577.65</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5"/>
              <w:jc w:val="right"/>
              <w:rPr>
                <w:rFonts w:ascii="Times New Roman" w:hAnsi="Times New Roman" w:cs="Times New Roman" w:eastAsia="Times New Roman" w:hint="default"/>
                <w:sz w:val="18"/>
                <w:szCs w:val="18"/>
              </w:rPr>
            </w:pPr>
            <w:r>
              <w:rPr>
                <w:rFonts w:ascii="Times New Roman"/>
                <w:spacing w:val="-1"/>
                <w:sz w:val="18"/>
              </w:rPr>
              <w:t>7,423,833.29</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5"/>
              <w:jc w:val="right"/>
              <w:rPr>
                <w:rFonts w:ascii="Times New Roman" w:hAnsi="Times New Roman" w:cs="Times New Roman" w:eastAsia="Times New Roman" w:hint="default"/>
                <w:sz w:val="18"/>
                <w:szCs w:val="18"/>
              </w:rPr>
            </w:pPr>
            <w:r>
              <w:rPr>
                <w:rFonts w:ascii="Times New Roman"/>
                <w:spacing w:val="-1"/>
                <w:sz w:val="18"/>
              </w:rPr>
              <w:t>914,793.57</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2.82</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3"/>
              <w:jc w:val="right"/>
              <w:rPr>
                <w:rFonts w:ascii="Times New Roman" w:hAnsi="Times New Roman" w:cs="Times New Roman" w:eastAsia="Times New Roman" w:hint="default"/>
                <w:sz w:val="18"/>
                <w:szCs w:val="18"/>
              </w:rPr>
            </w:pPr>
            <w:r>
              <w:rPr>
                <w:rFonts w:ascii="Times New Roman"/>
                <w:spacing w:val="-1"/>
                <w:sz w:val="18"/>
              </w:rPr>
              <w:t>1,206,426.29</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3"/>
              <w:jc w:val="right"/>
              <w:rPr>
                <w:rFonts w:ascii="Times New Roman" w:hAnsi="Times New Roman" w:cs="Times New Roman" w:eastAsia="Times New Roman" w:hint="default"/>
                <w:sz w:val="18"/>
                <w:szCs w:val="18"/>
              </w:rPr>
            </w:pPr>
            <w:r>
              <w:rPr>
                <w:rFonts w:ascii="Times New Roman"/>
                <w:spacing w:val="-1"/>
                <w:sz w:val="18"/>
              </w:rPr>
              <w:t>1,206,426.29</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5.31</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自有及借款</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5"/>
              <w:jc w:val="right"/>
              <w:rPr>
                <w:rFonts w:ascii="Times New Roman" w:hAnsi="Times New Roman" w:cs="Times New Roman" w:eastAsia="Times New Roman" w:hint="default"/>
                <w:sz w:val="18"/>
                <w:szCs w:val="18"/>
              </w:rPr>
            </w:pPr>
            <w:r>
              <w:rPr>
                <w:rFonts w:ascii="Times New Roman"/>
                <w:spacing w:val="-1"/>
                <w:sz w:val="18"/>
              </w:rPr>
              <w:t>14,016,230.38</w:t>
            </w:r>
          </w:p>
        </w:tc>
      </w:tr>
      <w:tr>
        <w:trPr>
          <w:trHeight w:val="451"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宁夏海吉星市场工程</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23,000</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16,870,239.48</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40,290.00</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16,829,949.48</w:t>
            </w:r>
          </w:p>
        </w:tc>
      </w:tr>
      <w:tr>
        <w:trPr>
          <w:trHeight w:val="410" w:hRule="exact"/>
        </w:trPr>
        <w:tc>
          <w:tcPr>
            <w:tcW w:w="19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87" w:type="dxa"/>
            <w:tcBorders>
              <w:top w:val="single" w:sz="4" w:space="0" w:color="000008"/>
              <w:left w:val="single" w:sz="4" w:space="0" w:color="000008"/>
              <w:bottom w:val="single" w:sz="4" w:space="0" w:color="000008"/>
              <w:right w:val="single" w:sz="4" w:space="0" w:color="000008"/>
            </w:tcBorders>
          </w:tcPr>
          <w:p>
            <w:pP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436,650,807.73</w:t>
            </w:r>
            <w:r>
              <w:rPr>
                <w:rFonts w:ascii="Times New Roman"/>
                <w:spacing w:val="-1"/>
                <w:sz w:val="18"/>
              </w:rPr>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2"/>
                <w:sz w:val="18"/>
              </w:rPr>
              <w:t>265,298,111.45</w:t>
            </w:r>
            <w:r>
              <w:rPr>
                <w:rFonts w:ascii="Times New Roman"/>
                <w:spacing w:val="-2"/>
                <w:sz w:val="18"/>
              </w:rPr>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26,333,258.61</w:t>
            </w:r>
            <w:r>
              <w:rPr>
                <w:rFonts w:ascii="Times New Roman"/>
                <w:spacing w:val="-1"/>
                <w:sz w:val="18"/>
              </w:rPr>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1,019,475.84</w:t>
            </w:r>
            <w:r>
              <w:rPr>
                <w:rFonts w:ascii="Times New Roman"/>
                <w:spacing w:val="-1"/>
                <w:sz w:val="18"/>
              </w:rPr>
            </w:r>
          </w:p>
        </w:tc>
        <w:tc>
          <w:tcPr>
            <w:tcW w:w="766" w:type="dxa"/>
            <w:tcBorders>
              <w:top w:val="single" w:sz="4" w:space="0" w:color="000008"/>
              <w:left w:val="single" w:sz="4" w:space="0" w:color="000008"/>
              <w:bottom w:val="single" w:sz="4" w:space="0" w:color="000008"/>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3"/>
                <w:sz w:val="18"/>
              </w:rPr>
              <w:t>11,944,116.30</w:t>
            </w:r>
            <w:r>
              <w:rPr>
                <w:rFonts w:ascii="Times New Roman"/>
                <w:spacing w:val="-3"/>
                <w:sz w:val="18"/>
              </w:rPr>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7,525,876.29</w:t>
            </w:r>
            <w:r>
              <w:rPr>
                <w:rFonts w:ascii="Times New Roman"/>
                <w:spacing w:val="-1"/>
                <w:sz w:val="18"/>
              </w:rPr>
            </w:r>
          </w:p>
        </w:tc>
        <w:tc>
          <w:tcPr>
            <w:tcW w:w="622" w:type="dxa"/>
            <w:tcBorders>
              <w:top w:val="single" w:sz="4" w:space="0" w:color="000008"/>
              <w:left w:val="single" w:sz="4" w:space="0" w:color="000008"/>
              <w:bottom w:val="single" w:sz="4" w:space="0" w:color="000008"/>
              <w:right w:val="single" w:sz="4" w:space="0" w:color="000008"/>
            </w:tcBorders>
          </w:tcPr>
          <w:p>
            <w:pPr/>
          </w:p>
        </w:tc>
        <w:tc>
          <w:tcPr>
            <w:tcW w:w="1250" w:type="dxa"/>
            <w:tcBorders>
              <w:top w:val="single" w:sz="4" w:space="0" w:color="000008"/>
              <w:left w:val="single" w:sz="4" w:space="0" w:color="000008"/>
              <w:bottom w:val="single" w:sz="4" w:space="0" w:color="000008"/>
              <w:right w:val="single" w:sz="4" w:space="0" w:color="000008"/>
            </w:tcBorders>
          </w:tcPr>
          <w:p>
            <w:pP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674,596,184.73</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0" w:right="0" w:firstLine="0"/>
        <w:jc w:val="center"/>
        <w:rPr>
          <w:rFonts w:ascii="Times New Roman" w:hAnsi="Times New Roman" w:cs="Times New Roman" w:eastAsia="Times New Roman" w:hint="default"/>
          <w:sz w:val="18"/>
          <w:szCs w:val="18"/>
        </w:rPr>
      </w:pPr>
      <w:r>
        <w:rPr>
          <w:rFonts w:ascii="Times New Roman"/>
          <w:sz w:val="18"/>
        </w:rPr>
        <w:t>160</w:t>
      </w:r>
    </w:p>
    <w:p>
      <w:pPr>
        <w:spacing w:after="0"/>
        <w:jc w:val="center"/>
        <w:rPr>
          <w:rFonts w:ascii="Times New Roman" w:hAnsi="Times New Roman" w:cs="Times New Roman" w:eastAsia="Times New Roman" w:hint="default"/>
          <w:sz w:val="18"/>
          <w:szCs w:val="18"/>
        </w:rPr>
        <w:sectPr>
          <w:headerReference w:type="default" r:id="rId167"/>
          <w:footerReference w:type="default" r:id="rId168"/>
          <w:pgSz w:w="16840" w:h="11910" w:orient="landscape"/>
          <w:pgMar w:header="0" w:footer="0" w:top="860" w:bottom="2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line="331" w:lineRule="auto" w:before="36"/>
        <w:ind w:left="221" w:right="214"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日，在建工程项目中未发现有减值事项发生，故未计提相应的资产</w:t>
      </w:r>
      <w:r>
        <w:rPr>
          <w:rFonts w:ascii="宋体" w:hAnsi="宋体" w:cs="宋体" w:eastAsia="宋体" w:hint="default"/>
          <w:w w:val="100"/>
          <w:sz w:val="21"/>
          <w:szCs w:val="21"/>
        </w:rPr>
        <w:t> </w:t>
      </w:r>
      <w:r>
        <w:rPr>
          <w:rFonts w:ascii="宋体" w:hAnsi="宋体" w:cs="宋体" w:eastAsia="宋体" w:hint="default"/>
          <w:sz w:val="21"/>
          <w:szCs w:val="21"/>
        </w:rPr>
        <w:t>减值准备。</w:t>
      </w:r>
    </w:p>
    <w:p>
      <w:pPr>
        <w:spacing w:line="240" w:lineRule="auto" w:before="1"/>
        <w:rPr>
          <w:rFonts w:ascii="宋体" w:hAnsi="宋体" w:cs="宋体" w:eastAsia="宋体" w:hint="default"/>
          <w:sz w:val="17"/>
          <w:szCs w:val="17"/>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l)</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生产性生物资产</w:t>
      </w:r>
    </w:p>
    <w:p>
      <w:pPr>
        <w:spacing w:line="240" w:lineRule="auto" w:before="5"/>
        <w:rPr>
          <w:rFonts w:ascii="宋体" w:hAnsi="宋体" w:cs="宋体" w:eastAsia="宋体" w:hint="default"/>
          <w:sz w:val="17"/>
          <w:szCs w:val="17"/>
        </w:rPr>
      </w:pPr>
    </w:p>
    <w:p>
      <w:pPr>
        <w:spacing w:before="0"/>
        <w:ind w:left="641" w:right="212" w:firstLine="0"/>
        <w:jc w:val="left"/>
        <w:rPr>
          <w:rFonts w:ascii="宋体" w:hAnsi="宋体" w:cs="宋体" w:eastAsia="宋体" w:hint="default"/>
          <w:sz w:val="21"/>
          <w:szCs w:val="21"/>
        </w:rPr>
      </w:pPr>
      <w:r>
        <w:rPr>
          <w:rFonts w:ascii="宋体" w:hAnsi="宋体" w:cs="宋体" w:eastAsia="宋体" w:hint="default"/>
          <w:sz w:val="21"/>
          <w:szCs w:val="21"/>
        </w:rPr>
        <w:t>以成本计量</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230"/>
        <w:gridCol w:w="1745"/>
        <w:gridCol w:w="1502"/>
        <w:gridCol w:w="1500"/>
        <w:gridCol w:w="1745"/>
      </w:tblGrid>
      <w:tr>
        <w:trPr>
          <w:trHeight w:val="410" w:hRule="exact"/>
        </w:trPr>
        <w:tc>
          <w:tcPr>
            <w:tcW w:w="2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926"/>
              <w:jc w:val="right"/>
              <w:rPr>
                <w:rFonts w:ascii="宋体" w:hAnsi="宋体" w:cs="宋体" w:eastAsia="宋体" w:hint="default"/>
                <w:sz w:val="18"/>
                <w:szCs w:val="18"/>
              </w:rPr>
            </w:pPr>
            <w:r>
              <w:rPr>
                <w:rFonts w:ascii="宋体" w:hAnsi="宋体" w:cs="宋体" w:eastAsia="宋体" w:hint="default"/>
                <w:sz w:val="18"/>
                <w:szCs w:val="18"/>
              </w:rPr>
              <w:t>项目</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2008-12-31</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3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3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2009-12-31</w:t>
            </w:r>
          </w:p>
        </w:tc>
      </w:tr>
      <w:tr>
        <w:trPr>
          <w:trHeight w:val="410" w:hRule="exact"/>
        </w:trPr>
        <w:tc>
          <w:tcPr>
            <w:tcW w:w="8722"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畜牧养殖业</w:t>
            </w:r>
          </w:p>
        </w:tc>
      </w:tr>
      <w:tr>
        <w:trPr>
          <w:trHeight w:val="408" w:hRule="exact"/>
        </w:trPr>
        <w:tc>
          <w:tcPr>
            <w:tcW w:w="2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27,023,166.39</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16,900,442.00</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11,735,447.76</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32,188,160.63</w:t>
            </w:r>
          </w:p>
        </w:tc>
      </w:tr>
      <w:tr>
        <w:trPr>
          <w:trHeight w:val="410" w:hRule="exact"/>
        </w:trPr>
        <w:tc>
          <w:tcPr>
            <w:tcW w:w="2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3,815,695.93</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4,377,145.32</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3,175,393.15</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5,017,448.10</w:t>
            </w:r>
          </w:p>
        </w:tc>
      </w:tr>
      <w:tr>
        <w:trPr>
          <w:trHeight w:val="410" w:hRule="exact"/>
        </w:trPr>
        <w:tc>
          <w:tcPr>
            <w:tcW w:w="2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23,207,470.46</w:t>
            </w:r>
          </w:p>
        </w:tc>
        <w:tc>
          <w:tcPr>
            <w:tcW w:w="1502"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27,170,712.53</w:t>
            </w:r>
          </w:p>
        </w:tc>
      </w:tr>
      <w:tr>
        <w:trPr>
          <w:trHeight w:val="410" w:hRule="exact"/>
        </w:trPr>
        <w:tc>
          <w:tcPr>
            <w:tcW w:w="2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23,207,470.46</w:t>
            </w:r>
          </w:p>
        </w:tc>
        <w:tc>
          <w:tcPr>
            <w:tcW w:w="1502"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27,170,712.53</w:t>
            </w:r>
          </w:p>
        </w:tc>
      </w:tr>
      <w:tr>
        <w:trPr>
          <w:trHeight w:val="410" w:hRule="exact"/>
        </w:trPr>
        <w:tc>
          <w:tcPr>
            <w:tcW w:w="2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92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23,207,470.46</w:t>
            </w:r>
            <w:r>
              <w:rPr>
                <w:rFonts w:ascii="Times New Roman"/>
                <w:spacing w:val="-1"/>
                <w:sz w:val="18"/>
              </w:rPr>
            </w:r>
          </w:p>
        </w:tc>
        <w:tc>
          <w:tcPr>
            <w:tcW w:w="1502"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27,170,712.53</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m)</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无形资产</w:t>
      </w:r>
    </w:p>
    <w:p>
      <w:pPr>
        <w:spacing w:line="240" w:lineRule="auto" w:before="13"/>
        <w:rPr>
          <w:rFonts w:ascii="宋体" w:hAnsi="宋体" w:cs="宋体" w:eastAsia="宋体" w:hint="default"/>
          <w:sz w:val="21"/>
          <w:szCs w:val="21"/>
        </w:rPr>
      </w:pPr>
    </w:p>
    <w:p>
      <w:pPr>
        <w:spacing w:before="0"/>
        <w:ind w:left="641" w:right="2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）无形资产情况</w:t>
      </w:r>
    </w:p>
    <w:p>
      <w:pPr>
        <w:spacing w:line="240" w:lineRule="auto" w:before="6"/>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383"/>
        <w:gridCol w:w="1476"/>
        <w:gridCol w:w="1543"/>
        <w:gridCol w:w="1663"/>
        <w:gridCol w:w="1656"/>
      </w:tblGrid>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2008-12-31</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2009-12-31</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1,048,225,433.42</w:t>
            </w:r>
            <w:r>
              <w:rPr>
                <w:rFonts w:ascii="Times New Roman"/>
                <w:spacing w:val="-1"/>
                <w:sz w:val="18"/>
              </w:rPr>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57,550,126.05</w:t>
            </w:r>
            <w:r>
              <w:rPr>
                <w:rFonts w:ascii="Times New Roman"/>
                <w:spacing w:val="-1"/>
                <w:sz w:val="18"/>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38,549,511.58</w:t>
            </w:r>
            <w:r>
              <w:rPr>
                <w:rFonts w:ascii="Times New Roman"/>
                <w:spacing w:val="-1"/>
                <w:sz w:val="18"/>
              </w:rPr>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1,067,226,047.89</w:t>
            </w:r>
            <w:r>
              <w:rPr>
                <w:rFonts w:ascii="Times New Roman"/>
                <w:spacing w:val="-1"/>
                <w:sz w:val="18"/>
              </w:rPr>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2,038,783.33</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2,038,783.33</w:t>
            </w:r>
          </w:p>
        </w:tc>
      </w:tr>
      <w:tr>
        <w:trPr>
          <w:trHeight w:val="408"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1,033,782,133.86</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57,533,758.36</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38,549,511.58</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1,052,766,380.64</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5,079,858.67</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16,367.69</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5,096,226.36</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7,324,657.56</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7,324,657.56</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二、累计摊销合计</w:t>
            </w:r>
            <w:r>
              <w:rPr>
                <w:rFonts w:ascii="Microsoft JhengHei" w:hAnsi="Microsoft JhengHei" w:cs="Microsoft JhengHei" w:eastAsia="Microsoft JhengHei" w:hint="default"/>
                <w:sz w:val="18"/>
                <w:szCs w:val="18"/>
              </w:rPr>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116,313,615.03</w:t>
            </w:r>
            <w:r>
              <w:rPr>
                <w:rFonts w:ascii="Times New Roman"/>
                <w:spacing w:val="-1"/>
                <w:sz w:val="18"/>
              </w:rPr>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28,754,859.20</w:t>
            </w:r>
            <w:r>
              <w:rPr>
                <w:rFonts w:ascii="Times New Roman"/>
                <w:spacing w:val="-1"/>
                <w:sz w:val="18"/>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7,824,428.36</w:t>
            </w:r>
            <w:r>
              <w:rPr>
                <w:rFonts w:ascii="Times New Roman"/>
                <w:spacing w:val="-1"/>
                <w:sz w:val="18"/>
              </w:rPr>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137,244,045.87</w:t>
            </w:r>
            <w:r>
              <w:rPr>
                <w:rFonts w:ascii="Times New Roman"/>
                <w:spacing w:val="-1"/>
                <w:sz w:val="18"/>
              </w:rPr>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628,547.66</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74,050.00</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702,597.66</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114,259,801.76</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27,637,259.78</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7,824,428.36</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134,072,633.18</w:t>
            </w:r>
          </w:p>
        </w:tc>
      </w:tr>
      <w:tr>
        <w:trPr>
          <w:trHeight w:val="408"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1,237,453.88</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855,737.69</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2,093,191.57</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187,811.73</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187,811.73</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375,623.46</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三、无形资产账面净值合计</w:t>
            </w:r>
            <w:r>
              <w:rPr>
                <w:rFonts w:ascii="Microsoft JhengHei" w:hAnsi="Microsoft JhengHei" w:cs="Microsoft JhengHei" w:eastAsia="Microsoft JhengHei" w:hint="default"/>
                <w:sz w:val="18"/>
                <w:szCs w:val="18"/>
              </w:rPr>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931,911,818.39</w:t>
            </w:r>
            <w:r>
              <w:rPr>
                <w:rFonts w:ascii="Times New Roman"/>
                <w:spacing w:val="-1"/>
                <w:sz w:val="18"/>
              </w:rPr>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929,982,002.02</w:t>
            </w:r>
            <w:r>
              <w:rPr>
                <w:rFonts w:ascii="Times New Roman"/>
                <w:spacing w:val="-1"/>
                <w:sz w:val="18"/>
              </w:rPr>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1,410,235.67</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1,336,185.67</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919,522,332.1</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918,693,747.46</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3,842,404.79</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3,003,034.79</w:t>
            </w:r>
          </w:p>
        </w:tc>
      </w:tr>
      <w:tr>
        <w:trPr>
          <w:trHeight w:val="408"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7,136,845.83</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6,949,034.10</w:t>
            </w:r>
          </w:p>
        </w:tc>
      </w:tr>
    </w:tbl>
    <w:p>
      <w:pPr>
        <w:spacing w:after="0" w:line="240" w:lineRule="auto"/>
        <w:jc w:val="right"/>
        <w:rPr>
          <w:rFonts w:ascii="Times New Roman" w:hAnsi="Times New Roman" w:cs="Times New Roman" w:eastAsia="Times New Roman" w:hint="default"/>
          <w:sz w:val="18"/>
          <w:szCs w:val="18"/>
        </w:rPr>
        <w:sectPr>
          <w:footerReference w:type="default" r:id="rId169"/>
          <w:pgSz w:w="11910" w:h="16840"/>
          <w:pgMar w:footer="897" w:header="0" w:top="1640" w:bottom="1080" w:left="1480" w:right="1480"/>
          <w:pgNumType w:start="161"/>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383"/>
        <w:gridCol w:w="1476"/>
        <w:gridCol w:w="1543"/>
        <w:gridCol w:w="1663"/>
        <w:gridCol w:w="1656"/>
      </w:tblGrid>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2008-12-31</w:t>
            </w:r>
          </w:p>
        </w:tc>
        <w:tc>
          <w:tcPr>
            <w:tcW w:w="15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2009-12-31</w:t>
            </w:r>
          </w:p>
        </w:tc>
      </w:tr>
      <w:tr>
        <w:trPr>
          <w:trHeight w:val="408"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五、无形资产账面价值合计</w:t>
            </w:r>
            <w:r>
              <w:rPr>
                <w:rFonts w:ascii="Microsoft JhengHei" w:hAnsi="Microsoft JhengHei" w:cs="Microsoft JhengHei" w:eastAsia="Microsoft JhengHei" w:hint="default"/>
                <w:sz w:val="18"/>
                <w:szCs w:val="18"/>
              </w:rPr>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931,911,818.39</w:t>
            </w:r>
            <w:r>
              <w:rPr>
                <w:rFonts w:ascii="Times New Roman"/>
                <w:spacing w:val="-1"/>
                <w:sz w:val="18"/>
              </w:rPr>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929,982,002.02</w:t>
            </w:r>
            <w:r>
              <w:rPr>
                <w:rFonts w:ascii="Times New Roman"/>
                <w:spacing w:val="-1"/>
                <w:sz w:val="18"/>
              </w:rPr>
            </w:r>
          </w:p>
        </w:tc>
      </w:tr>
      <w:tr>
        <w:trPr>
          <w:trHeight w:val="408"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1,410,235.67</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1,336,185.67</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919,522,332.1</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918,693,747.46</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3,842,404.79</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3,003,034.79</w:t>
            </w:r>
          </w:p>
        </w:tc>
      </w:tr>
      <w:tr>
        <w:trPr>
          <w:trHeight w:val="410" w:hRule="exact"/>
        </w:trPr>
        <w:tc>
          <w:tcPr>
            <w:tcW w:w="23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7,136,845.83</w:t>
            </w:r>
          </w:p>
        </w:tc>
        <w:tc>
          <w:tcPr>
            <w:tcW w:w="1543" w:type="dxa"/>
            <w:tcBorders>
              <w:top w:val="single" w:sz="4" w:space="0" w:color="000008"/>
              <w:left w:val="single" w:sz="4" w:space="0" w:color="000008"/>
              <w:bottom w:val="single" w:sz="4" w:space="0" w:color="000008"/>
              <w:right w:val="single" w:sz="4" w:space="0" w:color="000008"/>
            </w:tcBorders>
          </w:tcPr>
          <w:p>
            <w:pPr/>
          </w:p>
        </w:tc>
        <w:tc>
          <w:tcPr>
            <w:tcW w:w="1663"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6,949,034.10</w:t>
            </w:r>
          </w:p>
        </w:tc>
      </w:tr>
    </w:tbl>
    <w:p>
      <w:pPr>
        <w:spacing w:line="240" w:lineRule="auto" w:before="3"/>
        <w:rPr>
          <w:rFonts w:ascii="宋体" w:hAnsi="宋体" w:cs="宋体" w:eastAsia="宋体" w:hint="default"/>
          <w:sz w:val="19"/>
          <w:szCs w:val="19"/>
        </w:rPr>
      </w:pPr>
    </w:p>
    <w:p>
      <w:pPr>
        <w:spacing w:line="362" w:lineRule="auto" w:before="36"/>
        <w:ind w:left="221" w:right="357" w:firstLine="42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23"/>
          <w:w w:val="100"/>
          <w:sz w:val="21"/>
          <w:szCs w:val="21"/>
        </w:rPr>
        <w:t> </w:t>
      </w:r>
      <w:r>
        <w:rPr>
          <w:rFonts w:ascii="宋体" w:hAnsi="宋体" w:cs="宋体" w:eastAsia="宋体" w:hint="default"/>
          <w:spacing w:val="-5"/>
          <w:w w:val="100"/>
          <w:sz w:val="21"/>
          <w:szCs w:val="21"/>
        </w:rPr>
        <w:t>本期增加主要系新设子公司宁夏海吉星国际农产品物流有限公司所取得土地使用权，本</w:t>
      </w:r>
      <w:r>
        <w:rPr>
          <w:rFonts w:ascii="宋体" w:hAnsi="宋体" w:cs="宋体" w:eastAsia="宋体" w:hint="default"/>
          <w:w w:val="100"/>
          <w:sz w:val="21"/>
          <w:szCs w:val="21"/>
        </w:rPr>
        <w:t> </w:t>
      </w:r>
      <w:r>
        <w:rPr>
          <w:rFonts w:ascii="宋体" w:hAnsi="宋体" w:cs="宋体" w:eastAsia="宋体" w:hint="default"/>
          <w:spacing w:val="-5"/>
          <w:w w:val="100"/>
          <w:sz w:val="21"/>
          <w:szCs w:val="21"/>
        </w:rPr>
        <w:t>期减少主要系山东寿光蔬菜批发市场有限公司退出合并范围所致。本期摊销额为</w:t>
      </w:r>
      <w:r>
        <w:rPr>
          <w:rFonts w:ascii="宋体" w:hAnsi="宋体" w:cs="宋体" w:eastAsia="宋体" w:hint="default"/>
          <w:spacing w:val="-38"/>
          <w:w w:val="100"/>
          <w:sz w:val="21"/>
          <w:szCs w:val="21"/>
        </w:rPr>
        <w:t> </w:t>
      </w:r>
      <w:r>
        <w:rPr>
          <w:rFonts w:ascii="Times New Roman" w:hAnsi="Times New Roman" w:cs="Times New Roman" w:eastAsia="Times New Roman" w:hint="default"/>
          <w:spacing w:val="-1"/>
          <w:w w:val="100"/>
          <w:sz w:val="21"/>
          <w:szCs w:val="21"/>
        </w:rPr>
        <w:t>27,596,057.60</w:t>
      </w:r>
      <w:r>
        <w:rPr>
          <w:rFonts w:ascii="Times New Roman" w:hAnsi="Times New Roman" w:cs="Times New Roman" w:eastAsia="Times New Roman" w:hint="default"/>
          <w:spacing w:val="-46"/>
          <w:w w:val="100"/>
          <w:sz w:val="21"/>
          <w:szCs w:val="21"/>
        </w:rPr>
        <w:t> </w:t>
      </w:r>
      <w:r>
        <w:rPr>
          <w:rFonts w:ascii="Times New Roman" w:hAnsi="Times New Roman" w:cs="Times New Roman" w:eastAsia="Times New Roman" w:hint="default"/>
          <w:spacing w:val="-46"/>
          <w:w w:val="100"/>
          <w:sz w:val="21"/>
          <w:szCs w:val="21"/>
        </w:rPr>
      </w:r>
      <w:r>
        <w:rPr>
          <w:rFonts w:ascii="宋体" w:hAnsi="宋体" w:cs="宋体" w:eastAsia="宋体" w:hint="default"/>
          <w:sz w:val="21"/>
          <w:szCs w:val="21"/>
        </w:rPr>
        <w:t>元。</w:t>
      </w:r>
    </w:p>
    <w:p>
      <w:pPr>
        <w:spacing w:line="240" w:lineRule="auto" w:before="2"/>
        <w:rPr>
          <w:rFonts w:ascii="宋体" w:hAnsi="宋体" w:cs="宋体" w:eastAsia="宋体" w:hint="default"/>
          <w:sz w:val="18"/>
          <w:szCs w:val="18"/>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）期末抵押的无形资产</w:t>
      </w:r>
    </w:p>
    <w:p>
      <w:pPr>
        <w:spacing w:line="240" w:lineRule="auto" w:before="4"/>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940"/>
        <w:gridCol w:w="2969"/>
        <w:gridCol w:w="2947"/>
      </w:tblGrid>
      <w:tr>
        <w:trPr>
          <w:trHeight w:val="434" w:hRule="exact"/>
        </w:trPr>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9"/>
              <w:ind w:left="564" w:right="0"/>
              <w:jc w:val="left"/>
              <w:rPr>
                <w:rFonts w:ascii="宋体" w:hAnsi="宋体" w:cs="宋体" w:eastAsia="宋体" w:hint="default"/>
                <w:sz w:val="18"/>
                <w:szCs w:val="18"/>
              </w:rPr>
            </w:pPr>
            <w:r>
              <w:rPr>
                <w:rFonts w:ascii="宋体" w:hAnsi="宋体" w:cs="宋体" w:eastAsia="宋体" w:hint="default"/>
                <w:sz w:val="18"/>
                <w:szCs w:val="18"/>
              </w:rPr>
              <w:t>被抵押的无形资产项目</w:t>
            </w:r>
          </w:p>
        </w:tc>
        <w:tc>
          <w:tcPr>
            <w:tcW w:w="296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9"/>
              <w:ind w:left="487" w:right="0"/>
              <w:jc w:val="left"/>
              <w:rPr>
                <w:rFonts w:ascii="宋体" w:hAnsi="宋体" w:cs="宋体" w:eastAsia="宋体" w:hint="default"/>
                <w:sz w:val="18"/>
                <w:szCs w:val="18"/>
              </w:rPr>
            </w:pPr>
            <w:r>
              <w:rPr>
                <w:rFonts w:ascii="宋体" w:hAnsi="宋体" w:cs="宋体" w:eastAsia="宋体" w:hint="default"/>
                <w:sz w:val="18"/>
                <w:szCs w:val="18"/>
              </w:rPr>
              <w:t>被抵押无形资产期末原值</w:t>
            </w:r>
          </w:p>
        </w:tc>
        <w:tc>
          <w:tcPr>
            <w:tcW w:w="2947"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49"/>
              <w:ind w:left="475" w:right="0"/>
              <w:jc w:val="left"/>
              <w:rPr>
                <w:rFonts w:ascii="宋体" w:hAnsi="宋体" w:cs="宋体" w:eastAsia="宋体" w:hint="default"/>
                <w:sz w:val="18"/>
                <w:szCs w:val="18"/>
              </w:rPr>
            </w:pPr>
            <w:r>
              <w:rPr>
                <w:rFonts w:ascii="宋体" w:hAnsi="宋体" w:cs="宋体" w:eastAsia="宋体" w:hint="default"/>
                <w:sz w:val="18"/>
                <w:szCs w:val="18"/>
              </w:rPr>
              <w:t>被抵押无形资产期末净值</w:t>
            </w:r>
          </w:p>
        </w:tc>
      </w:tr>
      <w:tr>
        <w:trPr>
          <w:trHeight w:val="415" w:hRule="exact"/>
        </w:trPr>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上海农批土地使用权</w:t>
            </w:r>
          </w:p>
        </w:tc>
        <w:tc>
          <w:tcPr>
            <w:tcW w:w="296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127,119,772.21</w:t>
            </w:r>
          </w:p>
        </w:tc>
        <w:tc>
          <w:tcPr>
            <w:tcW w:w="2947"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115,922,422.50</w:t>
            </w:r>
          </w:p>
        </w:tc>
      </w:tr>
      <w:tr>
        <w:trPr>
          <w:trHeight w:val="415" w:hRule="exact"/>
        </w:trPr>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南昌批发市场土地使用权</w:t>
            </w:r>
          </w:p>
        </w:tc>
        <w:tc>
          <w:tcPr>
            <w:tcW w:w="296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63,117,928.37</w:t>
            </w:r>
          </w:p>
        </w:tc>
        <w:tc>
          <w:tcPr>
            <w:tcW w:w="2947"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58,129,124.43</w:t>
            </w:r>
          </w:p>
        </w:tc>
      </w:tr>
      <w:tr>
        <w:trPr>
          <w:trHeight w:val="415" w:hRule="exact"/>
        </w:trPr>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西安批发市场土地使用权</w:t>
            </w:r>
          </w:p>
        </w:tc>
        <w:tc>
          <w:tcPr>
            <w:tcW w:w="296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46,780,519.00</w:t>
            </w:r>
          </w:p>
        </w:tc>
        <w:tc>
          <w:tcPr>
            <w:tcW w:w="2947"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42,644,673.44</w:t>
            </w:r>
          </w:p>
        </w:tc>
      </w:tr>
      <w:tr>
        <w:trPr>
          <w:trHeight w:val="415" w:hRule="exact"/>
        </w:trPr>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惠州批发市场土地使用权</w:t>
            </w:r>
          </w:p>
        </w:tc>
        <w:tc>
          <w:tcPr>
            <w:tcW w:w="296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41,906,684.15</w:t>
            </w:r>
          </w:p>
        </w:tc>
        <w:tc>
          <w:tcPr>
            <w:tcW w:w="2947"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38,646,609.38</w:t>
            </w:r>
          </w:p>
        </w:tc>
      </w:tr>
      <w:tr>
        <w:trPr>
          <w:trHeight w:val="415" w:hRule="exact"/>
        </w:trPr>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成都批发市场土地使用权</w:t>
            </w:r>
          </w:p>
        </w:tc>
        <w:tc>
          <w:tcPr>
            <w:tcW w:w="296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142,174,535.03</w:t>
            </w:r>
          </w:p>
        </w:tc>
        <w:tc>
          <w:tcPr>
            <w:tcW w:w="2947"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136,055,897.75</w:t>
            </w:r>
          </w:p>
        </w:tc>
      </w:tr>
      <w:tr>
        <w:trPr>
          <w:trHeight w:val="415" w:hRule="exact"/>
        </w:trPr>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南山批发市场土地使用权</w:t>
            </w:r>
          </w:p>
        </w:tc>
        <w:tc>
          <w:tcPr>
            <w:tcW w:w="296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35,343,619.48</w:t>
            </w:r>
          </w:p>
        </w:tc>
        <w:tc>
          <w:tcPr>
            <w:tcW w:w="2947"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33,167,587.16</w:t>
            </w:r>
          </w:p>
        </w:tc>
      </w:tr>
      <w:tr>
        <w:trPr>
          <w:trHeight w:val="415" w:hRule="exact"/>
        </w:trPr>
        <w:tc>
          <w:tcPr>
            <w:tcW w:w="2940"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8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69"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456,443,058.24</w:t>
            </w:r>
            <w:r>
              <w:rPr>
                <w:rFonts w:ascii="Times New Roman"/>
                <w:spacing w:val="-1"/>
                <w:sz w:val="18"/>
              </w:rPr>
            </w:r>
          </w:p>
        </w:tc>
        <w:tc>
          <w:tcPr>
            <w:tcW w:w="2947"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424,566,314.66</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日，无使用寿命不确定的无形资产。</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n)</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商誉</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819"/>
        <w:gridCol w:w="1382"/>
        <w:gridCol w:w="1380"/>
        <w:gridCol w:w="1382"/>
        <w:gridCol w:w="1380"/>
        <w:gridCol w:w="1378"/>
      </w:tblGrid>
      <w:tr>
        <w:trPr>
          <w:trHeight w:val="610" w:hRule="exact"/>
        </w:trPr>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39"/>
              <w:ind w:left="276" w:right="180" w:hanging="89"/>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2008-12-31</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2009-12-31</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571" w:hRule="exact"/>
        </w:trPr>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05" w:right="108"/>
              <w:jc w:val="left"/>
              <w:rPr>
                <w:rFonts w:ascii="宋体" w:hAnsi="宋体" w:cs="宋体" w:eastAsia="宋体" w:hint="default"/>
                <w:sz w:val="18"/>
                <w:szCs w:val="18"/>
              </w:rPr>
            </w:pPr>
            <w:r>
              <w:rPr>
                <w:rFonts w:ascii="宋体" w:hAnsi="宋体" w:cs="宋体" w:eastAsia="宋体" w:hint="default"/>
                <w:spacing w:val="15"/>
                <w:sz w:val="18"/>
                <w:szCs w:val="18"/>
              </w:rPr>
              <w:t>广西大宗</w:t>
            </w:r>
            <w:r>
              <w:rPr>
                <w:rFonts w:ascii="宋体" w:hAnsi="宋体" w:cs="宋体" w:eastAsia="宋体" w:hint="default"/>
                <w:spacing w:val="-65"/>
                <w:sz w:val="18"/>
                <w:szCs w:val="18"/>
              </w:rPr>
              <w:t> </w:t>
            </w:r>
            <w:r>
              <w:rPr>
                <w:rFonts w:ascii="宋体" w:hAnsi="宋体" w:cs="宋体" w:eastAsia="宋体" w:hint="default"/>
                <w:spacing w:val="10"/>
                <w:sz w:val="18"/>
                <w:szCs w:val="18"/>
              </w:rPr>
              <w:t>茧丝</w:t>
            </w:r>
            <w:r>
              <w:rPr>
                <w:rFonts w:ascii="宋体" w:hAnsi="宋体" w:cs="宋体" w:eastAsia="宋体" w:hint="default"/>
                <w:spacing w:val="-65"/>
                <w:sz w:val="18"/>
                <w:szCs w:val="18"/>
              </w:rPr>
              <w:t> </w:t>
            </w:r>
            <w:r>
              <w:rPr>
                <w:rFonts w:ascii="宋体" w:hAnsi="宋体" w:cs="宋体" w:eastAsia="宋体" w:hint="default"/>
                <w:spacing w:val="10"/>
                <w:sz w:val="18"/>
                <w:szCs w:val="18"/>
              </w:rPr>
              <w:t>交易</w:t>
            </w:r>
            <w:r>
              <w:rPr>
                <w:rFonts w:ascii="宋体" w:hAnsi="宋体" w:cs="宋体" w:eastAsia="宋体" w:hint="default"/>
                <w:sz w:val="18"/>
                <w:szCs w:val="18"/>
              </w:rPr>
              <w:t> 市场有限责任公司</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2,583,822.40</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2,583,822.40</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05" w:right="108"/>
              <w:jc w:val="left"/>
              <w:rPr>
                <w:rFonts w:ascii="宋体" w:hAnsi="宋体" w:cs="宋体" w:eastAsia="宋体" w:hint="default"/>
                <w:sz w:val="18"/>
                <w:szCs w:val="18"/>
              </w:rPr>
            </w:pPr>
            <w:r>
              <w:rPr>
                <w:rFonts w:ascii="宋体" w:hAnsi="宋体" w:cs="宋体" w:eastAsia="宋体" w:hint="default"/>
                <w:spacing w:val="15"/>
                <w:sz w:val="18"/>
                <w:szCs w:val="18"/>
              </w:rPr>
              <w:t>南宁银通</w:t>
            </w:r>
            <w:r>
              <w:rPr>
                <w:rFonts w:ascii="宋体" w:hAnsi="宋体" w:cs="宋体" w:eastAsia="宋体" w:hint="default"/>
                <w:spacing w:val="-65"/>
                <w:sz w:val="18"/>
                <w:szCs w:val="18"/>
              </w:rPr>
              <w:t> </w:t>
            </w:r>
            <w:r>
              <w:rPr>
                <w:rFonts w:ascii="宋体" w:hAnsi="宋体" w:cs="宋体" w:eastAsia="宋体" w:hint="default"/>
                <w:spacing w:val="10"/>
                <w:sz w:val="18"/>
                <w:szCs w:val="18"/>
              </w:rPr>
              <w:t>典当</w:t>
            </w:r>
            <w:r>
              <w:rPr>
                <w:rFonts w:ascii="宋体" w:hAnsi="宋体" w:cs="宋体" w:eastAsia="宋体" w:hint="default"/>
                <w:spacing w:val="-65"/>
                <w:sz w:val="18"/>
                <w:szCs w:val="18"/>
              </w:rPr>
              <w:t> </w:t>
            </w:r>
            <w:r>
              <w:rPr>
                <w:rFonts w:ascii="宋体" w:hAnsi="宋体" w:cs="宋体" w:eastAsia="宋体" w:hint="default"/>
                <w:spacing w:val="10"/>
                <w:sz w:val="18"/>
                <w:szCs w:val="18"/>
              </w:rPr>
              <w:t>有限</w:t>
            </w:r>
            <w:r>
              <w:rPr>
                <w:rFonts w:ascii="宋体" w:hAnsi="宋体" w:cs="宋体" w:eastAsia="宋体" w:hint="default"/>
                <w:sz w:val="18"/>
                <w:szCs w:val="18"/>
              </w:rPr>
              <w:t> 公司</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920,439.95</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920,439.95</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15"/>
                <w:sz w:val="18"/>
                <w:szCs w:val="18"/>
              </w:rPr>
              <w:t>深圳市南</w:t>
            </w:r>
            <w:r>
              <w:rPr>
                <w:rFonts w:ascii="宋体" w:hAnsi="宋体" w:cs="宋体" w:eastAsia="宋体" w:hint="default"/>
                <w:spacing w:val="-65"/>
                <w:sz w:val="18"/>
                <w:szCs w:val="18"/>
              </w:rPr>
              <w:t> </w:t>
            </w:r>
            <w:r>
              <w:rPr>
                <w:rFonts w:ascii="宋体" w:hAnsi="宋体" w:cs="宋体" w:eastAsia="宋体" w:hint="default"/>
                <w:spacing w:val="10"/>
                <w:sz w:val="18"/>
                <w:szCs w:val="18"/>
              </w:rPr>
              <w:t>山农</w:t>
            </w:r>
            <w:r>
              <w:rPr>
                <w:rFonts w:ascii="宋体" w:hAnsi="宋体" w:cs="宋体" w:eastAsia="宋体" w:hint="default"/>
                <w:spacing w:val="-65"/>
                <w:sz w:val="18"/>
                <w:szCs w:val="18"/>
              </w:rPr>
              <w:t> </w:t>
            </w:r>
            <w:r>
              <w:rPr>
                <w:rFonts w:ascii="宋体" w:hAnsi="宋体" w:cs="宋体" w:eastAsia="宋体" w:hint="default"/>
                <w:spacing w:val="10"/>
                <w:sz w:val="18"/>
                <w:szCs w:val="18"/>
              </w:rPr>
              <w:t>产品</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4,938,560.00</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4,938,560.00</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480" w:right="1340"/>
        </w:sectPr>
      </w:pPr>
    </w:p>
    <w:p>
      <w:pPr>
        <w:spacing w:line="240" w:lineRule="auto" w:before="13"/>
        <w:rPr>
          <w:rFonts w:ascii="宋体" w:hAnsi="宋体" w:cs="宋体" w:eastAsia="宋体" w:hint="default"/>
          <w:sz w:val="15"/>
          <w:szCs w:val="15"/>
        </w:rPr>
      </w:pPr>
    </w:p>
    <w:tbl>
      <w:tblPr>
        <w:tblW w:w="0" w:type="auto"/>
        <w:jc w:val="left"/>
        <w:tblInd w:w="206" w:type="dxa"/>
        <w:tblLayout w:type="fixed"/>
        <w:tblCellMar>
          <w:top w:w="0" w:type="dxa"/>
          <w:left w:w="0" w:type="dxa"/>
          <w:bottom w:w="0" w:type="dxa"/>
          <w:right w:w="0" w:type="dxa"/>
        </w:tblCellMar>
        <w:tblLook w:val="01E0"/>
      </w:tblPr>
      <w:tblGrid>
        <w:gridCol w:w="1819"/>
        <w:gridCol w:w="1382"/>
        <w:gridCol w:w="1380"/>
        <w:gridCol w:w="1382"/>
        <w:gridCol w:w="1380"/>
        <w:gridCol w:w="1378"/>
      </w:tblGrid>
      <w:tr>
        <w:trPr>
          <w:trHeight w:val="384" w:hRule="exact"/>
        </w:trPr>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批发配送有限公司</w:t>
            </w:r>
          </w:p>
        </w:tc>
        <w:tc>
          <w:tcPr>
            <w:tcW w:w="138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378" w:type="dxa"/>
            <w:tcBorders>
              <w:top w:val="single" w:sz="4" w:space="0" w:color="000008"/>
              <w:left w:val="single" w:sz="4" w:space="0" w:color="000008"/>
              <w:bottom w:val="single" w:sz="4" w:space="0" w:color="000008"/>
              <w:right w:val="single" w:sz="4" w:space="0" w:color="000008"/>
            </w:tcBorders>
          </w:tcPr>
          <w:p>
            <w:pPr/>
          </w:p>
        </w:tc>
      </w:tr>
      <w:tr>
        <w:trPr>
          <w:trHeight w:val="410" w:hRule="exact"/>
        </w:trPr>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b/>
                <w:sz w:val="18"/>
              </w:rPr>
              <w:t>8,442,822.35</w:t>
            </w:r>
            <w:r>
              <w:rPr>
                <w:rFonts w:ascii="Times New Roman"/>
                <w:sz w:val="18"/>
              </w:rPr>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b/>
                <w:sz w:val="18"/>
              </w:rPr>
              <w:t>8,442,822.35</w:t>
            </w:r>
            <w:r>
              <w:rPr>
                <w:rFonts w:ascii="Times New Roman"/>
                <w:sz w:val="18"/>
              </w:rPr>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8"/>
        <w:rPr>
          <w:rFonts w:ascii="宋体" w:hAnsi="宋体" w:cs="宋体" w:eastAsia="宋体" w:hint="default"/>
          <w:sz w:val="16"/>
          <w:szCs w:val="16"/>
        </w:rPr>
      </w:pPr>
    </w:p>
    <w:p>
      <w:pPr>
        <w:spacing w:line="343" w:lineRule="auto" w:before="36"/>
        <w:ind w:left="321" w:right="33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日，本公司对商誉进行减值测试并将其账面价值分摊至预期从企业合并</w:t>
      </w:r>
      <w:r>
        <w:rPr>
          <w:rFonts w:ascii="宋体" w:hAnsi="宋体" w:cs="宋体" w:eastAsia="宋体" w:hint="default"/>
          <w:w w:val="100"/>
          <w:sz w:val="21"/>
          <w:szCs w:val="21"/>
        </w:rPr>
        <w:t> </w:t>
      </w:r>
      <w:r>
        <w:rPr>
          <w:rFonts w:ascii="宋体" w:hAnsi="宋体" w:cs="宋体" w:eastAsia="宋体" w:hint="default"/>
          <w:spacing w:val="-5"/>
          <w:sz w:val="21"/>
          <w:szCs w:val="21"/>
        </w:rPr>
        <w:t>的协同效益中受益的资产组，预计资产组未来的现金流量。利用市场借款利率作适当调整后的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sz w:val="21"/>
          <w:szCs w:val="21"/>
        </w:rPr>
        <w:t>折现率，对资产组未来现金流量在合理预计期限内加以折现。测试结果表明包含商誉的资产组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的可收回金额高于其账面净值，故未对其计提减值准备。</w:t>
      </w:r>
    </w:p>
    <w:p>
      <w:pPr>
        <w:spacing w:line="240" w:lineRule="auto" w:before="6"/>
        <w:rPr>
          <w:rFonts w:ascii="宋体" w:hAnsi="宋体" w:cs="宋体" w:eastAsia="宋体" w:hint="default"/>
          <w:sz w:val="16"/>
          <w:szCs w:val="16"/>
        </w:rPr>
      </w:pPr>
    </w:p>
    <w:p>
      <w:pPr>
        <w:spacing w:before="0"/>
        <w:ind w:left="7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o)</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长期待摊费用</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951"/>
        <w:gridCol w:w="1339"/>
        <w:gridCol w:w="1411"/>
        <w:gridCol w:w="1409"/>
        <w:gridCol w:w="1409"/>
        <w:gridCol w:w="1411"/>
      </w:tblGrid>
      <w:tr>
        <w:trPr>
          <w:trHeight w:val="410"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2008-12-31</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5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2009-12-31</w:t>
            </w:r>
          </w:p>
        </w:tc>
      </w:tr>
      <w:tr>
        <w:trPr>
          <w:trHeight w:val="410"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道路配套设施</w:t>
            </w:r>
            <w:r>
              <w:rPr>
                <w:rFonts w:ascii="Times New Roman" w:hAnsi="Times New Roman" w:cs="Times New Roman" w:eastAsia="Times New Roman" w:hint="default"/>
                <w:sz w:val="18"/>
                <w:szCs w:val="18"/>
              </w:rPr>
              <w:t>*1</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9,801,688.26</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81,005.70</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9,720,682.56</w:t>
            </w:r>
          </w:p>
        </w:tc>
      </w:tr>
      <w:tr>
        <w:trPr>
          <w:trHeight w:val="410"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丰华配送区承包费用</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4,000,000.00</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3,000,000.00</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10"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固定资产改良支出</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*2</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1,933,356.98</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8,868,731.11</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3,260,330.12</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7,541,757.97</w:t>
            </w:r>
          </w:p>
        </w:tc>
      </w:tr>
      <w:tr>
        <w:trPr>
          <w:trHeight w:val="408"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交易楼租金</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4,343,200.00</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292,800.00</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4,050,400.00</w:t>
            </w:r>
          </w:p>
        </w:tc>
      </w:tr>
      <w:tr>
        <w:trPr>
          <w:trHeight w:val="410"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摊位租赁费</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66,066.67</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47,840.00</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46,706.67</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67,200.00</w:t>
            </w:r>
          </w:p>
        </w:tc>
      </w:tr>
      <w:tr>
        <w:trPr>
          <w:trHeight w:val="410"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土地租用费</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3,322,557.70</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509,878.56</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2,812,679.14</w:t>
            </w:r>
          </w:p>
        </w:tc>
      </w:tr>
      <w:tr>
        <w:trPr>
          <w:trHeight w:val="410"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2,153,911.89</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442,958.09</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190,790.34</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2,406,079.64</w:t>
            </w:r>
          </w:p>
        </w:tc>
      </w:tr>
      <w:tr>
        <w:trPr>
          <w:trHeight w:val="410" w:hRule="exact"/>
        </w:trPr>
        <w:tc>
          <w:tcPr>
            <w:tcW w:w="19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15,819,093.24</w:t>
            </w:r>
            <w:r>
              <w:rPr>
                <w:rFonts w:ascii="Times New Roman"/>
                <w:spacing w:val="-1"/>
                <w:sz w:val="18"/>
              </w:rPr>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19,161,217.46</w:t>
            </w:r>
            <w:r>
              <w:rPr>
                <w:rFonts w:ascii="Times New Roman"/>
                <w:spacing w:val="-1"/>
                <w:sz w:val="18"/>
              </w:rPr>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7,381,511.39</w:t>
            </w:r>
            <w:r>
              <w:rPr>
                <w:rFonts w:ascii="Times New Roman"/>
                <w:spacing w:val="-1"/>
                <w:sz w:val="18"/>
              </w:rPr>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27,598,799.31</w:t>
            </w:r>
            <w:r>
              <w:rPr>
                <w:rFonts w:ascii="Times New Roman"/>
                <w:spacing w:val="-1"/>
                <w:sz w:val="18"/>
              </w:rPr>
            </w:r>
          </w:p>
        </w:tc>
      </w:tr>
    </w:tbl>
    <w:p>
      <w:pPr>
        <w:spacing w:line="240" w:lineRule="auto" w:before="9"/>
        <w:rPr>
          <w:rFonts w:ascii="宋体" w:hAnsi="宋体" w:cs="宋体" w:eastAsia="宋体" w:hint="default"/>
          <w:sz w:val="20"/>
          <w:szCs w:val="20"/>
        </w:rPr>
      </w:pPr>
    </w:p>
    <w:p>
      <w:pPr>
        <w:spacing w:line="345" w:lineRule="auto" w:before="0"/>
        <w:ind w:left="321"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道路配套设施本期增加系子公司深圳市西岸渔人码头商业有限公司对周边市政道路及</w:t>
      </w:r>
      <w:r>
        <w:rPr>
          <w:rFonts w:ascii="宋体" w:hAnsi="宋体" w:cs="宋体" w:eastAsia="宋体" w:hint="default"/>
          <w:w w:val="100"/>
          <w:sz w:val="21"/>
          <w:szCs w:val="21"/>
        </w:rPr>
        <w:t> </w:t>
      </w:r>
      <w:r>
        <w:rPr>
          <w:rFonts w:ascii="宋体" w:hAnsi="宋体" w:cs="宋体" w:eastAsia="宋体" w:hint="default"/>
          <w:sz w:val="21"/>
          <w:szCs w:val="21"/>
        </w:rPr>
        <w:t>厂区道路的改造支出，原在固定资产核算，本期重分类至长期待摊费用。</w:t>
      </w:r>
    </w:p>
    <w:p>
      <w:pPr>
        <w:spacing w:line="240" w:lineRule="auto" w:before="8"/>
        <w:rPr>
          <w:rFonts w:ascii="宋体" w:hAnsi="宋体" w:cs="宋体" w:eastAsia="宋体" w:hint="default"/>
          <w:sz w:val="17"/>
          <w:szCs w:val="17"/>
        </w:rPr>
      </w:pPr>
    </w:p>
    <w:p>
      <w:pPr>
        <w:spacing w:line="345" w:lineRule="auto" w:before="0"/>
        <w:ind w:left="321"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固定资产改良支出本期增加主要系子公司南昌深圳农产品中心批发市场有限公司本期</w:t>
      </w:r>
      <w:r>
        <w:rPr>
          <w:rFonts w:ascii="宋体" w:hAnsi="宋体" w:cs="宋体" w:eastAsia="宋体" w:hint="default"/>
          <w:w w:val="100"/>
          <w:sz w:val="21"/>
          <w:szCs w:val="21"/>
        </w:rPr>
        <w:t> </w:t>
      </w:r>
      <w:r>
        <w:rPr>
          <w:rFonts w:ascii="宋体" w:hAnsi="宋体" w:cs="宋体" w:eastAsia="宋体" w:hint="default"/>
          <w:sz w:val="21"/>
          <w:szCs w:val="21"/>
        </w:rPr>
        <w:t>新设南昌市深农汽配市场的改造工程支出。</w:t>
      </w:r>
    </w:p>
    <w:p>
      <w:pPr>
        <w:spacing w:line="240" w:lineRule="auto" w:before="10"/>
        <w:rPr>
          <w:rFonts w:ascii="宋体" w:hAnsi="宋体" w:cs="宋体" w:eastAsia="宋体" w:hint="default"/>
          <w:sz w:val="17"/>
          <w:szCs w:val="17"/>
        </w:rPr>
      </w:pPr>
    </w:p>
    <w:p>
      <w:pPr>
        <w:spacing w:before="0"/>
        <w:ind w:left="7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p)</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递延所得税资产和递延所得税负债</w:t>
      </w:r>
    </w:p>
    <w:p>
      <w:pPr>
        <w:spacing w:line="240" w:lineRule="auto" w:before="8"/>
        <w:rPr>
          <w:rFonts w:ascii="宋体" w:hAnsi="宋体" w:cs="宋体" w:eastAsia="宋体" w:hint="default"/>
          <w:sz w:val="23"/>
          <w:szCs w:val="23"/>
        </w:rPr>
      </w:pPr>
    </w:p>
    <w:p>
      <w:pPr>
        <w:spacing w:before="0"/>
        <w:ind w:left="741" w:right="0" w:firstLine="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递延所得税资产和递延所得税负债不以抵销后的净额列示</w:t>
      </w:r>
    </w:p>
    <w:p>
      <w:pPr>
        <w:spacing w:line="240" w:lineRule="auto" w:before="9"/>
        <w:rPr>
          <w:rFonts w:ascii="宋体" w:hAnsi="宋体" w:cs="宋体" w:eastAsia="宋体" w:hint="default"/>
          <w:sz w:val="24"/>
          <w:szCs w:val="24"/>
        </w:rPr>
      </w:pPr>
    </w:p>
    <w:p>
      <w:pPr>
        <w:spacing w:before="0"/>
        <w:ind w:left="7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10"/>
        <w:rPr>
          <w:rFonts w:ascii="宋体" w:hAnsi="宋体" w:cs="宋体" w:eastAsia="宋体" w:hint="default"/>
          <w:sz w:val="6"/>
          <w:szCs w:val="6"/>
        </w:rPr>
      </w:pPr>
    </w:p>
    <w:tbl>
      <w:tblPr>
        <w:tblW w:w="0" w:type="auto"/>
        <w:jc w:val="left"/>
        <w:tblInd w:w="206" w:type="dxa"/>
        <w:tblLayout w:type="fixed"/>
        <w:tblCellMar>
          <w:top w:w="0" w:type="dxa"/>
          <w:left w:w="0" w:type="dxa"/>
          <w:bottom w:w="0" w:type="dxa"/>
          <w:right w:w="0" w:type="dxa"/>
        </w:tblCellMar>
        <w:tblLook w:val="01E0"/>
      </w:tblPr>
      <w:tblGrid>
        <w:gridCol w:w="4430"/>
        <w:gridCol w:w="2158"/>
        <w:gridCol w:w="2134"/>
      </w:tblGrid>
      <w:tr>
        <w:trPr>
          <w:trHeight w:val="408" w:hRule="exact"/>
        </w:trPr>
        <w:tc>
          <w:tcPr>
            <w:tcW w:w="4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028"/>
              <w:jc w:val="right"/>
              <w:rPr>
                <w:rFonts w:ascii="宋体" w:hAnsi="宋体" w:cs="宋体" w:eastAsia="宋体" w:hint="default"/>
                <w:sz w:val="18"/>
                <w:szCs w:val="18"/>
              </w:rPr>
            </w:pPr>
            <w:r>
              <w:rPr>
                <w:rFonts w:ascii="宋体" w:hAnsi="宋体" w:cs="宋体" w:eastAsia="宋体" w:hint="default"/>
                <w:sz w:val="18"/>
                <w:szCs w:val="18"/>
              </w:rPr>
              <w:t>项目</w:t>
            </w:r>
          </w:p>
        </w:tc>
        <w:tc>
          <w:tcPr>
            <w:tcW w:w="21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2009-12-31</w:t>
            </w:r>
          </w:p>
        </w:tc>
        <w:tc>
          <w:tcPr>
            <w:tcW w:w="21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2008-12-31</w:t>
            </w:r>
          </w:p>
        </w:tc>
      </w:tr>
      <w:tr>
        <w:trPr>
          <w:trHeight w:val="410" w:hRule="exact"/>
        </w:trPr>
        <w:tc>
          <w:tcPr>
            <w:tcW w:w="4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递延所得税资产：</w:t>
            </w:r>
            <w:r>
              <w:rPr>
                <w:rFonts w:ascii="Microsoft JhengHei" w:hAnsi="Microsoft JhengHei" w:cs="Microsoft JhengHei" w:eastAsia="Microsoft JhengHei" w:hint="default"/>
                <w:sz w:val="18"/>
                <w:szCs w:val="18"/>
              </w:rPr>
            </w:r>
          </w:p>
        </w:tc>
        <w:tc>
          <w:tcPr>
            <w:tcW w:w="2158" w:type="dxa"/>
            <w:tcBorders>
              <w:top w:val="single" w:sz="4" w:space="0" w:color="000008"/>
              <w:left w:val="single" w:sz="4" w:space="0" w:color="000008"/>
              <w:bottom w:val="single" w:sz="4" w:space="0" w:color="000008"/>
              <w:right w:val="single" w:sz="4" w:space="0" w:color="000008"/>
            </w:tcBorders>
          </w:tcPr>
          <w:p>
            <w:pPr/>
          </w:p>
        </w:tc>
        <w:tc>
          <w:tcPr>
            <w:tcW w:w="2134" w:type="dxa"/>
            <w:tcBorders>
              <w:top w:val="single" w:sz="4" w:space="0" w:color="000008"/>
              <w:left w:val="single" w:sz="4" w:space="0" w:color="000008"/>
              <w:bottom w:val="single" w:sz="4" w:space="0" w:color="000008"/>
              <w:right w:val="single" w:sz="4" w:space="0" w:color="000008"/>
            </w:tcBorders>
          </w:tcPr>
          <w:p>
            <w:pPr/>
          </w:p>
        </w:tc>
      </w:tr>
      <w:tr>
        <w:trPr>
          <w:trHeight w:val="410" w:hRule="exact"/>
        </w:trPr>
        <w:tc>
          <w:tcPr>
            <w:tcW w:w="4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8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1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49,209,298.23</w:t>
            </w:r>
          </w:p>
        </w:tc>
        <w:tc>
          <w:tcPr>
            <w:tcW w:w="21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45,812,986.22</w:t>
            </w:r>
          </w:p>
        </w:tc>
      </w:tr>
      <w:tr>
        <w:trPr>
          <w:trHeight w:val="410" w:hRule="exact"/>
        </w:trPr>
        <w:tc>
          <w:tcPr>
            <w:tcW w:w="4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8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1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2,454,382.99</w:t>
            </w:r>
          </w:p>
        </w:tc>
        <w:tc>
          <w:tcPr>
            <w:tcW w:w="21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2,454,382.99</w:t>
            </w:r>
          </w:p>
        </w:tc>
      </w:tr>
      <w:tr>
        <w:trPr>
          <w:trHeight w:val="410" w:hRule="exact"/>
        </w:trPr>
        <w:tc>
          <w:tcPr>
            <w:tcW w:w="4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202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21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51,663,681.22</w:t>
            </w:r>
            <w:r>
              <w:rPr>
                <w:rFonts w:ascii="Times New Roman"/>
                <w:spacing w:val="-1"/>
                <w:sz w:val="18"/>
              </w:rPr>
            </w:r>
          </w:p>
        </w:tc>
        <w:tc>
          <w:tcPr>
            <w:tcW w:w="21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48,267,369.21</w:t>
            </w:r>
            <w:r>
              <w:rPr>
                <w:rFonts w:ascii="Times New Roman"/>
                <w:spacing w:val="-1"/>
                <w:sz w:val="18"/>
              </w:rPr>
            </w:r>
          </w:p>
        </w:tc>
      </w:tr>
      <w:tr>
        <w:trPr>
          <w:trHeight w:val="410" w:hRule="exact"/>
        </w:trPr>
        <w:tc>
          <w:tcPr>
            <w:tcW w:w="4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递延所得税负债：</w:t>
            </w:r>
            <w:r>
              <w:rPr>
                <w:rFonts w:ascii="Microsoft JhengHei" w:hAnsi="Microsoft JhengHei" w:cs="Microsoft JhengHei" w:eastAsia="Microsoft JhengHei" w:hint="default"/>
                <w:sz w:val="18"/>
                <w:szCs w:val="18"/>
              </w:rPr>
            </w:r>
          </w:p>
        </w:tc>
        <w:tc>
          <w:tcPr>
            <w:tcW w:w="2158" w:type="dxa"/>
            <w:tcBorders>
              <w:top w:val="single" w:sz="4" w:space="0" w:color="000008"/>
              <w:left w:val="single" w:sz="4" w:space="0" w:color="000008"/>
              <w:bottom w:val="single" w:sz="4" w:space="0" w:color="000008"/>
              <w:right w:val="single" w:sz="4" w:space="0" w:color="000008"/>
            </w:tcBorders>
          </w:tcPr>
          <w:p>
            <w:pPr/>
          </w:p>
        </w:tc>
        <w:tc>
          <w:tcPr>
            <w:tcW w:w="2134"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0" w:footer="897" w:top="1640" w:bottom="1080" w:left="1380" w:right="1360"/>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430"/>
        <w:gridCol w:w="2158"/>
        <w:gridCol w:w="2134"/>
      </w:tblGrid>
      <w:tr>
        <w:trPr>
          <w:trHeight w:val="410" w:hRule="exact"/>
        </w:trPr>
        <w:tc>
          <w:tcPr>
            <w:tcW w:w="4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21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1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150,416.66</w:t>
            </w:r>
          </w:p>
        </w:tc>
      </w:tr>
      <w:tr>
        <w:trPr>
          <w:trHeight w:val="408" w:hRule="exact"/>
        </w:trPr>
        <w:tc>
          <w:tcPr>
            <w:tcW w:w="4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21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79,196.04</w:t>
            </w:r>
          </w:p>
        </w:tc>
        <w:tc>
          <w:tcPr>
            <w:tcW w:w="21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4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21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79,196.04</w:t>
            </w:r>
            <w:r>
              <w:rPr>
                <w:rFonts w:ascii="Times New Roman"/>
                <w:spacing w:val="-1"/>
                <w:sz w:val="18"/>
              </w:rPr>
            </w:r>
          </w:p>
        </w:tc>
        <w:tc>
          <w:tcPr>
            <w:tcW w:w="21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150,416.66</w:t>
            </w:r>
            <w:r>
              <w:rPr>
                <w:rFonts w:ascii="Times New Roman"/>
                <w:spacing w:val="-1"/>
                <w:sz w:val="18"/>
              </w:rPr>
            </w:r>
          </w:p>
        </w:tc>
      </w:tr>
    </w:tbl>
    <w:p>
      <w:pPr>
        <w:spacing w:line="240" w:lineRule="auto" w:before="11"/>
        <w:rPr>
          <w:rFonts w:ascii="宋体" w:hAnsi="宋体" w:cs="宋体" w:eastAsia="宋体" w:hint="default"/>
          <w:sz w:val="16"/>
          <w:szCs w:val="16"/>
        </w:rPr>
      </w:pPr>
    </w:p>
    <w:p>
      <w:pPr>
        <w:spacing w:before="36"/>
        <w:ind w:left="641" w:right="2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）未确认递延所得税资产明细</w:t>
      </w: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4450"/>
        <w:gridCol w:w="2143"/>
        <w:gridCol w:w="2112"/>
      </w:tblGrid>
      <w:tr>
        <w:trPr>
          <w:trHeight w:val="451" w:hRule="exact"/>
        </w:trPr>
        <w:tc>
          <w:tcPr>
            <w:tcW w:w="4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39"/>
              <w:jc w:val="right"/>
              <w:rPr>
                <w:rFonts w:ascii="宋体" w:hAnsi="宋体" w:cs="宋体" w:eastAsia="宋体" w:hint="default"/>
                <w:sz w:val="18"/>
                <w:szCs w:val="18"/>
              </w:rPr>
            </w:pPr>
            <w:r>
              <w:rPr>
                <w:rFonts w:ascii="宋体" w:hAnsi="宋体" w:cs="宋体" w:eastAsia="宋体" w:hint="default"/>
                <w:sz w:val="18"/>
                <w:szCs w:val="18"/>
              </w:rPr>
              <w:t>项目</w:t>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2009-12-31</w:t>
            </w:r>
          </w:p>
        </w:tc>
        <w:tc>
          <w:tcPr>
            <w:tcW w:w="21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2008-12-31</w:t>
            </w:r>
          </w:p>
        </w:tc>
      </w:tr>
      <w:tr>
        <w:trPr>
          <w:trHeight w:val="449" w:hRule="exact"/>
        </w:trPr>
        <w:tc>
          <w:tcPr>
            <w:tcW w:w="4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1,949,370.76</w:t>
            </w:r>
          </w:p>
        </w:tc>
        <w:tc>
          <w:tcPr>
            <w:tcW w:w="21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1,063,874.00</w:t>
            </w:r>
          </w:p>
        </w:tc>
      </w:tr>
      <w:tr>
        <w:trPr>
          <w:trHeight w:val="451" w:hRule="exact"/>
        </w:trPr>
        <w:tc>
          <w:tcPr>
            <w:tcW w:w="4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39,746,108.79</w:t>
            </w:r>
          </w:p>
        </w:tc>
        <w:tc>
          <w:tcPr>
            <w:tcW w:w="21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28,704,512.10</w:t>
            </w:r>
          </w:p>
        </w:tc>
      </w:tr>
      <w:tr>
        <w:trPr>
          <w:trHeight w:val="449" w:hRule="exact"/>
        </w:trPr>
        <w:tc>
          <w:tcPr>
            <w:tcW w:w="4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203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1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41,695,479.55</w:t>
            </w:r>
            <w:r>
              <w:rPr>
                <w:rFonts w:ascii="Times New Roman"/>
                <w:spacing w:val="-1"/>
                <w:sz w:val="18"/>
              </w:rPr>
            </w:r>
          </w:p>
        </w:tc>
        <w:tc>
          <w:tcPr>
            <w:tcW w:w="21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29,768,386.10</w:t>
            </w:r>
            <w:r>
              <w:rPr>
                <w:rFonts w:ascii="Times New Roman"/>
                <w:spacing w:val="-1"/>
                <w:sz w:val="18"/>
              </w:rPr>
            </w:r>
          </w:p>
        </w:tc>
      </w:tr>
    </w:tbl>
    <w:p>
      <w:pPr>
        <w:spacing w:line="240" w:lineRule="auto" w:before="8"/>
        <w:rPr>
          <w:rFonts w:ascii="宋体" w:hAnsi="宋体" w:cs="宋体" w:eastAsia="宋体" w:hint="default"/>
          <w:sz w:val="19"/>
          <w:szCs w:val="19"/>
        </w:rPr>
      </w:pPr>
    </w:p>
    <w:p>
      <w:pPr>
        <w:spacing w:line="350" w:lineRule="auto" w:before="0"/>
        <w:ind w:left="221" w:right="212" w:firstLine="420"/>
        <w:jc w:val="left"/>
        <w:rPr>
          <w:rFonts w:ascii="宋体" w:hAnsi="宋体" w:cs="宋体" w:eastAsia="宋体" w:hint="default"/>
          <w:sz w:val="21"/>
          <w:szCs w:val="21"/>
        </w:rPr>
      </w:pPr>
      <w:r>
        <w:rPr>
          <w:rFonts w:ascii="宋体" w:hAnsi="宋体" w:cs="宋体" w:eastAsia="宋体" w:hint="default"/>
          <w:spacing w:val="-5"/>
          <w:w w:val="100"/>
          <w:sz w:val="21"/>
          <w:szCs w:val="21"/>
        </w:rPr>
        <w:t>由于未来能否获得足够的应纳税所得额具有不确定性，因此该部分可抵扣暂时性差异和可</w:t>
      </w:r>
      <w:r>
        <w:rPr>
          <w:rFonts w:ascii="宋体" w:hAnsi="宋体" w:cs="宋体" w:eastAsia="宋体" w:hint="default"/>
          <w:w w:val="100"/>
          <w:sz w:val="21"/>
          <w:szCs w:val="21"/>
        </w:rPr>
        <w:t> </w:t>
      </w:r>
      <w:r>
        <w:rPr>
          <w:rFonts w:ascii="宋体" w:hAnsi="宋体" w:cs="宋体" w:eastAsia="宋体" w:hint="default"/>
          <w:sz w:val="21"/>
          <w:szCs w:val="21"/>
        </w:rPr>
        <w:t>抵扣亏损没有确认为递延所得税资产。</w:t>
      </w:r>
    </w:p>
    <w:p>
      <w:pPr>
        <w:spacing w:line="240" w:lineRule="auto" w:before="11"/>
        <w:rPr>
          <w:rFonts w:ascii="宋体" w:hAnsi="宋体" w:cs="宋体" w:eastAsia="宋体" w:hint="default"/>
          <w:sz w:val="15"/>
          <w:szCs w:val="15"/>
        </w:rPr>
      </w:pPr>
    </w:p>
    <w:p>
      <w:pPr>
        <w:spacing w:before="0"/>
        <w:ind w:left="641" w:right="2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）未确认递延所得税资产的可抵扣亏损将于以下年度到期</w:t>
      </w:r>
    </w:p>
    <w:p>
      <w:pPr>
        <w:spacing w:line="240" w:lineRule="auto" w:before="6"/>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791"/>
        <w:gridCol w:w="1985"/>
        <w:gridCol w:w="1963"/>
        <w:gridCol w:w="1925"/>
      </w:tblGrid>
      <w:tr>
        <w:trPr>
          <w:trHeight w:val="449" w:hRule="exact"/>
        </w:trPr>
        <w:tc>
          <w:tcPr>
            <w:tcW w:w="27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207"/>
              <w:jc w:val="right"/>
              <w:rPr>
                <w:rFonts w:ascii="宋体" w:hAnsi="宋体" w:cs="宋体" w:eastAsia="宋体" w:hint="default"/>
                <w:sz w:val="18"/>
                <w:szCs w:val="18"/>
              </w:rPr>
            </w:pPr>
            <w:r>
              <w:rPr>
                <w:rFonts w:ascii="宋体" w:hAnsi="宋体" w:cs="宋体" w:eastAsia="宋体" w:hint="default"/>
                <w:sz w:val="18"/>
                <w:szCs w:val="18"/>
              </w:rPr>
              <w:t>年份</w:t>
            </w:r>
          </w:p>
        </w:tc>
        <w:tc>
          <w:tcPr>
            <w:tcW w:w="19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2009-12-31</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2008-12-31</w:t>
            </w:r>
          </w:p>
        </w:tc>
        <w:tc>
          <w:tcPr>
            <w:tcW w:w="19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51" w:hRule="exact"/>
        </w:trPr>
        <w:tc>
          <w:tcPr>
            <w:tcW w:w="27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1,570,949.14</w:t>
            </w:r>
          </w:p>
        </w:tc>
        <w:tc>
          <w:tcPr>
            <w:tcW w:w="1925" w:type="dxa"/>
            <w:tcBorders>
              <w:top w:val="single" w:sz="4" w:space="0" w:color="000008"/>
              <w:left w:val="single" w:sz="4" w:space="0" w:color="000008"/>
              <w:bottom w:val="single" w:sz="4" w:space="0" w:color="000008"/>
              <w:right w:val="single" w:sz="4" w:space="0" w:color="000008"/>
            </w:tcBorders>
          </w:tcPr>
          <w:p>
            <w:pPr/>
          </w:p>
        </w:tc>
      </w:tr>
      <w:tr>
        <w:trPr>
          <w:trHeight w:val="449" w:hRule="exact"/>
        </w:trPr>
        <w:tc>
          <w:tcPr>
            <w:tcW w:w="27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14,736,885.70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14,736,885.70</w:t>
            </w:r>
          </w:p>
        </w:tc>
        <w:tc>
          <w:tcPr>
            <w:tcW w:w="1925" w:type="dxa"/>
            <w:tcBorders>
              <w:top w:val="single" w:sz="4" w:space="0" w:color="000008"/>
              <w:left w:val="single" w:sz="4" w:space="0" w:color="000008"/>
              <w:bottom w:val="single" w:sz="4" w:space="0" w:color="000008"/>
              <w:right w:val="single" w:sz="4" w:space="0" w:color="000008"/>
            </w:tcBorders>
          </w:tcPr>
          <w:p>
            <w:pPr/>
          </w:p>
        </w:tc>
      </w:tr>
      <w:tr>
        <w:trPr>
          <w:trHeight w:val="451" w:hRule="exact"/>
        </w:trPr>
        <w:tc>
          <w:tcPr>
            <w:tcW w:w="27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23,388,820.72</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31,482,471.61</w:t>
            </w:r>
          </w:p>
        </w:tc>
        <w:tc>
          <w:tcPr>
            <w:tcW w:w="1925" w:type="dxa"/>
            <w:tcBorders>
              <w:top w:val="single" w:sz="4" w:space="0" w:color="000008"/>
              <w:left w:val="single" w:sz="4" w:space="0" w:color="000008"/>
              <w:bottom w:val="single" w:sz="4" w:space="0" w:color="000008"/>
              <w:right w:val="single" w:sz="4" w:space="0" w:color="000008"/>
            </w:tcBorders>
          </w:tcPr>
          <w:p>
            <w:pPr/>
          </w:p>
        </w:tc>
      </w:tr>
      <w:tr>
        <w:trPr>
          <w:trHeight w:val="449" w:hRule="exact"/>
        </w:trPr>
        <w:tc>
          <w:tcPr>
            <w:tcW w:w="27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46,480,251.44</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46,705,634.66</w:t>
            </w:r>
          </w:p>
        </w:tc>
        <w:tc>
          <w:tcPr>
            <w:tcW w:w="1925" w:type="dxa"/>
            <w:tcBorders>
              <w:top w:val="single" w:sz="4" w:space="0" w:color="000008"/>
              <w:left w:val="single" w:sz="4" w:space="0" w:color="000008"/>
              <w:bottom w:val="single" w:sz="4" w:space="0" w:color="000008"/>
              <w:right w:val="single" w:sz="4" w:space="0" w:color="000008"/>
            </w:tcBorders>
          </w:tcPr>
          <w:p>
            <w:pPr/>
          </w:p>
        </w:tc>
      </w:tr>
      <w:tr>
        <w:trPr>
          <w:trHeight w:val="451" w:hRule="exact"/>
        </w:trPr>
        <w:tc>
          <w:tcPr>
            <w:tcW w:w="27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49,026,619.38</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49,026,619.38</w:t>
            </w:r>
          </w:p>
        </w:tc>
        <w:tc>
          <w:tcPr>
            <w:tcW w:w="1925" w:type="dxa"/>
            <w:tcBorders>
              <w:top w:val="single" w:sz="4" w:space="0" w:color="000008"/>
              <w:left w:val="single" w:sz="4" w:space="0" w:color="000008"/>
              <w:bottom w:val="single" w:sz="4" w:space="0" w:color="000008"/>
              <w:right w:val="single" w:sz="4" w:space="0" w:color="000008"/>
            </w:tcBorders>
          </w:tcPr>
          <w:p>
            <w:pPr/>
          </w:p>
        </w:tc>
      </w:tr>
      <w:tr>
        <w:trPr>
          <w:trHeight w:val="449" w:hRule="exact"/>
        </w:trPr>
        <w:tc>
          <w:tcPr>
            <w:tcW w:w="27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47,031,553.61</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25" w:type="dxa"/>
            <w:tcBorders>
              <w:top w:val="single" w:sz="4" w:space="0" w:color="000008"/>
              <w:left w:val="single" w:sz="4" w:space="0" w:color="000008"/>
              <w:bottom w:val="single" w:sz="4" w:space="0" w:color="000008"/>
              <w:right w:val="single" w:sz="4" w:space="0" w:color="000008"/>
            </w:tcBorders>
          </w:tcPr>
          <w:p>
            <w:pPr/>
          </w:p>
        </w:tc>
      </w:tr>
      <w:tr>
        <w:trPr>
          <w:trHeight w:val="451" w:hRule="exact"/>
        </w:trPr>
        <w:tc>
          <w:tcPr>
            <w:tcW w:w="27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21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180,664,130.85</w:t>
            </w:r>
            <w:r>
              <w:rPr>
                <w:rFonts w:ascii="Times New Roman"/>
                <w:spacing w:val="-1"/>
                <w:sz w:val="18"/>
              </w:rPr>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143,522,560.49</w:t>
            </w:r>
            <w:r>
              <w:rPr>
                <w:rFonts w:ascii="Times New Roman"/>
                <w:spacing w:val="-1"/>
                <w:sz w:val="18"/>
              </w:rPr>
            </w:r>
          </w:p>
        </w:tc>
        <w:tc>
          <w:tcPr>
            <w:tcW w:w="1925"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5"/>
        <w:rPr>
          <w:rFonts w:ascii="宋体" w:hAnsi="宋体" w:cs="宋体" w:eastAsia="宋体" w:hint="default"/>
          <w:sz w:val="19"/>
          <w:szCs w:val="19"/>
        </w:rPr>
      </w:pPr>
    </w:p>
    <w:p>
      <w:pPr>
        <w:spacing w:before="0"/>
        <w:ind w:left="641" w:right="2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）引起暂时性差异的资产或负债项目对应的暂时性差异</w:t>
      </w:r>
    </w:p>
    <w:p>
      <w:pPr>
        <w:spacing w:line="240" w:lineRule="auto" w:before="10"/>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3365"/>
        <w:gridCol w:w="5201"/>
      </w:tblGrid>
      <w:tr>
        <w:trPr>
          <w:trHeight w:val="449" w:hRule="exact"/>
        </w:trPr>
        <w:tc>
          <w:tcPr>
            <w:tcW w:w="33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2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51" w:hRule="exact"/>
        </w:trPr>
        <w:tc>
          <w:tcPr>
            <w:tcW w:w="33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52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13,774,042.93</w:t>
            </w:r>
          </w:p>
        </w:tc>
      </w:tr>
      <w:tr>
        <w:trPr>
          <w:trHeight w:val="449" w:hRule="exact"/>
        </w:trPr>
        <w:tc>
          <w:tcPr>
            <w:tcW w:w="33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52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223,444,672.76</w:t>
            </w:r>
          </w:p>
        </w:tc>
      </w:tr>
      <w:tr>
        <w:trPr>
          <w:trHeight w:val="451" w:hRule="exact"/>
        </w:trPr>
        <w:tc>
          <w:tcPr>
            <w:tcW w:w="33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52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1,044,689.52</w:t>
            </w:r>
          </w:p>
        </w:tc>
      </w:tr>
      <w:tr>
        <w:trPr>
          <w:trHeight w:val="449" w:hRule="exact"/>
        </w:trPr>
        <w:tc>
          <w:tcPr>
            <w:tcW w:w="33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52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-359,982.00</w:t>
            </w:r>
          </w:p>
        </w:tc>
      </w:tr>
      <w:tr>
        <w:trPr>
          <w:trHeight w:val="451" w:hRule="exact"/>
        </w:trPr>
        <w:tc>
          <w:tcPr>
            <w:tcW w:w="33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52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6,471,911.26</w:t>
            </w:r>
          </w:p>
        </w:tc>
      </w:tr>
      <w:tr>
        <w:trPr>
          <w:trHeight w:val="449" w:hRule="exact"/>
        </w:trPr>
        <w:tc>
          <w:tcPr>
            <w:tcW w:w="33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52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7,670,920.32</w:t>
            </w:r>
          </w:p>
        </w:tc>
      </w:tr>
      <w:tr>
        <w:trPr>
          <w:trHeight w:val="451" w:hRule="exact"/>
        </w:trPr>
        <w:tc>
          <w:tcPr>
            <w:tcW w:w="33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52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252,046,254.79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48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36"/>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q)</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其他非流动资产</w:t>
      </w:r>
    </w:p>
    <w:p>
      <w:pPr>
        <w:spacing w:line="240" w:lineRule="auto" w:before="7"/>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2854"/>
        <w:gridCol w:w="2856"/>
        <w:gridCol w:w="2856"/>
      </w:tblGrid>
      <w:tr>
        <w:trPr>
          <w:trHeight w:val="45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2009-12-31</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2008-12-31</w:t>
            </w:r>
          </w:p>
        </w:tc>
      </w:tr>
      <w:tr>
        <w:trPr>
          <w:trHeight w:val="44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无法分摊的长期股权投资差额</w:t>
            </w:r>
          </w:p>
        </w:tc>
        <w:tc>
          <w:tcPr>
            <w:tcW w:w="2856" w:type="dxa"/>
            <w:tcBorders>
              <w:top w:val="single" w:sz="4" w:space="0" w:color="000008"/>
              <w:left w:val="single" w:sz="4" w:space="0" w:color="000008"/>
              <w:bottom w:val="single" w:sz="4" w:space="0" w:color="000008"/>
              <w:right w:val="single" w:sz="4" w:space="0" w:color="000008"/>
            </w:tcBorders>
          </w:tcPr>
          <w:p>
            <w:pPr/>
          </w:p>
        </w:tc>
        <w:tc>
          <w:tcPr>
            <w:tcW w:w="2856" w:type="dxa"/>
            <w:tcBorders>
              <w:top w:val="single" w:sz="4" w:space="0" w:color="000008"/>
              <w:left w:val="single" w:sz="4" w:space="0" w:color="000008"/>
              <w:bottom w:val="single" w:sz="4" w:space="0" w:color="000008"/>
              <w:right w:val="single" w:sz="4" w:space="0" w:color="000008"/>
            </w:tcBorders>
          </w:tcPr>
          <w:p>
            <w:pPr/>
          </w:p>
        </w:tc>
      </w:tr>
      <w:tr>
        <w:trPr>
          <w:trHeight w:val="45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5,604,977.67</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6,760,782.52</w:t>
            </w:r>
          </w:p>
        </w:tc>
      </w:tr>
      <w:tr>
        <w:trPr>
          <w:trHeight w:val="44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1,155,804.85</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1,155,804.85</w:t>
            </w:r>
          </w:p>
        </w:tc>
      </w:tr>
      <w:tr>
        <w:trPr>
          <w:trHeight w:val="45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6" w:right="0"/>
              <w:jc w:val="left"/>
              <w:rPr>
                <w:rFonts w:ascii="宋体" w:hAnsi="宋体" w:cs="宋体" w:eastAsia="宋体" w:hint="default"/>
                <w:sz w:val="18"/>
                <w:szCs w:val="18"/>
              </w:rPr>
            </w:pPr>
            <w:r>
              <w:rPr>
                <w:rFonts w:ascii="宋体" w:hAnsi="宋体" w:cs="宋体" w:eastAsia="宋体" w:hint="default"/>
                <w:sz w:val="18"/>
                <w:szCs w:val="18"/>
              </w:rPr>
              <w:t>本期转出</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4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4,449,172.82</w:t>
            </w:r>
            <w:r>
              <w:rPr>
                <w:rFonts w:ascii="Times New Roman"/>
                <w:spacing w:val="-1"/>
                <w:sz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5,604,977.67</w:t>
            </w:r>
            <w:r>
              <w:rPr>
                <w:rFonts w:ascii="Times New Roman"/>
                <w:spacing w:val="-1"/>
                <w:sz w:val="18"/>
              </w:rPr>
            </w:r>
          </w:p>
        </w:tc>
      </w:tr>
    </w:tbl>
    <w:p>
      <w:pPr>
        <w:spacing w:line="240" w:lineRule="auto" w:before="8"/>
        <w:rPr>
          <w:rFonts w:ascii="宋体" w:hAnsi="宋体" w:cs="宋体" w:eastAsia="宋体" w:hint="default"/>
          <w:sz w:val="19"/>
          <w:szCs w:val="19"/>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r)</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资产减值准备</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630"/>
        <w:gridCol w:w="1342"/>
        <w:gridCol w:w="1250"/>
        <w:gridCol w:w="650"/>
        <w:gridCol w:w="1342"/>
        <w:gridCol w:w="1166"/>
        <w:gridCol w:w="1342"/>
      </w:tblGrid>
      <w:tr>
        <w:trPr>
          <w:trHeight w:val="451" w:hRule="exact"/>
        </w:trPr>
        <w:tc>
          <w:tcPr>
            <w:tcW w:w="163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2008-12-31</w:t>
            </w:r>
          </w:p>
        </w:tc>
        <w:tc>
          <w:tcPr>
            <w:tcW w:w="125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58"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4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2009-12-31</w:t>
            </w:r>
          </w:p>
        </w:tc>
      </w:tr>
      <w:tr>
        <w:trPr>
          <w:trHeight w:val="449" w:hRule="exact"/>
        </w:trPr>
        <w:tc>
          <w:tcPr>
            <w:tcW w:w="1630" w:type="dxa"/>
            <w:vMerge/>
            <w:tcBorders>
              <w:left w:val="single" w:sz="4" w:space="0" w:color="000008"/>
              <w:bottom w:val="single" w:sz="4" w:space="0" w:color="000008"/>
              <w:right w:val="single" w:sz="4" w:space="0" w:color="000008"/>
            </w:tcBorders>
          </w:tcPr>
          <w:p>
            <w:pPr/>
          </w:p>
        </w:tc>
        <w:tc>
          <w:tcPr>
            <w:tcW w:w="1342" w:type="dxa"/>
            <w:vMerge/>
            <w:tcBorders>
              <w:left w:val="single" w:sz="4" w:space="0" w:color="000008"/>
              <w:bottom w:val="single" w:sz="4" w:space="0" w:color="000008"/>
              <w:right w:val="single" w:sz="4" w:space="0" w:color="000008"/>
            </w:tcBorders>
          </w:tcPr>
          <w:p>
            <w:pPr/>
          </w:p>
        </w:tc>
        <w:tc>
          <w:tcPr>
            <w:tcW w:w="1250" w:type="dxa"/>
            <w:vMerge/>
            <w:tcBorders>
              <w:left w:val="single" w:sz="4" w:space="0" w:color="000008"/>
              <w:bottom w:val="single" w:sz="4" w:space="0" w:color="000008"/>
              <w:right w:val="single" w:sz="4" w:space="0" w:color="000008"/>
            </w:tcBorders>
          </w:tcPr>
          <w:p>
            <w:pP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转回</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其他减少</w:t>
            </w:r>
            <w:r>
              <w:rPr>
                <w:rFonts w:ascii="Times New Roman" w:hAnsi="Times New Roman" w:cs="Times New Roman" w:eastAsia="Times New Roman" w:hint="default"/>
                <w:sz w:val="18"/>
                <w:szCs w:val="18"/>
              </w:rPr>
              <w:t>*</w:t>
            </w:r>
          </w:p>
        </w:tc>
        <w:tc>
          <w:tcPr>
            <w:tcW w:w="1342" w:type="dxa"/>
            <w:vMerge/>
            <w:tcBorders>
              <w:left w:val="single" w:sz="4" w:space="0" w:color="000008"/>
              <w:bottom w:val="single" w:sz="4" w:space="0" w:color="000008"/>
              <w:right w:val="single" w:sz="4" w:space="0" w:color="000008"/>
            </w:tcBorders>
          </w:tcPr>
          <w:p>
            <w:pPr/>
          </w:p>
        </w:tc>
      </w:tr>
      <w:tr>
        <w:trPr>
          <w:trHeight w:val="451" w:hRule="exact"/>
        </w:trPr>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145,643,727.46</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97,658,727.51</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5,524,383.50</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559,355.78</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237,218,715.69</w:t>
            </w:r>
          </w:p>
        </w:tc>
      </w:tr>
      <w:tr>
        <w:trPr>
          <w:trHeight w:val="449" w:hRule="exact"/>
        </w:trPr>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二、存货跌价准备</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3,937,503.92</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1,044,689.52</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3,937,503.92</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1,044,689.52</w:t>
            </w:r>
          </w:p>
        </w:tc>
      </w:tr>
      <w:tr>
        <w:trPr>
          <w:trHeight w:val="890" w:hRule="exact"/>
        </w:trPr>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442" w:lineRule="exact" w:before="35"/>
              <w:ind w:left="105" w:right="101"/>
              <w:jc w:val="left"/>
              <w:rPr>
                <w:rFonts w:ascii="宋体" w:hAnsi="宋体" w:cs="宋体" w:eastAsia="宋体" w:hint="default"/>
                <w:sz w:val="18"/>
                <w:szCs w:val="18"/>
              </w:rPr>
            </w:pPr>
            <w:r>
              <w:rPr>
                <w:rFonts w:ascii="宋体" w:hAnsi="宋体" w:cs="宋体" w:eastAsia="宋体" w:hint="default"/>
                <w:spacing w:val="-4"/>
                <w:sz w:val="18"/>
                <w:szCs w:val="18"/>
              </w:rPr>
              <w:t>三、长期股权投资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减值准备</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106,971,911.26</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500,000.00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6,471,911.26</w:t>
            </w:r>
          </w:p>
        </w:tc>
      </w:tr>
      <w:tr>
        <w:trPr>
          <w:trHeight w:val="890" w:hRule="exact"/>
        </w:trPr>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39"/>
              <w:ind w:left="105" w:right="101"/>
              <w:jc w:val="left"/>
              <w:rPr>
                <w:rFonts w:ascii="宋体" w:hAnsi="宋体" w:cs="宋体" w:eastAsia="宋体" w:hint="default"/>
                <w:sz w:val="18"/>
                <w:szCs w:val="18"/>
              </w:rPr>
            </w:pPr>
            <w:r>
              <w:rPr>
                <w:rFonts w:ascii="宋体" w:hAnsi="宋体" w:cs="宋体" w:eastAsia="宋体" w:hint="default"/>
                <w:spacing w:val="-4"/>
                <w:sz w:val="18"/>
                <w:szCs w:val="18"/>
              </w:rPr>
              <w:t>四、固定资产减值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准备</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7,670,920.32</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7,670,920.32</w:t>
            </w:r>
          </w:p>
        </w:tc>
      </w:tr>
      <w:tr>
        <w:trPr>
          <w:trHeight w:val="449" w:hRule="exact"/>
        </w:trPr>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264,224,062.96</w:t>
            </w:r>
            <w:r>
              <w:rPr>
                <w:rFonts w:ascii="Times New Roman"/>
                <w:spacing w:val="-1"/>
                <w:sz w:val="18"/>
              </w:rPr>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98,703,417.03</w:t>
            </w:r>
            <w:r>
              <w:rPr>
                <w:rFonts w:ascii="Times New Roman"/>
                <w:spacing w:val="-1"/>
                <w:sz w:val="18"/>
              </w:rPr>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109,461,887.42</w:t>
            </w:r>
            <w:r>
              <w:rPr>
                <w:rFonts w:ascii="Times New Roman"/>
                <w:spacing w:val="-1"/>
                <w:sz w:val="18"/>
              </w:rPr>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b/>
                <w:sz w:val="18"/>
              </w:rPr>
              <w:t>1,059,355.78</w:t>
            </w:r>
            <w:r>
              <w:rPr>
                <w:rFonts w:ascii="Times New Roman"/>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252,406,236.79</w:t>
            </w:r>
            <w:r>
              <w:rPr>
                <w:rFonts w:ascii="Times New Roman"/>
                <w:spacing w:val="-1"/>
                <w:sz w:val="18"/>
              </w:rPr>
            </w:r>
          </w:p>
        </w:tc>
      </w:tr>
    </w:tbl>
    <w:p>
      <w:pPr>
        <w:spacing w:line="240" w:lineRule="auto" w:before="8"/>
        <w:rPr>
          <w:rFonts w:ascii="宋体" w:hAnsi="宋体" w:cs="宋体" w:eastAsia="宋体" w:hint="default"/>
          <w:sz w:val="19"/>
          <w:szCs w:val="19"/>
        </w:rPr>
      </w:pPr>
    </w:p>
    <w:p>
      <w:pPr>
        <w:spacing w:line="328" w:lineRule="auto" w:before="0"/>
        <w:ind w:left="221" w:right="212" w:firstLine="42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 </w:t>
      </w:r>
      <w:r>
        <w:rPr>
          <w:rFonts w:ascii="宋体" w:hAnsi="宋体" w:cs="宋体" w:eastAsia="宋体" w:hint="default"/>
          <w:w w:val="95"/>
          <w:sz w:val="21"/>
          <w:szCs w:val="21"/>
        </w:rPr>
        <w:t>其他减少系深圳市博丽雅设计装饰工程有限公司、山东寿光蔬菜批发市场有限公司退表</w:t>
      </w:r>
      <w:r>
        <w:rPr>
          <w:rFonts w:ascii="宋体" w:hAnsi="宋体" w:cs="宋体" w:eastAsia="宋体" w:hint="default"/>
          <w:w w:val="100"/>
          <w:sz w:val="21"/>
          <w:szCs w:val="21"/>
        </w:rPr>
        <w:t> </w:t>
      </w:r>
      <w:r>
        <w:rPr>
          <w:rFonts w:ascii="宋体" w:hAnsi="宋体" w:cs="宋体" w:eastAsia="宋体" w:hint="default"/>
          <w:sz w:val="21"/>
          <w:szCs w:val="21"/>
        </w:rPr>
        <w:t>减少所致。</w:t>
      </w:r>
    </w:p>
    <w:p>
      <w:pPr>
        <w:spacing w:line="240" w:lineRule="auto" w:before="6"/>
        <w:rPr>
          <w:rFonts w:ascii="宋体" w:hAnsi="宋体" w:cs="宋体" w:eastAsia="宋体" w:hint="default"/>
          <w:sz w:val="17"/>
          <w:szCs w:val="17"/>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s)</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短期借款</w:t>
      </w:r>
    </w:p>
    <w:p>
      <w:pPr>
        <w:spacing w:line="240" w:lineRule="auto" w:before="13"/>
        <w:rPr>
          <w:rFonts w:ascii="宋体" w:hAnsi="宋体" w:cs="宋体" w:eastAsia="宋体" w:hint="default"/>
          <w:sz w:val="21"/>
          <w:szCs w:val="21"/>
        </w:rPr>
      </w:pPr>
    </w:p>
    <w:p>
      <w:pPr>
        <w:tabs>
          <w:tab w:pos="1481" w:val="left" w:leader="none"/>
        </w:tabs>
        <w:spacing w:before="0"/>
        <w:ind w:left="641" w:right="21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短期借款的分类</w:t>
      </w:r>
    </w:p>
    <w:p>
      <w:pPr>
        <w:spacing w:line="240" w:lineRule="auto" w:before="10"/>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2868"/>
        <w:gridCol w:w="2849"/>
        <w:gridCol w:w="2849"/>
      </w:tblGrid>
      <w:tr>
        <w:trPr>
          <w:trHeight w:val="449" w:hRule="exact"/>
        </w:trPr>
        <w:tc>
          <w:tcPr>
            <w:tcW w:w="28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48"/>
              <w:jc w:val="right"/>
              <w:rPr>
                <w:rFonts w:ascii="宋体" w:hAnsi="宋体" w:cs="宋体" w:eastAsia="宋体" w:hint="default"/>
                <w:sz w:val="18"/>
                <w:szCs w:val="18"/>
              </w:rPr>
            </w:pPr>
            <w:r>
              <w:rPr>
                <w:rFonts w:ascii="宋体" w:hAnsi="宋体" w:cs="宋体" w:eastAsia="宋体" w:hint="default"/>
                <w:sz w:val="18"/>
                <w:szCs w:val="18"/>
              </w:rPr>
              <w:t>项目</w:t>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451" w:hRule="exact"/>
        </w:trPr>
        <w:tc>
          <w:tcPr>
            <w:tcW w:w="28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49" w:hRule="exact"/>
        </w:trPr>
        <w:tc>
          <w:tcPr>
            <w:tcW w:w="28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87,500,000.00</w:t>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51" w:hRule="exact"/>
        </w:trPr>
        <w:tc>
          <w:tcPr>
            <w:tcW w:w="28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92,000,000.00</w:t>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49" w:hRule="exact"/>
        </w:trPr>
        <w:tc>
          <w:tcPr>
            <w:tcW w:w="28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732,000,000.00</w:t>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915,000,000.00</w:t>
            </w:r>
          </w:p>
        </w:tc>
      </w:tr>
      <w:tr>
        <w:trPr>
          <w:trHeight w:val="451" w:hRule="exact"/>
        </w:trPr>
        <w:tc>
          <w:tcPr>
            <w:tcW w:w="28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24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2"/>
                <w:sz w:val="18"/>
              </w:rPr>
              <w:t>911,500,000.00</w:t>
            </w:r>
            <w:r>
              <w:rPr>
                <w:rFonts w:ascii="Times New Roman"/>
                <w:spacing w:val="-2"/>
                <w:sz w:val="18"/>
              </w:rPr>
            </w:r>
          </w:p>
        </w:tc>
        <w:tc>
          <w:tcPr>
            <w:tcW w:w="28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1,000,000,000.00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480" w:right="1480"/>
        </w:sectPr>
      </w:pPr>
    </w:p>
    <w:p>
      <w:pPr>
        <w:spacing w:line="240" w:lineRule="auto" w:before="11"/>
        <w:rPr>
          <w:rFonts w:ascii="宋体" w:hAnsi="宋体" w:cs="宋体" w:eastAsia="宋体" w:hint="default"/>
          <w:sz w:val="18"/>
          <w:szCs w:val="18"/>
        </w:rPr>
      </w:pPr>
    </w:p>
    <w:p>
      <w:pPr>
        <w:spacing w:line="491" w:lineRule="auto" w:before="36"/>
        <w:ind w:left="641" w:right="4695" w:firstLine="0"/>
        <w:jc w:val="left"/>
        <w:rPr>
          <w:rFonts w:ascii="宋体" w:hAnsi="宋体" w:cs="宋体" w:eastAsia="宋体" w:hint="default"/>
          <w:sz w:val="21"/>
          <w:szCs w:val="21"/>
        </w:rPr>
      </w:pPr>
      <w:r>
        <w:rPr/>
        <w:pict>
          <v:shape style="position:absolute;margin-left:79.320pt;margin-top:81.863647pt;width:436.8pt;height:45.5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9"/>
                    <w:gridCol w:w="2906"/>
                    <w:gridCol w:w="2906"/>
                  </w:tblGrid>
                  <w:tr>
                    <w:trPr>
                      <w:trHeight w:val="451"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2009-12-31</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2008-12-31</w:t>
                        </w:r>
                      </w:p>
                    </w:tc>
                  </w:tr>
                  <w:tr>
                    <w:trPr>
                      <w:trHeight w:val="44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59" w:right="0"/>
                          <w:jc w:val="left"/>
                          <w:rPr>
                            <w:rFonts w:ascii="Times New Roman" w:hAnsi="Times New Roman" w:cs="Times New Roman" w:eastAsia="Times New Roman" w:hint="default"/>
                            <w:sz w:val="18"/>
                            <w:szCs w:val="18"/>
                          </w:rPr>
                        </w:pPr>
                        <w:r>
                          <w:rPr>
                            <w:rFonts w:ascii="Times New Roman"/>
                            <w:sz w:val="18"/>
                          </w:rPr>
                          <w:t>49,795,412.31</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59" w:right="0"/>
                          <w:jc w:val="left"/>
                          <w:rPr>
                            <w:rFonts w:ascii="Times New Roman" w:hAnsi="Times New Roman" w:cs="Times New Roman" w:eastAsia="Times New Roman" w:hint="default"/>
                            <w:sz w:val="18"/>
                            <w:szCs w:val="18"/>
                          </w:rPr>
                        </w:pPr>
                        <w:r>
                          <w:rPr>
                            <w:rFonts w:ascii="Times New Roman"/>
                            <w:sz w:val="18"/>
                          </w:rPr>
                          <w:t>72,193,074.81</w:t>
                        </w:r>
                      </w:p>
                    </w:tc>
                  </w:tr>
                </w:tbl>
                <w:p>
                  <w:pPr/>
                </w:p>
              </w:txbxContent>
            </v:textbox>
            <w10:wrap type="none"/>
          </v:shape>
        </w:pict>
      </w:r>
      <w:r>
        <w:rPr>
          <w:rFonts w:ascii="宋体" w:hAnsi="宋体" w:cs="宋体" w:eastAsia="宋体" w:hint="default"/>
          <w:sz w:val="21"/>
          <w:szCs w:val="21"/>
        </w:rPr>
        <w:t>本报告期内不存在逾期借款情况。</w:t>
      </w:r>
      <w:r>
        <w:rPr>
          <w:rFonts w:ascii="宋体" w:hAnsi="宋体" w:cs="宋体" w:eastAsia="宋体" w:hint="default"/>
          <w:w w:val="100"/>
          <w:sz w:val="21"/>
          <w:szCs w:val="21"/>
        </w:rPr>
        <w:t> </w:t>
      </w:r>
      <w:r>
        <w:rPr>
          <w:rFonts w:ascii="宋体" w:hAnsi="宋体" w:cs="宋体" w:eastAsia="宋体" w:hint="default"/>
          <w:sz w:val="21"/>
          <w:szCs w:val="21"/>
        </w:rPr>
        <w:t>资产负债表日后已偿还金额为 </w:t>
      </w:r>
      <w:r>
        <w:rPr>
          <w:rFonts w:ascii="Times New Roman" w:hAnsi="Times New Roman" w:cs="Times New Roman" w:eastAsia="Times New Roman" w:hint="default"/>
          <w:sz w:val="21"/>
          <w:szCs w:val="21"/>
        </w:rPr>
        <w:t>22,900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t)</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应付账款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1368" w:val="left" w:leader="none"/>
        </w:tabs>
        <w:spacing w:line="280" w:lineRule="auto" w:before="161"/>
        <w:ind w:left="221" w:right="732"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5"/>
          <w:sz w:val="21"/>
          <w:szCs w:val="21"/>
        </w:rPr>
        <w:t>应付账款期末余额中无欠持有本公司</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含</w:t>
      </w:r>
      <w:r>
        <w:rPr>
          <w:rFonts w:ascii="宋体" w:hAnsi="宋体" w:cs="宋体" w:eastAsia="宋体" w:hint="default"/>
          <w:spacing w:val="-28"/>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以上表决权股份的股东单位款</w:t>
      </w:r>
      <w:r>
        <w:rPr>
          <w:rFonts w:ascii="宋体" w:hAnsi="宋体" w:cs="宋体" w:eastAsia="宋体" w:hint="default"/>
          <w:w w:val="100"/>
          <w:sz w:val="21"/>
          <w:szCs w:val="21"/>
        </w:rPr>
        <w:t> </w:t>
      </w:r>
      <w:r>
        <w:rPr>
          <w:rFonts w:ascii="宋体" w:hAnsi="宋体" w:cs="宋体" w:eastAsia="宋体" w:hint="default"/>
          <w:sz w:val="21"/>
          <w:szCs w:val="21"/>
        </w:rPr>
        <w:t>项。</w:t>
      </w:r>
    </w:p>
    <w:p>
      <w:pPr>
        <w:spacing w:line="240" w:lineRule="auto" w:before="12"/>
        <w:rPr>
          <w:rFonts w:ascii="宋体" w:hAnsi="宋体" w:cs="宋体" w:eastAsia="宋体" w:hint="default"/>
          <w:sz w:val="15"/>
          <w:szCs w:val="15"/>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）应付账款期末余额中无应付关联公司款项。</w:t>
      </w:r>
    </w:p>
    <w:p>
      <w:pPr>
        <w:spacing w:line="240" w:lineRule="auto" w:before="5"/>
        <w:rPr>
          <w:rFonts w:ascii="宋体" w:hAnsi="宋体" w:cs="宋体" w:eastAsia="宋体" w:hint="default"/>
          <w:sz w:val="17"/>
          <w:szCs w:val="17"/>
        </w:rPr>
      </w:pPr>
    </w:p>
    <w:p>
      <w:pPr>
        <w:spacing w:before="0"/>
        <w:ind w:left="641" w:right="46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u)</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预收款项</w:t>
      </w:r>
    </w:p>
    <w:p>
      <w:pPr>
        <w:spacing w:line="240" w:lineRule="auto" w:before="11"/>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909"/>
        <w:gridCol w:w="2873"/>
        <w:gridCol w:w="2940"/>
      </w:tblGrid>
      <w:tr>
        <w:trPr>
          <w:trHeight w:val="44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2009-12-31</w:t>
            </w:r>
          </w:p>
        </w:tc>
        <w:tc>
          <w:tcPr>
            <w:tcW w:w="29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451"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730" w:right="0"/>
              <w:jc w:val="left"/>
              <w:rPr>
                <w:rFonts w:ascii="Times New Roman" w:hAnsi="Times New Roman" w:cs="Times New Roman" w:eastAsia="Times New Roman" w:hint="default"/>
                <w:sz w:val="18"/>
                <w:szCs w:val="18"/>
              </w:rPr>
            </w:pPr>
            <w:r>
              <w:rPr>
                <w:rFonts w:ascii="Times New Roman"/>
                <w:sz w:val="18"/>
              </w:rPr>
              <w:t>71,118,024.75</w:t>
            </w:r>
          </w:p>
        </w:tc>
        <w:tc>
          <w:tcPr>
            <w:tcW w:w="29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792" w:right="0"/>
              <w:jc w:val="left"/>
              <w:rPr>
                <w:rFonts w:ascii="Times New Roman" w:hAnsi="Times New Roman" w:cs="Times New Roman" w:eastAsia="Times New Roman" w:hint="default"/>
                <w:sz w:val="18"/>
                <w:szCs w:val="18"/>
              </w:rPr>
            </w:pPr>
            <w:r>
              <w:rPr>
                <w:rFonts w:ascii="Times New Roman"/>
                <w:sz w:val="18"/>
              </w:rPr>
              <w:t>79,969,266.40</w:t>
            </w:r>
          </w:p>
        </w:tc>
      </w:tr>
    </w:tbl>
    <w:p>
      <w:pPr>
        <w:spacing w:line="240" w:lineRule="auto" w:before="10"/>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）预收账款期末余额中无欠持有本公司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1"/>
        <w:rPr>
          <w:rFonts w:ascii="宋体" w:hAnsi="宋体" w:cs="宋体" w:eastAsia="宋体" w:hint="default"/>
          <w:sz w:val="25"/>
          <w:szCs w:val="25"/>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）预收款项期末余额中无应付关联公司款项。</w:t>
      </w:r>
    </w:p>
    <w:p>
      <w:pPr>
        <w:spacing w:line="240" w:lineRule="auto" w:before="4"/>
        <w:rPr>
          <w:rFonts w:ascii="宋体" w:hAnsi="宋体" w:cs="宋体" w:eastAsia="宋体" w:hint="default"/>
          <w:sz w:val="25"/>
          <w:szCs w:val="25"/>
        </w:rPr>
      </w:pPr>
    </w:p>
    <w:p>
      <w:pPr>
        <w:spacing w:before="0"/>
        <w:ind w:left="641" w:right="46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v)</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应付职工薪酬</w:t>
      </w:r>
    </w:p>
    <w:p>
      <w:pPr>
        <w:spacing w:line="240" w:lineRule="auto" w:before="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554"/>
        <w:gridCol w:w="1296"/>
        <w:gridCol w:w="1342"/>
        <w:gridCol w:w="1342"/>
        <w:gridCol w:w="1250"/>
        <w:gridCol w:w="1433"/>
      </w:tblGrid>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223" w:right="0"/>
              <w:jc w:val="left"/>
              <w:rPr>
                <w:rFonts w:ascii="Times New Roman" w:hAnsi="Times New Roman" w:cs="Times New Roman" w:eastAsia="Times New Roman" w:hint="default"/>
                <w:sz w:val="18"/>
                <w:szCs w:val="18"/>
              </w:rPr>
            </w:pPr>
            <w:r>
              <w:rPr>
                <w:rFonts w:ascii="Times New Roman"/>
                <w:sz w:val="18"/>
              </w:rPr>
              <w:t>2008-12-31</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3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199" w:right="0"/>
              <w:jc w:val="left"/>
              <w:rPr>
                <w:rFonts w:ascii="Times New Roman" w:hAnsi="Times New Roman" w:cs="Times New Roman" w:eastAsia="Times New Roman" w:hint="default"/>
                <w:sz w:val="18"/>
                <w:szCs w:val="18"/>
              </w:rPr>
            </w:pPr>
            <w:r>
              <w:rPr>
                <w:rFonts w:ascii="Times New Roman"/>
                <w:sz w:val="18"/>
              </w:rPr>
              <w:t>2009-12-31</w:t>
            </w:r>
          </w:p>
        </w:tc>
        <w:tc>
          <w:tcPr>
            <w:tcW w:w="14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预计发放时间</w:t>
            </w: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4"/>
              <w:jc w:val="right"/>
              <w:rPr>
                <w:rFonts w:ascii="Times New Roman" w:hAnsi="Times New Roman" w:cs="Times New Roman" w:eastAsia="Times New Roman" w:hint="default"/>
                <w:sz w:val="18"/>
                <w:szCs w:val="18"/>
              </w:rPr>
            </w:pPr>
            <w:r>
              <w:rPr>
                <w:rFonts w:ascii="Times New Roman"/>
                <w:spacing w:val="-1"/>
                <w:sz w:val="18"/>
              </w:rPr>
              <w:t>21,469,228.96</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176,455,523.38</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163,251,927.07</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34,672,825.27</w:t>
            </w:r>
          </w:p>
        </w:tc>
        <w:tc>
          <w:tcPr>
            <w:tcW w:w="14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r>
      <w:tr>
        <w:trPr>
          <w:trHeight w:val="372"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299,386.65</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19,296,141.78</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19,595,528.43</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2,259,396.12</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35,158,657.76</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33,753,713.97</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3,664,339.91</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其中：医疗保险</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102,944.52</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3,675,757.01</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3,701,836.31</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76,865.22</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645" w:right="0"/>
              <w:jc w:val="left"/>
              <w:rPr>
                <w:rFonts w:ascii="宋体" w:hAnsi="宋体" w:cs="宋体" w:eastAsia="宋体" w:hint="default"/>
                <w:sz w:val="18"/>
                <w:szCs w:val="18"/>
              </w:rPr>
            </w:pPr>
            <w:r>
              <w:rPr>
                <w:rFonts w:ascii="宋体" w:hAnsi="宋体" w:cs="宋体" w:eastAsia="宋体" w:hint="default"/>
                <w:sz w:val="18"/>
                <w:szCs w:val="18"/>
              </w:rPr>
              <w:t>养老保险</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1,742,828.91</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29,046,173.19</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28,383,063.78</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2,405,938.32</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645" w:right="0"/>
              <w:jc w:val="left"/>
              <w:rPr>
                <w:rFonts w:ascii="宋体" w:hAnsi="宋体" w:cs="宋体" w:eastAsia="宋体" w:hint="default"/>
                <w:sz w:val="18"/>
                <w:szCs w:val="18"/>
              </w:rPr>
            </w:pPr>
            <w:r>
              <w:rPr>
                <w:rFonts w:ascii="宋体" w:hAnsi="宋体" w:cs="宋体" w:eastAsia="宋体" w:hint="default"/>
                <w:sz w:val="18"/>
                <w:szCs w:val="18"/>
              </w:rPr>
              <w:t>年金缴纳</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199,087.08</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1,237,329.90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552,990.62</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883,426.36</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645"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2"/>
                <w:sz w:val="18"/>
              </w:rPr>
              <w:t>117,151.20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798,255.71</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728,489.03</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186,917.88</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2"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645" w:right="0"/>
              <w:jc w:val="left"/>
              <w:rPr>
                <w:rFonts w:ascii="宋体" w:hAnsi="宋体" w:cs="宋体" w:eastAsia="宋体" w:hint="default"/>
                <w:sz w:val="18"/>
                <w:szCs w:val="18"/>
              </w:rPr>
            </w:pPr>
            <w:r>
              <w:rPr>
                <w:rFonts w:ascii="宋体" w:hAnsi="宋体" w:cs="宋体" w:eastAsia="宋体" w:hint="default"/>
                <w:sz w:val="18"/>
                <w:szCs w:val="18"/>
              </w:rPr>
              <w:t>工伤保险</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2"/>
                <w:sz w:val="18"/>
              </w:rPr>
              <w:t>90,787.11</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215,221.95</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195,251.09</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2"/>
                <w:sz w:val="18"/>
              </w:rPr>
              <w:t>110,757.97</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645" w:right="0"/>
              <w:jc w:val="left"/>
              <w:rPr>
                <w:rFonts w:ascii="宋体" w:hAnsi="宋体" w:cs="宋体" w:eastAsia="宋体" w:hint="default"/>
                <w:sz w:val="18"/>
                <w:szCs w:val="18"/>
              </w:rPr>
            </w:pPr>
            <w:r>
              <w:rPr>
                <w:rFonts w:ascii="宋体" w:hAnsi="宋体" w:cs="宋体" w:eastAsia="宋体" w:hint="default"/>
                <w:sz w:val="18"/>
                <w:szCs w:val="18"/>
              </w:rPr>
              <w:t>生育保险</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6,597.30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185,920.00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192,083.14</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434.16</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-16,868.00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5,977,326.77</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2,887,555.90</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3,072,902.87</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4,285,206.19</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5,099,961.86</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4,461,123.24</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4,924,044.81</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七、辞退福利</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4,506,008.16</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4,506,008.16</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8"/>
              <w:left w:val="single" w:sz="4" w:space="0" w:color="000008"/>
              <w:bottom w:val="single" w:sz="4" w:space="0" w:color="000008"/>
              <w:right w:val="single" w:sz="4" w:space="0" w:color="000008"/>
            </w:tcBorders>
          </w:tcPr>
          <w:p>
            <w:pPr/>
          </w:p>
        </w:tc>
      </w:tr>
      <w:tr>
        <w:trPr>
          <w:trHeight w:val="372"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2,083,244.53</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3,968,037.26</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2,611,953.79</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3,439,328.00</w:t>
            </w:r>
          </w:p>
        </w:tc>
        <w:tc>
          <w:tcPr>
            <w:tcW w:w="14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r>
      <w:tr>
        <w:trPr>
          <w:trHeight w:val="370" w:hRule="exact"/>
        </w:trPr>
        <w:tc>
          <w:tcPr>
            <w:tcW w:w="2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b/>
                <w:spacing w:val="-1"/>
                <w:sz w:val="18"/>
              </w:rPr>
              <w:t>30,379,594.45</w:t>
            </w:r>
            <w:r>
              <w:rPr>
                <w:rFonts w:ascii="Times New Roman"/>
                <w:spacing w:val="-1"/>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b/>
                <w:spacing w:val="-1"/>
                <w:sz w:val="18"/>
              </w:rPr>
              <w:t>250,461,656.97</w:t>
            </w:r>
            <w:r>
              <w:rPr>
                <w:rFonts w:ascii="Times New Roman"/>
                <w:spacing w:val="-1"/>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b/>
                <w:spacing w:val="-1"/>
                <w:sz w:val="18"/>
              </w:rPr>
              <w:t>231,067,810.56</w:t>
            </w:r>
            <w:r>
              <w:rPr>
                <w:rFonts w:ascii="Times New Roman"/>
                <w:spacing w:val="-1"/>
                <w:sz w:val="18"/>
              </w:rPr>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b/>
                <w:spacing w:val="-1"/>
                <w:sz w:val="18"/>
              </w:rPr>
              <w:t>49,773,440.86</w:t>
            </w:r>
            <w:r>
              <w:rPr>
                <w:rFonts w:ascii="Times New Roman"/>
                <w:spacing w:val="-1"/>
                <w:sz w:val="18"/>
              </w:rPr>
            </w:r>
          </w:p>
        </w:tc>
        <w:tc>
          <w:tcPr>
            <w:tcW w:w="1433"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0" w:footer="897" w:top="1640" w:bottom="1080" w:left="1480" w:right="980"/>
        </w:sectPr>
      </w:pPr>
    </w:p>
    <w:p>
      <w:pPr>
        <w:spacing w:line="240" w:lineRule="auto" w:before="5"/>
        <w:rPr>
          <w:rFonts w:ascii="宋体" w:hAnsi="宋体" w:cs="宋体" w:eastAsia="宋体" w:hint="default"/>
          <w:sz w:val="21"/>
          <w:szCs w:val="21"/>
        </w:rPr>
      </w:pPr>
    </w:p>
    <w:p>
      <w:pPr>
        <w:spacing w:before="36"/>
        <w:ind w:left="561" w:right="0" w:firstLine="0"/>
        <w:jc w:val="left"/>
        <w:rPr>
          <w:rFonts w:ascii="宋体" w:hAnsi="宋体" w:cs="宋体" w:eastAsia="宋体" w:hint="default"/>
          <w:sz w:val="21"/>
          <w:szCs w:val="21"/>
        </w:rPr>
      </w:pPr>
      <w:r>
        <w:rPr>
          <w:rFonts w:ascii="宋体" w:hAnsi="宋体" w:cs="宋体" w:eastAsia="宋体" w:hint="default"/>
          <w:sz w:val="21"/>
          <w:szCs w:val="21"/>
        </w:rPr>
        <w:t>应付职工薪酬中无拖欠性质的款项。</w:t>
      </w:r>
    </w:p>
    <w:p>
      <w:pPr>
        <w:spacing w:line="240" w:lineRule="auto" w:before="12"/>
        <w:rPr>
          <w:rFonts w:ascii="宋体" w:hAnsi="宋体" w:cs="宋体" w:eastAsia="宋体" w:hint="default"/>
          <w:sz w:val="23"/>
          <w:szCs w:val="23"/>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w:t>
      </w:r>
      <w:r>
        <w:rPr>
          <w:rFonts w:ascii="宋体" w:hAnsi="宋体" w:cs="宋体" w:eastAsia="宋体" w:hint="default"/>
          <w:sz w:val="21"/>
          <w:szCs w:val="21"/>
        </w:rPr>
        <w:t>应交税费</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56"/>
        <w:gridCol w:w="2856"/>
        <w:gridCol w:w="2856"/>
      </w:tblGrid>
      <w:tr>
        <w:trPr>
          <w:trHeight w:val="379"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2009-12-31</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2008-12-31</w:t>
            </w:r>
          </w:p>
        </w:tc>
      </w:tr>
      <w:tr>
        <w:trPr>
          <w:trHeight w:val="382"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-7,566,819.73</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-2,890,436.79</w:t>
            </w:r>
          </w:p>
        </w:tc>
      </w:tr>
      <w:tr>
        <w:trPr>
          <w:trHeight w:val="379"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5,037,008.42</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6,513,799.31</w:t>
            </w:r>
          </w:p>
        </w:tc>
      </w:tr>
      <w:tr>
        <w:trPr>
          <w:trHeight w:val="379"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214,764.79</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231,271.82</w:t>
            </w:r>
          </w:p>
        </w:tc>
      </w:tr>
      <w:tr>
        <w:trPr>
          <w:trHeight w:val="382"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48,982,104.39</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36,714,324.84</w:t>
            </w:r>
          </w:p>
        </w:tc>
      </w:tr>
      <w:tr>
        <w:trPr>
          <w:trHeight w:val="379"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3,825,248.03</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2,860,910.85</w:t>
            </w:r>
          </w:p>
        </w:tc>
      </w:tr>
      <w:tr>
        <w:trPr>
          <w:trHeight w:val="379"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223,214.06</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5,164,652.26</w:t>
            </w:r>
          </w:p>
        </w:tc>
      </w:tr>
      <w:tr>
        <w:trPr>
          <w:trHeight w:val="382"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3,055,150.65</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3,256,703.50</w:t>
            </w:r>
          </w:p>
        </w:tc>
      </w:tr>
      <w:tr>
        <w:trPr>
          <w:trHeight w:val="379"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1,426,953.41</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4,628,183.95</w:t>
            </w:r>
          </w:p>
        </w:tc>
      </w:tr>
      <w:tr>
        <w:trPr>
          <w:trHeight w:val="379"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218,753.59</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251,884.90</w:t>
            </w:r>
          </w:p>
        </w:tc>
      </w:tr>
      <w:tr>
        <w:trPr>
          <w:trHeight w:val="382"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43,826.15</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38,879.08</w:t>
            </w:r>
          </w:p>
        </w:tc>
      </w:tr>
      <w:tr>
        <w:trPr>
          <w:trHeight w:val="379"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110,267.64</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902.20</w:t>
            </w:r>
          </w:p>
        </w:tc>
      </w:tr>
      <w:tr>
        <w:trPr>
          <w:trHeight w:val="379"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159,295.86</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42,088.40</w:t>
            </w:r>
          </w:p>
        </w:tc>
      </w:tr>
      <w:tr>
        <w:trPr>
          <w:trHeight w:val="382"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12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55,729,767.26</w:t>
            </w:r>
            <w:r>
              <w:rPr>
                <w:rFonts w:ascii="Times New Roman"/>
                <w:spacing w:val="-1"/>
                <w:sz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56,813,164.32</w:t>
            </w:r>
            <w:r>
              <w:rPr>
                <w:rFonts w:ascii="Times New Roman"/>
                <w:spacing w:val="-1"/>
                <w:sz w:val="18"/>
              </w:rPr>
            </w:r>
          </w:p>
        </w:tc>
      </w:tr>
    </w:tbl>
    <w:p>
      <w:pPr>
        <w:spacing w:line="362" w:lineRule="auto" w:before="107"/>
        <w:ind w:left="141"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本期变化主要系子公司农牧公司投资企业深圳农牧美益肉业有限公司采购设备尚未抵扣</w:t>
      </w:r>
      <w:r>
        <w:rPr>
          <w:rFonts w:ascii="宋体" w:hAnsi="宋体" w:cs="宋体" w:eastAsia="宋体" w:hint="default"/>
          <w:w w:val="100"/>
          <w:sz w:val="21"/>
          <w:szCs w:val="21"/>
        </w:rPr>
        <w:t> </w:t>
      </w:r>
      <w:r>
        <w:rPr>
          <w:rFonts w:ascii="宋体" w:hAnsi="宋体" w:cs="宋体" w:eastAsia="宋体" w:hint="default"/>
          <w:sz w:val="21"/>
          <w:szCs w:val="21"/>
        </w:rPr>
        <w:t>的进项税。</w:t>
      </w:r>
    </w:p>
    <w:p>
      <w:pPr>
        <w:spacing w:line="240" w:lineRule="auto" w:before="10"/>
        <w:rPr>
          <w:rFonts w:ascii="宋体" w:hAnsi="宋体" w:cs="宋体" w:eastAsia="宋体" w:hint="default"/>
          <w:sz w:val="15"/>
          <w:szCs w:val="15"/>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x)</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应付利息</w:t>
      </w:r>
    </w:p>
    <w:p>
      <w:pPr>
        <w:spacing w:line="240" w:lineRule="auto" w:before="7"/>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846"/>
        <w:gridCol w:w="2839"/>
        <w:gridCol w:w="2904"/>
      </w:tblGrid>
      <w:tr>
        <w:trPr>
          <w:trHeight w:val="382" w:hRule="exact"/>
        </w:trPr>
        <w:tc>
          <w:tcPr>
            <w:tcW w:w="28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right="1247"/>
              <w:jc w:val="right"/>
              <w:rPr>
                <w:rFonts w:ascii="宋体" w:hAnsi="宋体" w:cs="宋体" w:eastAsia="宋体" w:hint="default"/>
                <w:sz w:val="18"/>
                <w:szCs w:val="18"/>
              </w:rPr>
            </w:pPr>
            <w:r>
              <w:rPr>
                <w:rFonts w:ascii="宋体" w:hAnsi="宋体" w:cs="宋体" w:eastAsia="宋体" w:hint="default"/>
                <w:sz w:val="18"/>
                <w:szCs w:val="18"/>
              </w:rPr>
              <w:t>项目</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center"/>
              <w:rPr>
                <w:rFonts w:ascii="Times New Roman" w:hAnsi="Times New Roman" w:cs="Times New Roman" w:eastAsia="Times New Roman" w:hint="default"/>
                <w:sz w:val="18"/>
                <w:szCs w:val="18"/>
              </w:rPr>
            </w:pPr>
            <w:r>
              <w:rPr>
                <w:rFonts w:ascii="Times New Roman"/>
                <w:sz w:val="18"/>
              </w:rPr>
              <w:t>2009-12-31</w:t>
            </w:r>
          </w:p>
        </w:tc>
        <w:tc>
          <w:tcPr>
            <w:tcW w:w="29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2008-12-31</w:t>
            </w:r>
          </w:p>
        </w:tc>
      </w:tr>
      <w:tr>
        <w:trPr>
          <w:trHeight w:val="379" w:hRule="exact"/>
        </w:trPr>
        <w:tc>
          <w:tcPr>
            <w:tcW w:w="28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125,460.00</w:t>
            </w:r>
          </w:p>
        </w:tc>
        <w:tc>
          <w:tcPr>
            <w:tcW w:w="29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145,350.00</w:t>
            </w:r>
          </w:p>
        </w:tc>
      </w:tr>
      <w:tr>
        <w:trPr>
          <w:trHeight w:val="379" w:hRule="exact"/>
        </w:trPr>
        <w:tc>
          <w:tcPr>
            <w:tcW w:w="28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短期融资券利息</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950,000.00</w:t>
            </w:r>
          </w:p>
        </w:tc>
        <w:tc>
          <w:tcPr>
            <w:tcW w:w="29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2" w:hRule="exact"/>
        </w:trPr>
        <w:tc>
          <w:tcPr>
            <w:tcW w:w="28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124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b/>
                <w:spacing w:val="-1"/>
                <w:sz w:val="18"/>
              </w:rPr>
              <w:t>1,075,460.00</w:t>
            </w:r>
            <w:r>
              <w:rPr>
                <w:rFonts w:ascii="Times New Roman"/>
                <w:spacing w:val="-1"/>
                <w:sz w:val="18"/>
              </w:rPr>
            </w:r>
          </w:p>
        </w:tc>
        <w:tc>
          <w:tcPr>
            <w:tcW w:w="29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b/>
                <w:spacing w:val="-1"/>
                <w:sz w:val="18"/>
              </w:rPr>
              <w:t>145,350.00</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y)</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应付股利</w:t>
      </w:r>
    </w:p>
    <w:p>
      <w:pPr>
        <w:spacing w:line="240" w:lineRule="auto" w:before="1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704"/>
        <w:gridCol w:w="1682"/>
        <w:gridCol w:w="2172"/>
      </w:tblGrid>
      <w:tr>
        <w:trPr>
          <w:trHeight w:val="379" w:hRule="exact"/>
        </w:trPr>
        <w:tc>
          <w:tcPr>
            <w:tcW w:w="4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2009-12-31</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62" w:right="0"/>
              <w:jc w:val="left"/>
              <w:rPr>
                <w:rFonts w:ascii="Times New Roman" w:hAnsi="Times New Roman" w:cs="Times New Roman" w:eastAsia="Times New Roman" w:hint="default"/>
                <w:sz w:val="18"/>
                <w:szCs w:val="18"/>
              </w:rPr>
            </w:pPr>
            <w:r>
              <w:rPr>
                <w:rFonts w:ascii="Times New Roman"/>
                <w:sz w:val="18"/>
              </w:rPr>
              <w:t>2008-12-31</w:t>
            </w:r>
          </w:p>
        </w:tc>
      </w:tr>
      <w:tr>
        <w:trPr>
          <w:trHeight w:val="379" w:hRule="exact"/>
        </w:trPr>
        <w:tc>
          <w:tcPr>
            <w:tcW w:w="4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山东省寿光市国有资产管理局</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18,756,891.99</w:t>
            </w:r>
          </w:p>
        </w:tc>
      </w:tr>
      <w:tr>
        <w:trPr>
          <w:trHeight w:val="382" w:hRule="exact"/>
        </w:trPr>
        <w:tc>
          <w:tcPr>
            <w:tcW w:w="4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上海浦东新区经贸国有资产经营有限公司</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7,940,000.00</w:t>
            </w:r>
          </w:p>
        </w:tc>
      </w:tr>
      <w:tr>
        <w:trPr>
          <w:trHeight w:val="379" w:hRule="exact"/>
        </w:trPr>
        <w:tc>
          <w:tcPr>
            <w:tcW w:w="4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深圳市福田广业投资公司</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124,200.00</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128,450.00</w:t>
            </w:r>
          </w:p>
        </w:tc>
      </w:tr>
      <w:tr>
        <w:trPr>
          <w:trHeight w:val="379" w:hRule="exact"/>
        </w:trPr>
        <w:tc>
          <w:tcPr>
            <w:tcW w:w="4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深圳市国有免税商品集团公司</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108,000.00</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9,108,000.00</w:t>
            </w:r>
          </w:p>
        </w:tc>
      </w:tr>
      <w:tr>
        <w:trPr>
          <w:trHeight w:val="382" w:hRule="exact"/>
        </w:trPr>
        <w:tc>
          <w:tcPr>
            <w:tcW w:w="4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深圳市天然投资发展有限公司</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379" w:hRule="exact"/>
        </w:trPr>
        <w:tc>
          <w:tcPr>
            <w:tcW w:w="4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南昌市蔬菜贸易公司</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10,210,000.00</w:t>
            </w:r>
          </w:p>
        </w:tc>
      </w:tr>
      <w:tr>
        <w:trPr>
          <w:trHeight w:val="379" w:hRule="exact"/>
        </w:trPr>
        <w:tc>
          <w:tcPr>
            <w:tcW w:w="4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9,681,369.00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560" w:right="1500"/>
        </w:sectPr>
      </w:pPr>
    </w:p>
    <w:p>
      <w:pPr>
        <w:spacing w:line="240" w:lineRule="auto" w:before="13"/>
        <w:rPr>
          <w:rFonts w:ascii="宋体" w:hAnsi="宋体" w:cs="宋体" w:eastAsia="宋体" w:hint="default"/>
          <w:sz w:val="15"/>
          <w:szCs w:val="15"/>
        </w:rPr>
      </w:pPr>
    </w:p>
    <w:tbl>
      <w:tblPr>
        <w:tblW w:w="0" w:type="auto"/>
        <w:jc w:val="left"/>
        <w:tblInd w:w="183" w:type="dxa"/>
        <w:tblLayout w:type="fixed"/>
        <w:tblCellMar>
          <w:top w:w="0" w:type="dxa"/>
          <w:left w:w="0" w:type="dxa"/>
          <w:bottom w:w="0" w:type="dxa"/>
          <w:right w:w="0" w:type="dxa"/>
        </w:tblCellMar>
        <w:tblLook w:val="01E0"/>
      </w:tblPr>
      <w:tblGrid>
        <w:gridCol w:w="4706"/>
        <w:gridCol w:w="1682"/>
        <w:gridCol w:w="2172"/>
      </w:tblGrid>
      <w:tr>
        <w:trPr>
          <w:trHeight w:val="379" w:hRule="exact"/>
        </w:trPr>
        <w:tc>
          <w:tcPr>
            <w:tcW w:w="47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2009-12-31</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62" w:right="0"/>
              <w:jc w:val="left"/>
              <w:rPr>
                <w:rFonts w:ascii="Times New Roman" w:hAnsi="Times New Roman" w:cs="Times New Roman" w:eastAsia="Times New Roman" w:hint="default"/>
                <w:sz w:val="18"/>
                <w:szCs w:val="18"/>
              </w:rPr>
            </w:pPr>
            <w:r>
              <w:rPr>
                <w:rFonts w:ascii="Times New Roman"/>
                <w:sz w:val="18"/>
              </w:rPr>
              <w:t>2008-12-31</w:t>
            </w:r>
          </w:p>
        </w:tc>
      </w:tr>
      <w:tr>
        <w:trPr>
          <w:trHeight w:val="379" w:hRule="exact"/>
        </w:trPr>
        <w:tc>
          <w:tcPr>
            <w:tcW w:w="47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深圳市安民咨询有限公司</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5,861.96</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5,861.96</w:t>
            </w:r>
          </w:p>
        </w:tc>
      </w:tr>
      <w:tr>
        <w:trPr>
          <w:trHeight w:val="382" w:hRule="exact"/>
        </w:trPr>
        <w:tc>
          <w:tcPr>
            <w:tcW w:w="47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成都市现代商贸发展投资有限公司</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1,271,151.63</w:t>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47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1,509,213.59</w:t>
            </w:r>
            <w:r>
              <w:rPr>
                <w:rFonts w:ascii="Times New Roman"/>
                <w:spacing w:val="-1"/>
                <w:sz w:val="18"/>
              </w:rPr>
            </w:r>
          </w:p>
        </w:tc>
        <w:tc>
          <w:tcPr>
            <w:tcW w:w="21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60,330,572.95</w:t>
            </w:r>
            <w:r>
              <w:rPr>
                <w:rFonts w:ascii="Times New Roman"/>
                <w:spacing w:val="-1"/>
                <w:sz w:val="18"/>
              </w:rPr>
            </w:r>
          </w:p>
        </w:tc>
      </w:tr>
    </w:tbl>
    <w:p>
      <w:pPr>
        <w:spacing w:line="240" w:lineRule="auto" w:before="8"/>
        <w:rPr>
          <w:rFonts w:ascii="宋体" w:hAnsi="宋体" w:cs="宋体" w:eastAsia="宋体" w:hint="default"/>
          <w:sz w:val="16"/>
          <w:szCs w:val="16"/>
        </w:rPr>
      </w:pPr>
    </w:p>
    <w:p>
      <w:pPr>
        <w:spacing w:before="36"/>
        <w:ind w:left="641" w:right="4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z)</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其他应付款</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2009-12-31</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1533" w:right="0"/>
              <w:jc w:val="left"/>
              <w:rPr>
                <w:rFonts w:ascii="Times New Roman" w:hAnsi="Times New Roman" w:cs="Times New Roman" w:eastAsia="Times New Roman" w:hint="default"/>
                <w:sz w:val="18"/>
                <w:szCs w:val="18"/>
              </w:rPr>
            </w:pPr>
            <w:r>
              <w:rPr>
                <w:rFonts w:ascii="Times New Roman"/>
                <w:sz w:val="18"/>
              </w:rPr>
              <w:t>1,007,434,180.01</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1668" w:right="0"/>
              <w:jc w:val="left"/>
              <w:rPr>
                <w:rFonts w:ascii="Times New Roman" w:hAnsi="Times New Roman" w:cs="Times New Roman" w:eastAsia="Times New Roman" w:hint="default"/>
                <w:sz w:val="18"/>
                <w:szCs w:val="18"/>
              </w:rPr>
            </w:pPr>
            <w:r>
              <w:rPr>
                <w:rFonts w:ascii="Times New Roman"/>
                <w:sz w:val="18"/>
              </w:rPr>
              <w:t>803,349,416.40</w:t>
            </w:r>
          </w:p>
        </w:tc>
      </w:tr>
    </w:tbl>
    <w:p>
      <w:pPr>
        <w:spacing w:line="240" w:lineRule="auto" w:before="8"/>
        <w:rPr>
          <w:rFonts w:ascii="宋体" w:hAnsi="宋体" w:cs="宋体" w:eastAsia="宋体" w:hint="default"/>
          <w:sz w:val="19"/>
          <w:szCs w:val="19"/>
        </w:rPr>
      </w:pPr>
    </w:p>
    <w:p>
      <w:pPr>
        <w:spacing w:before="0"/>
        <w:ind w:left="605" w:right="485"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）其他应付款期末余额中无欠持有本公司</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13"/>
        <w:rPr>
          <w:rFonts w:ascii="宋体" w:hAnsi="宋体" w:cs="宋体" w:eastAsia="宋体" w:hint="default"/>
          <w:sz w:val="21"/>
          <w:szCs w:val="21"/>
        </w:rPr>
      </w:pPr>
    </w:p>
    <w:p>
      <w:pPr>
        <w:spacing w:before="0"/>
        <w:ind w:left="641" w:right="4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）其他应付关联方款项详见附注六、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240" w:lineRule="auto" w:before="13"/>
        <w:rPr>
          <w:rFonts w:ascii="宋体" w:hAnsi="宋体" w:cs="宋体" w:eastAsia="宋体" w:hint="default"/>
          <w:sz w:val="21"/>
          <w:szCs w:val="21"/>
        </w:rPr>
      </w:pPr>
    </w:p>
    <w:p>
      <w:pPr>
        <w:spacing w:line="331" w:lineRule="auto" w:before="0"/>
        <w:ind w:left="221" w:right="485"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）其他应付款期末余额中包含子公司云南鲲鹏农产品电子商务有限公司收取的客户交</w:t>
      </w:r>
      <w:r>
        <w:rPr>
          <w:rFonts w:ascii="宋体" w:hAnsi="宋体" w:cs="宋体" w:eastAsia="宋体" w:hint="default"/>
          <w:w w:val="100"/>
          <w:sz w:val="21"/>
          <w:szCs w:val="21"/>
        </w:rPr>
        <w:t> </w:t>
      </w:r>
      <w:r>
        <w:rPr>
          <w:rFonts w:ascii="宋体" w:hAnsi="宋体" w:cs="宋体" w:eastAsia="宋体" w:hint="default"/>
          <w:sz w:val="21"/>
          <w:szCs w:val="21"/>
        </w:rPr>
        <w:t>易保证金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598,710,399.25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59.43%</w:t>
      </w:r>
      <w:r>
        <w:rPr>
          <w:rFonts w:ascii="宋体" w:hAnsi="宋体" w:cs="宋体" w:eastAsia="宋体" w:hint="default"/>
          <w:sz w:val="21"/>
          <w:szCs w:val="21"/>
        </w:rPr>
        <w:t>；上海农产品中心批发市场经营管理有限公司收取的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国家储备粮竞价保证金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195,466,426.19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19.40%</w:t>
      </w:r>
      <w:r>
        <w:rPr>
          <w:rFonts w:ascii="宋体" w:hAnsi="宋体" w:cs="宋体" w:eastAsia="宋体" w:hint="default"/>
          <w:sz w:val="21"/>
          <w:szCs w:val="21"/>
        </w:rPr>
        <w:t>。</w:t>
      </w:r>
    </w:p>
    <w:p>
      <w:pPr>
        <w:spacing w:line="240" w:lineRule="auto" w:before="3"/>
        <w:rPr>
          <w:rFonts w:ascii="宋体" w:hAnsi="宋体" w:cs="宋体" w:eastAsia="宋体" w:hint="default"/>
          <w:sz w:val="15"/>
          <w:szCs w:val="15"/>
        </w:rPr>
      </w:pPr>
    </w:p>
    <w:p>
      <w:pPr>
        <w:spacing w:before="0"/>
        <w:ind w:left="641" w:right="4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aa)</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一年内到期的非流动负债</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41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2009-12-31</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41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26,600,000.00</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87,100,000.00</w:t>
            </w:r>
          </w:p>
        </w:tc>
      </w:tr>
      <w:tr>
        <w:trPr>
          <w:trHeight w:val="41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4"/>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26,600,000.00</w:t>
            </w:r>
            <w:r>
              <w:rPr>
                <w:rFonts w:ascii="Times New Roman"/>
                <w:spacing w:val="-1"/>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87,100,000.00</w:t>
            </w:r>
            <w:r>
              <w:rPr>
                <w:rFonts w:ascii="Times New Roman"/>
                <w:spacing w:val="-1"/>
                <w:sz w:val="18"/>
              </w:rPr>
            </w:r>
          </w:p>
        </w:tc>
      </w:tr>
    </w:tbl>
    <w:p>
      <w:pPr>
        <w:spacing w:line="240" w:lineRule="auto" w:before="5"/>
        <w:rPr>
          <w:rFonts w:ascii="宋体" w:hAnsi="宋体" w:cs="宋体" w:eastAsia="宋体" w:hint="default"/>
          <w:sz w:val="17"/>
          <w:szCs w:val="17"/>
        </w:rPr>
      </w:pPr>
    </w:p>
    <w:p>
      <w:pPr>
        <w:spacing w:before="0"/>
        <w:ind w:left="641" w:right="485" w:firstLine="0"/>
        <w:jc w:val="left"/>
        <w:rPr>
          <w:rFonts w:ascii="宋体" w:hAnsi="宋体" w:cs="宋体" w:eastAsia="宋体" w:hint="default"/>
          <w:sz w:val="21"/>
          <w:szCs w:val="21"/>
        </w:rPr>
      </w:pPr>
      <w:r>
        <w:rPr>
          <w:rFonts w:ascii="宋体" w:hAnsi="宋体" w:cs="宋体" w:eastAsia="宋体" w:hint="default"/>
          <w:sz w:val="21"/>
          <w:szCs w:val="21"/>
        </w:rPr>
        <w:t>一年内到期的长期借款</w:t>
      </w:r>
    </w:p>
    <w:p>
      <w:pPr>
        <w:spacing w:line="240" w:lineRule="auto" w:before="5"/>
        <w:rPr>
          <w:rFonts w:ascii="宋体" w:hAnsi="宋体" w:cs="宋体" w:eastAsia="宋体" w:hint="default"/>
          <w:sz w:val="4"/>
          <w:szCs w:val="4"/>
        </w:rPr>
      </w:pPr>
    </w:p>
    <w:tbl>
      <w:tblPr>
        <w:tblW w:w="0" w:type="auto"/>
        <w:jc w:val="left"/>
        <w:tblInd w:w="185" w:type="dxa"/>
        <w:tblLayout w:type="fixed"/>
        <w:tblCellMar>
          <w:top w:w="0" w:type="dxa"/>
          <w:left w:w="0" w:type="dxa"/>
          <w:bottom w:w="0" w:type="dxa"/>
          <w:right w:w="0" w:type="dxa"/>
        </w:tblCellMar>
        <w:tblLook w:val="01E0"/>
      </w:tblPr>
      <w:tblGrid>
        <w:gridCol w:w="2856"/>
        <w:gridCol w:w="2856"/>
        <w:gridCol w:w="2854"/>
      </w:tblGrid>
      <w:tr>
        <w:trPr>
          <w:trHeight w:val="410"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2009-12-31</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410"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spacing w:val="-1"/>
                <w:sz w:val="18"/>
              </w:rPr>
              <w:t>18,000,000.00</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spacing w:val="-1"/>
                <w:sz w:val="18"/>
              </w:rPr>
              <w:t>51,500,000.00</w:t>
            </w:r>
          </w:p>
        </w:tc>
      </w:tr>
      <w:tr>
        <w:trPr>
          <w:trHeight w:val="410"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8"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spacing w:val="-1"/>
                <w:sz w:val="18"/>
              </w:rPr>
              <w:t>8,600,000.00</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spacing w:val="-1"/>
                <w:sz w:val="18"/>
              </w:rPr>
              <w:t>10,600,000.00</w:t>
            </w:r>
          </w:p>
        </w:tc>
      </w:tr>
      <w:tr>
        <w:trPr>
          <w:trHeight w:val="410" w:hRule="exact"/>
        </w:trPr>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4"/>
              <w:ind w:right="124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b/>
                <w:spacing w:val="-1"/>
                <w:sz w:val="18"/>
              </w:rPr>
              <w:t>26,600,000.00</w:t>
            </w:r>
            <w:r>
              <w:rPr>
                <w:rFonts w:ascii="Times New Roman"/>
                <w:spacing w:val="-1"/>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b/>
                <w:spacing w:val="-1"/>
                <w:sz w:val="18"/>
              </w:rPr>
              <w:t>87,100,000.00</w:t>
            </w:r>
            <w:r>
              <w:rPr>
                <w:rFonts w:ascii="Times New Roman"/>
                <w:spacing w:val="-1"/>
                <w:sz w:val="18"/>
              </w:rPr>
            </w:r>
          </w:p>
        </w:tc>
      </w:tr>
    </w:tbl>
    <w:p>
      <w:pPr>
        <w:spacing w:line="240" w:lineRule="auto" w:before="5"/>
        <w:rPr>
          <w:rFonts w:ascii="宋体" w:hAnsi="宋体" w:cs="宋体" w:eastAsia="宋体" w:hint="default"/>
          <w:sz w:val="17"/>
          <w:szCs w:val="17"/>
        </w:rPr>
      </w:pPr>
    </w:p>
    <w:p>
      <w:pPr>
        <w:spacing w:before="0"/>
        <w:ind w:left="641" w:right="485" w:firstLine="0"/>
        <w:jc w:val="left"/>
        <w:rPr>
          <w:rFonts w:ascii="宋体" w:hAnsi="宋体" w:cs="宋体" w:eastAsia="宋体" w:hint="default"/>
          <w:sz w:val="21"/>
          <w:szCs w:val="21"/>
        </w:rPr>
      </w:pPr>
      <w:r>
        <w:rPr>
          <w:rFonts w:ascii="宋体" w:hAnsi="宋体" w:cs="宋体" w:eastAsia="宋体" w:hint="default"/>
          <w:sz w:val="21"/>
          <w:szCs w:val="21"/>
        </w:rPr>
        <w:t>一年内到期的长期借款明细</w:t>
      </w:r>
    </w:p>
    <w:p>
      <w:pPr>
        <w:spacing w:line="240" w:lineRule="auto" w:before="5"/>
        <w:rPr>
          <w:rFonts w:ascii="宋体" w:hAnsi="宋体" w:cs="宋体" w:eastAsia="宋体" w:hint="default"/>
          <w:sz w:val="4"/>
          <w:szCs w:val="4"/>
        </w:rPr>
      </w:pPr>
    </w:p>
    <w:tbl>
      <w:tblPr>
        <w:tblW w:w="0" w:type="auto"/>
        <w:jc w:val="left"/>
        <w:tblInd w:w="185" w:type="dxa"/>
        <w:tblLayout w:type="fixed"/>
        <w:tblCellMar>
          <w:top w:w="0" w:type="dxa"/>
          <w:left w:w="0" w:type="dxa"/>
          <w:bottom w:w="0" w:type="dxa"/>
          <w:right w:w="0" w:type="dxa"/>
        </w:tblCellMar>
        <w:tblLook w:val="01E0"/>
      </w:tblPr>
      <w:tblGrid>
        <w:gridCol w:w="2242"/>
        <w:gridCol w:w="998"/>
        <w:gridCol w:w="1001"/>
        <w:gridCol w:w="698"/>
        <w:gridCol w:w="922"/>
        <w:gridCol w:w="605"/>
        <w:gridCol w:w="1104"/>
        <w:gridCol w:w="662"/>
        <w:gridCol w:w="1094"/>
      </w:tblGrid>
      <w:tr>
        <w:trPr>
          <w:trHeight w:val="410" w:hRule="exact"/>
        </w:trPr>
        <w:tc>
          <w:tcPr>
            <w:tcW w:w="224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998"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01"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698"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2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w w:val="95"/>
                <w:sz w:val="18"/>
                <w:szCs w:val="18"/>
              </w:rPr>
              <w:t>利率（</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宋体" w:hAnsi="宋体" w:cs="宋体" w:eastAsia="宋体" w:hint="default"/>
                <w:sz w:val="18"/>
                <w:szCs w:val="18"/>
              </w:rPr>
            </w:r>
          </w:p>
        </w:tc>
        <w:tc>
          <w:tcPr>
            <w:tcW w:w="1709"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429" w:right="0"/>
              <w:jc w:val="left"/>
              <w:rPr>
                <w:rFonts w:ascii="Times New Roman" w:hAnsi="Times New Roman" w:cs="Times New Roman" w:eastAsia="Times New Roman" w:hint="default"/>
                <w:sz w:val="18"/>
                <w:szCs w:val="18"/>
              </w:rPr>
            </w:pPr>
            <w:r>
              <w:rPr>
                <w:rFonts w:ascii="Times New Roman"/>
                <w:sz w:val="18"/>
              </w:rPr>
              <w:t>2009-12-31</w:t>
            </w:r>
          </w:p>
        </w:tc>
        <w:tc>
          <w:tcPr>
            <w:tcW w:w="175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453" w:right="0"/>
              <w:jc w:val="left"/>
              <w:rPr>
                <w:rFonts w:ascii="Times New Roman" w:hAnsi="Times New Roman" w:cs="Times New Roman" w:eastAsia="Times New Roman" w:hint="default"/>
                <w:sz w:val="18"/>
                <w:szCs w:val="18"/>
              </w:rPr>
            </w:pPr>
            <w:r>
              <w:rPr>
                <w:rFonts w:ascii="Times New Roman"/>
                <w:sz w:val="18"/>
              </w:rPr>
              <w:t>2008-12-31</w:t>
            </w:r>
          </w:p>
        </w:tc>
      </w:tr>
      <w:tr>
        <w:trPr>
          <w:trHeight w:val="811" w:hRule="exact"/>
        </w:trPr>
        <w:tc>
          <w:tcPr>
            <w:tcW w:w="2242" w:type="dxa"/>
            <w:vMerge/>
            <w:tcBorders>
              <w:left w:val="single" w:sz="4" w:space="0" w:color="000008"/>
              <w:bottom w:val="single" w:sz="4" w:space="0" w:color="000008"/>
              <w:right w:val="single" w:sz="4" w:space="0" w:color="000008"/>
            </w:tcBorders>
          </w:tcPr>
          <w:p>
            <w:pPr/>
          </w:p>
        </w:tc>
        <w:tc>
          <w:tcPr>
            <w:tcW w:w="998" w:type="dxa"/>
            <w:vMerge/>
            <w:tcBorders>
              <w:left w:val="single" w:sz="4" w:space="0" w:color="000008"/>
              <w:bottom w:val="single" w:sz="4" w:space="0" w:color="000008"/>
              <w:right w:val="single" w:sz="4" w:space="0" w:color="000008"/>
            </w:tcBorders>
          </w:tcPr>
          <w:p>
            <w:pPr/>
          </w:p>
        </w:tc>
        <w:tc>
          <w:tcPr>
            <w:tcW w:w="1001" w:type="dxa"/>
            <w:vMerge/>
            <w:tcBorders>
              <w:left w:val="single" w:sz="4" w:space="0" w:color="000008"/>
              <w:bottom w:val="single" w:sz="4" w:space="0" w:color="000008"/>
              <w:right w:val="single" w:sz="4" w:space="0" w:color="000008"/>
            </w:tcBorders>
          </w:tcPr>
          <w:p>
            <w:pPr/>
          </w:p>
        </w:tc>
        <w:tc>
          <w:tcPr>
            <w:tcW w:w="698" w:type="dxa"/>
            <w:vMerge/>
            <w:tcBorders>
              <w:left w:val="single" w:sz="4" w:space="0" w:color="000008"/>
              <w:bottom w:val="single" w:sz="4" w:space="0" w:color="000008"/>
              <w:right w:val="single" w:sz="4" w:space="0" w:color="000008"/>
            </w:tcBorders>
          </w:tcPr>
          <w:p>
            <w:pPr/>
          </w:p>
        </w:tc>
        <w:tc>
          <w:tcPr>
            <w:tcW w:w="922" w:type="dxa"/>
            <w:vMerge/>
            <w:tcBorders>
              <w:left w:val="single" w:sz="4" w:space="0" w:color="000008"/>
              <w:bottom w:val="single" w:sz="4" w:space="0" w:color="000008"/>
              <w:right w:val="single" w:sz="4" w:space="0" w:color="000008"/>
            </w:tcBorders>
          </w:tcPr>
          <w:p>
            <w:pP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6"/>
              <w:ind w:left="117" w:right="115"/>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662"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6"/>
              <w:ind w:left="146" w:right="144"/>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408" w:hRule="exact"/>
        </w:trPr>
        <w:tc>
          <w:tcPr>
            <w:tcW w:w="2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998"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148" w:right="0"/>
              <w:jc w:val="left"/>
              <w:rPr>
                <w:rFonts w:ascii="Times New Roman" w:hAnsi="Times New Roman" w:cs="Times New Roman" w:eastAsia="Times New Roman" w:hint="default"/>
                <w:sz w:val="18"/>
                <w:szCs w:val="18"/>
              </w:rPr>
            </w:pPr>
            <w:r>
              <w:rPr>
                <w:rFonts w:ascii="Times New Roman"/>
                <w:sz w:val="18"/>
              </w:rPr>
              <w:t>2009/12/25</w:t>
            </w:r>
          </w:p>
        </w:tc>
        <w:tc>
          <w:tcPr>
            <w:tcW w:w="6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264" w:right="0"/>
              <w:jc w:val="left"/>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z w:val="18"/>
              </w:rPr>
              <w:t>--</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8,600,000.00</w:t>
            </w:r>
          </w:p>
        </w:tc>
        <w:tc>
          <w:tcPr>
            <w:tcW w:w="6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10,600,000.00</w:t>
            </w:r>
          </w:p>
        </w:tc>
      </w:tr>
      <w:tr>
        <w:trPr>
          <w:trHeight w:val="410" w:hRule="exact"/>
        </w:trPr>
        <w:tc>
          <w:tcPr>
            <w:tcW w:w="2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深圳平安银行</w:t>
            </w:r>
          </w:p>
        </w:tc>
        <w:tc>
          <w:tcPr>
            <w:tcW w:w="998"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698" w:type="dxa"/>
            <w:tcBorders>
              <w:top w:val="single" w:sz="4" w:space="0" w:color="000008"/>
              <w:left w:val="single" w:sz="4" w:space="0" w:color="000008"/>
              <w:bottom w:val="single" w:sz="4" w:space="0" w:color="000008"/>
              <w:right w:val="single" w:sz="4" w:space="0" w:color="000008"/>
            </w:tcBorders>
          </w:tcPr>
          <w:p>
            <w:pPr/>
          </w:p>
        </w:tc>
        <w:tc>
          <w:tcPr>
            <w:tcW w:w="922" w:type="dxa"/>
            <w:tcBorders>
              <w:top w:val="single" w:sz="4" w:space="0" w:color="000008"/>
              <w:left w:val="single" w:sz="4" w:space="0" w:color="000008"/>
              <w:bottom w:val="single" w:sz="4" w:space="0" w:color="000008"/>
              <w:right w:val="single" w:sz="4" w:space="0" w:color="000008"/>
            </w:tcBorders>
          </w:tcPr>
          <w:p>
            <w:pP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16,000,000.00</w:t>
            </w:r>
          </w:p>
        </w:tc>
      </w:tr>
      <w:tr>
        <w:trPr>
          <w:trHeight w:val="410" w:hRule="exact"/>
        </w:trPr>
        <w:tc>
          <w:tcPr>
            <w:tcW w:w="2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农行南昌农产品分理处</w:t>
            </w:r>
          </w:p>
        </w:tc>
        <w:tc>
          <w:tcPr>
            <w:tcW w:w="998"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698" w:type="dxa"/>
            <w:tcBorders>
              <w:top w:val="single" w:sz="4" w:space="0" w:color="000008"/>
              <w:left w:val="single" w:sz="4" w:space="0" w:color="000008"/>
              <w:bottom w:val="single" w:sz="4" w:space="0" w:color="000008"/>
              <w:right w:val="single" w:sz="4" w:space="0" w:color="000008"/>
            </w:tcBorders>
          </w:tcPr>
          <w:p>
            <w:pPr/>
          </w:p>
        </w:tc>
        <w:tc>
          <w:tcPr>
            <w:tcW w:w="922" w:type="dxa"/>
            <w:tcBorders>
              <w:top w:val="single" w:sz="4" w:space="0" w:color="000008"/>
              <w:left w:val="single" w:sz="4" w:space="0" w:color="000008"/>
              <w:bottom w:val="single" w:sz="4" w:space="0" w:color="000008"/>
              <w:right w:val="single" w:sz="4" w:space="0" w:color="000008"/>
            </w:tcBorders>
          </w:tcPr>
          <w:p>
            <w:pP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35,500,000.00</w:t>
            </w:r>
          </w:p>
        </w:tc>
      </w:tr>
      <w:tr>
        <w:trPr>
          <w:trHeight w:val="410" w:hRule="exact"/>
        </w:trPr>
        <w:tc>
          <w:tcPr>
            <w:tcW w:w="2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工商银行伍家岭支行</w:t>
            </w:r>
          </w:p>
        </w:tc>
        <w:tc>
          <w:tcPr>
            <w:tcW w:w="998"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698" w:type="dxa"/>
            <w:tcBorders>
              <w:top w:val="single" w:sz="4" w:space="0" w:color="000008"/>
              <w:left w:val="single" w:sz="4" w:space="0" w:color="000008"/>
              <w:bottom w:val="single" w:sz="4" w:space="0" w:color="000008"/>
              <w:right w:val="single" w:sz="4" w:space="0" w:color="000008"/>
            </w:tcBorders>
          </w:tcPr>
          <w:p>
            <w:pPr/>
          </w:p>
        </w:tc>
        <w:tc>
          <w:tcPr>
            <w:tcW w:w="922" w:type="dxa"/>
            <w:tcBorders>
              <w:top w:val="single" w:sz="4" w:space="0" w:color="000008"/>
              <w:left w:val="single" w:sz="4" w:space="0" w:color="000008"/>
              <w:bottom w:val="single" w:sz="4" w:space="0" w:color="000008"/>
              <w:right w:val="single" w:sz="4" w:space="0" w:color="000008"/>
            </w:tcBorders>
          </w:tcPr>
          <w:p>
            <w:pP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20,000,000.00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97" w:top="1640" w:bottom="1080" w:left="1480" w:right="800"/>
        </w:sectPr>
      </w:pPr>
    </w:p>
    <w:p>
      <w:pPr>
        <w:spacing w:line="240" w:lineRule="auto" w:before="13"/>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2242"/>
        <w:gridCol w:w="998"/>
        <w:gridCol w:w="1001"/>
        <w:gridCol w:w="698"/>
        <w:gridCol w:w="922"/>
        <w:gridCol w:w="605"/>
        <w:gridCol w:w="1104"/>
        <w:gridCol w:w="662"/>
        <w:gridCol w:w="1094"/>
      </w:tblGrid>
      <w:tr>
        <w:trPr>
          <w:trHeight w:val="410" w:hRule="exact"/>
        </w:trPr>
        <w:tc>
          <w:tcPr>
            <w:tcW w:w="2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建设银行深圳中心区支行</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2006/12</w:t>
            </w: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2010/12</w:t>
            </w:r>
          </w:p>
        </w:tc>
        <w:tc>
          <w:tcPr>
            <w:tcW w:w="6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RMB</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5.51%</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10" w:right="0"/>
              <w:jc w:val="center"/>
              <w:rPr>
                <w:rFonts w:ascii="Times New Roman" w:hAnsi="Times New Roman" w:cs="Times New Roman" w:eastAsia="Times New Roman" w:hint="default"/>
                <w:sz w:val="18"/>
                <w:szCs w:val="18"/>
              </w:rPr>
            </w:pPr>
            <w:r>
              <w:rPr>
                <w:rFonts w:ascii="Times New Roman"/>
                <w:sz w:val="18"/>
              </w:rPr>
              <w:t>10,000,000.00</w:t>
            </w:r>
          </w:p>
        </w:tc>
        <w:tc>
          <w:tcPr>
            <w:tcW w:w="6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8" w:hRule="exact"/>
        </w:trPr>
        <w:tc>
          <w:tcPr>
            <w:tcW w:w="2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北京银行深圳分行</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2009/5/18</w:t>
            </w: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2010/5/18</w:t>
            </w:r>
          </w:p>
        </w:tc>
        <w:tc>
          <w:tcPr>
            <w:tcW w:w="6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RMB</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4.86%</w:t>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99" w:right="0"/>
              <w:jc w:val="center"/>
              <w:rPr>
                <w:rFonts w:ascii="Times New Roman" w:hAnsi="Times New Roman" w:cs="Times New Roman" w:eastAsia="Times New Roman" w:hint="default"/>
                <w:sz w:val="18"/>
                <w:szCs w:val="18"/>
              </w:rPr>
            </w:pPr>
            <w:r>
              <w:rPr>
                <w:rFonts w:ascii="Times New Roman"/>
                <w:sz w:val="18"/>
              </w:rPr>
              <w:t>8,000,000.00</w:t>
            </w:r>
          </w:p>
        </w:tc>
        <w:tc>
          <w:tcPr>
            <w:tcW w:w="6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2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4"/>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6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6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21" w:right="0"/>
              <w:jc w:val="center"/>
              <w:rPr>
                <w:rFonts w:ascii="Times New Roman" w:hAnsi="Times New Roman" w:cs="Times New Roman" w:eastAsia="Times New Roman" w:hint="default"/>
                <w:sz w:val="18"/>
                <w:szCs w:val="18"/>
              </w:rPr>
            </w:pPr>
            <w:r>
              <w:rPr>
                <w:rFonts w:ascii="Times New Roman"/>
                <w:b/>
                <w:sz w:val="18"/>
              </w:rPr>
              <w:t>26,600,000.00</w:t>
            </w:r>
            <w:r>
              <w:rPr>
                <w:rFonts w:ascii="Times New Roman"/>
                <w:sz w:val="18"/>
              </w:rPr>
            </w:r>
          </w:p>
        </w:tc>
        <w:tc>
          <w:tcPr>
            <w:tcW w:w="6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b/>
                <w:spacing w:val="-1"/>
                <w:sz w:val="18"/>
              </w:rPr>
              <w:t>87,100,000.00</w:t>
            </w:r>
            <w:r>
              <w:rPr>
                <w:rFonts w:ascii="Times New Roman"/>
                <w:spacing w:val="-1"/>
                <w:sz w:val="18"/>
              </w:rPr>
            </w:r>
          </w:p>
        </w:tc>
      </w:tr>
    </w:tbl>
    <w:p>
      <w:pPr>
        <w:spacing w:line="240" w:lineRule="auto" w:before="11"/>
        <w:rPr>
          <w:rFonts w:ascii="宋体" w:hAnsi="宋体" w:cs="宋体" w:eastAsia="宋体" w:hint="default"/>
          <w:sz w:val="16"/>
          <w:szCs w:val="16"/>
        </w:rPr>
      </w:pPr>
    </w:p>
    <w:p>
      <w:pPr>
        <w:spacing w:before="36"/>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ab)</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其他流动负债</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986"/>
        <w:gridCol w:w="494"/>
        <w:gridCol w:w="905"/>
        <w:gridCol w:w="432"/>
        <w:gridCol w:w="1217"/>
        <w:gridCol w:w="802"/>
        <w:gridCol w:w="895"/>
        <w:gridCol w:w="802"/>
        <w:gridCol w:w="893"/>
        <w:gridCol w:w="1219"/>
      </w:tblGrid>
      <w:tr>
        <w:trPr>
          <w:trHeight w:val="890" w:hRule="exact"/>
        </w:trPr>
        <w:tc>
          <w:tcPr>
            <w:tcW w:w="9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面值</w:t>
            </w:r>
          </w:p>
        </w:tc>
        <w:tc>
          <w:tcPr>
            <w:tcW w:w="9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432" w:type="dxa"/>
            <w:tcBorders>
              <w:top w:val="single" w:sz="4" w:space="0" w:color="000008"/>
              <w:left w:val="single" w:sz="4" w:space="0" w:color="000008"/>
              <w:bottom w:val="single" w:sz="4" w:space="0" w:color="000008"/>
              <w:right w:val="single" w:sz="4" w:space="0" w:color="000008"/>
            </w:tcBorders>
          </w:tcPr>
          <w:p>
            <w:pPr>
              <w:pStyle w:val="TableParagraph"/>
              <w:spacing w:line="442" w:lineRule="exact" w:before="35"/>
              <w:ind w:left="31" w:right="29"/>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442" w:lineRule="exact" w:before="35"/>
              <w:ind w:left="38" w:right="31" w:firstLine="180"/>
              <w:jc w:val="left"/>
              <w:rPr>
                <w:rFonts w:ascii="宋体" w:hAnsi="宋体" w:cs="宋体" w:eastAsia="宋体" w:hint="default"/>
                <w:sz w:val="18"/>
                <w:szCs w:val="18"/>
              </w:rPr>
            </w:pPr>
            <w:r>
              <w:rPr>
                <w:rFonts w:ascii="宋体" w:hAnsi="宋体" w:cs="宋体" w:eastAsia="宋体" w:hint="default"/>
                <w:sz w:val="18"/>
                <w:szCs w:val="18"/>
              </w:rPr>
              <w:t>期初 应付利息</w:t>
            </w:r>
          </w:p>
        </w:tc>
        <w:tc>
          <w:tcPr>
            <w:tcW w:w="895" w:type="dxa"/>
            <w:tcBorders>
              <w:top w:val="single" w:sz="4" w:space="0" w:color="000008"/>
              <w:left w:val="single" w:sz="4" w:space="0" w:color="000008"/>
              <w:bottom w:val="single" w:sz="4" w:space="0" w:color="000008"/>
              <w:right w:val="single" w:sz="4" w:space="0" w:color="000008"/>
            </w:tcBorders>
          </w:tcPr>
          <w:p>
            <w:pPr>
              <w:pStyle w:val="TableParagraph"/>
              <w:spacing w:line="442" w:lineRule="exact" w:before="35"/>
              <w:ind w:left="84" w:right="79" w:firstLine="180"/>
              <w:jc w:val="left"/>
              <w:rPr>
                <w:rFonts w:ascii="宋体" w:hAnsi="宋体" w:cs="宋体" w:eastAsia="宋体" w:hint="default"/>
                <w:sz w:val="18"/>
                <w:szCs w:val="18"/>
              </w:rPr>
            </w:pPr>
            <w:r>
              <w:rPr>
                <w:rFonts w:ascii="宋体" w:hAnsi="宋体" w:cs="宋体" w:eastAsia="宋体" w:hint="default"/>
                <w:sz w:val="18"/>
                <w:szCs w:val="18"/>
              </w:rPr>
              <w:t>本期 应计利息</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442" w:lineRule="exact" w:before="35"/>
              <w:ind w:left="36" w:right="35" w:firstLine="180"/>
              <w:jc w:val="left"/>
              <w:rPr>
                <w:rFonts w:ascii="宋体" w:hAnsi="宋体" w:cs="宋体" w:eastAsia="宋体" w:hint="default"/>
                <w:sz w:val="18"/>
                <w:szCs w:val="18"/>
              </w:rPr>
            </w:pPr>
            <w:r>
              <w:rPr>
                <w:rFonts w:ascii="宋体" w:hAnsi="宋体" w:cs="宋体" w:eastAsia="宋体" w:hint="default"/>
                <w:sz w:val="18"/>
                <w:szCs w:val="18"/>
              </w:rPr>
              <w:t>本期 已付利息</w:t>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442" w:lineRule="exact" w:before="35"/>
              <w:ind w:left="84" w:right="77" w:firstLine="180"/>
              <w:jc w:val="left"/>
              <w:rPr>
                <w:rFonts w:ascii="宋体" w:hAnsi="宋体" w:cs="宋体" w:eastAsia="宋体" w:hint="default"/>
                <w:sz w:val="18"/>
                <w:szCs w:val="18"/>
              </w:rPr>
            </w:pPr>
            <w:r>
              <w:rPr>
                <w:rFonts w:ascii="宋体" w:hAnsi="宋体" w:cs="宋体" w:eastAsia="宋体" w:hint="default"/>
                <w:sz w:val="18"/>
                <w:szCs w:val="18"/>
              </w:rPr>
              <w:t>期末 应付利息</w:t>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2009-12-31</w:t>
            </w:r>
          </w:p>
        </w:tc>
      </w:tr>
      <w:tr>
        <w:trPr>
          <w:trHeight w:val="451" w:hRule="exact"/>
        </w:trPr>
        <w:tc>
          <w:tcPr>
            <w:tcW w:w="9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短期融资券</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w:t>
            </w:r>
          </w:p>
        </w:tc>
        <w:tc>
          <w:tcPr>
            <w:tcW w:w="9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2009/12/16</w:t>
            </w:r>
          </w:p>
        </w:tc>
        <w:tc>
          <w:tcPr>
            <w:tcW w:w="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600,000,000.00</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8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950,000.00</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950,000.00</w:t>
            </w:r>
          </w:p>
        </w:tc>
        <w:tc>
          <w:tcPr>
            <w:tcW w:w="12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600,000,000.00</w:t>
            </w:r>
          </w:p>
        </w:tc>
      </w:tr>
    </w:tbl>
    <w:p>
      <w:pPr>
        <w:spacing w:line="240" w:lineRule="auto" w:before="5"/>
        <w:rPr>
          <w:rFonts w:ascii="宋体" w:hAnsi="宋体" w:cs="宋体" w:eastAsia="宋体" w:hint="default"/>
          <w:sz w:val="19"/>
          <w:szCs w:val="19"/>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ac)</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长期借款</w:t>
      </w:r>
    </w:p>
    <w:p>
      <w:pPr>
        <w:spacing w:line="240" w:lineRule="auto" w:before="13"/>
        <w:rPr>
          <w:rFonts w:ascii="宋体" w:hAnsi="宋体" w:cs="宋体" w:eastAsia="宋体" w:hint="default"/>
          <w:sz w:val="19"/>
          <w:szCs w:val="19"/>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）分类</w:t>
      </w: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54"/>
        <w:gridCol w:w="2856"/>
        <w:gridCol w:w="2856"/>
      </w:tblGrid>
      <w:tr>
        <w:trPr>
          <w:trHeight w:val="44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38"/>
              <w:jc w:val="right"/>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2009-12-31</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2008-12-31</w:t>
            </w:r>
          </w:p>
        </w:tc>
      </w:tr>
      <w:tr>
        <w:trPr>
          <w:trHeight w:val="45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4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293,025,000.00</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201,550,000.00</w:t>
            </w:r>
          </w:p>
        </w:tc>
      </w:tr>
      <w:tr>
        <w:trPr>
          <w:trHeight w:val="45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145,000,000.00</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4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10,926,158.33</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10,926,158.33</w:t>
            </w:r>
          </w:p>
        </w:tc>
      </w:tr>
      <w:tr>
        <w:trPr>
          <w:trHeight w:val="45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2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448,951,158.33</w:t>
            </w:r>
            <w:r>
              <w:rPr>
                <w:rFonts w:ascii="Times New Roman"/>
                <w:spacing w:val="-1"/>
                <w:sz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302,476,158.33</w:t>
            </w:r>
            <w:r>
              <w:rPr>
                <w:rFonts w:ascii="Times New Roman"/>
                <w:spacing w:val="-1"/>
                <w:sz w:val="18"/>
              </w:rPr>
            </w:r>
          </w:p>
        </w:tc>
      </w:tr>
    </w:tbl>
    <w:p>
      <w:pPr>
        <w:spacing w:line="240" w:lineRule="auto" w:before="5"/>
        <w:rPr>
          <w:rFonts w:ascii="宋体" w:hAnsi="宋体" w:cs="宋体" w:eastAsia="宋体" w:hint="default"/>
          <w:sz w:val="17"/>
          <w:szCs w:val="17"/>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）金额前五名的长期借款</w:t>
      </w: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31"/>
        <w:gridCol w:w="1018"/>
        <w:gridCol w:w="1152"/>
        <w:gridCol w:w="475"/>
        <w:gridCol w:w="655"/>
        <w:gridCol w:w="600"/>
        <w:gridCol w:w="1190"/>
        <w:gridCol w:w="434"/>
        <w:gridCol w:w="1186"/>
      </w:tblGrid>
      <w:tr>
        <w:trPr>
          <w:trHeight w:val="449" w:hRule="exact"/>
        </w:trPr>
        <w:tc>
          <w:tcPr>
            <w:tcW w:w="2431"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018"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5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475"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2"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55"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9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2009-12-31</w:t>
            </w:r>
          </w:p>
        </w:tc>
        <w:tc>
          <w:tcPr>
            <w:tcW w:w="162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2008-12-31</w:t>
            </w:r>
          </w:p>
        </w:tc>
      </w:tr>
      <w:tr>
        <w:trPr>
          <w:trHeight w:val="890" w:hRule="exact"/>
        </w:trPr>
        <w:tc>
          <w:tcPr>
            <w:tcW w:w="2431" w:type="dxa"/>
            <w:vMerge/>
            <w:tcBorders>
              <w:left w:val="single" w:sz="4" w:space="0" w:color="000008"/>
              <w:bottom w:val="single" w:sz="4" w:space="0" w:color="000008"/>
              <w:right w:val="single" w:sz="4" w:space="0" w:color="000008"/>
            </w:tcBorders>
          </w:tcPr>
          <w:p>
            <w:pPr/>
          </w:p>
        </w:tc>
        <w:tc>
          <w:tcPr>
            <w:tcW w:w="1018" w:type="dxa"/>
            <w:vMerge/>
            <w:tcBorders>
              <w:left w:val="single" w:sz="4" w:space="0" w:color="000008"/>
              <w:bottom w:val="single" w:sz="4" w:space="0" w:color="000008"/>
              <w:right w:val="single" w:sz="4" w:space="0" w:color="000008"/>
            </w:tcBorders>
          </w:tcPr>
          <w:p>
            <w:pPr/>
          </w:p>
        </w:tc>
        <w:tc>
          <w:tcPr>
            <w:tcW w:w="1152" w:type="dxa"/>
            <w:vMerge/>
            <w:tcBorders>
              <w:left w:val="single" w:sz="4" w:space="0" w:color="000008"/>
              <w:bottom w:val="single" w:sz="4" w:space="0" w:color="000008"/>
              <w:right w:val="single" w:sz="4" w:space="0" w:color="000008"/>
            </w:tcBorders>
          </w:tcPr>
          <w:p>
            <w:pPr/>
          </w:p>
        </w:tc>
        <w:tc>
          <w:tcPr>
            <w:tcW w:w="475" w:type="dxa"/>
            <w:vMerge/>
            <w:tcBorders>
              <w:left w:val="single" w:sz="4" w:space="0" w:color="000008"/>
              <w:bottom w:val="single" w:sz="4" w:space="0" w:color="000008"/>
              <w:right w:val="single" w:sz="4" w:space="0" w:color="000008"/>
            </w:tcBorders>
          </w:tcPr>
          <w:p>
            <w:pPr/>
          </w:p>
        </w:tc>
        <w:tc>
          <w:tcPr>
            <w:tcW w:w="655" w:type="dxa"/>
            <w:vMerge/>
            <w:tcBorders>
              <w:left w:val="single" w:sz="4" w:space="0" w:color="000008"/>
              <w:bottom w:val="single" w:sz="4" w:space="0" w:color="000008"/>
              <w:right w:val="single" w:sz="4" w:space="0" w:color="000008"/>
            </w:tcBorders>
          </w:tcPr>
          <w:p>
            <w:pP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44"/>
              <w:ind w:left="115" w:right="113"/>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44"/>
              <w:ind w:left="33" w:right="29"/>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451"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中国农业银行深圳市分行</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2009/5/18</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2014/5/17</w:t>
            </w:r>
          </w:p>
        </w:tc>
        <w:tc>
          <w:tcPr>
            <w:tcW w:w="4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5.184%</w:t>
            </w: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125,000,000.00</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2006/12/4</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2014/12/4</w:t>
            </w:r>
          </w:p>
        </w:tc>
        <w:tc>
          <w:tcPr>
            <w:tcW w:w="4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w:t>
            </w: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72,000,000.00</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51"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中国农业银行南昌叠山支行</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2008/12/31</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2013/12/29</w:t>
            </w:r>
          </w:p>
        </w:tc>
        <w:tc>
          <w:tcPr>
            <w:tcW w:w="4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5.184%</w:t>
            </w: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47,000,000.00</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北京银行深圳分行</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2009/5/18</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2012/5/18</w:t>
            </w:r>
          </w:p>
        </w:tc>
        <w:tc>
          <w:tcPr>
            <w:tcW w:w="4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w:t>
            </w: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42,000,000.00</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中国农业发展银行深圳市分行</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2009/6/19</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2014/6/18</w:t>
            </w:r>
          </w:p>
        </w:tc>
        <w:tc>
          <w:tcPr>
            <w:tcW w:w="4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5.760%</w:t>
            </w: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40,000,000.00</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上海银行静安支行</w:t>
            </w:r>
          </w:p>
        </w:tc>
        <w:tc>
          <w:tcPr>
            <w:tcW w:w="1018" w:type="dxa"/>
            <w:tcBorders>
              <w:top w:val="single" w:sz="4" w:space="0" w:color="000008"/>
              <w:left w:val="single" w:sz="4" w:space="0" w:color="000008"/>
              <w:bottom w:val="single" w:sz="4" w:space="0" w:color="000008"/>
              <w:right w:val="single" w:sz="4" w:space="0" w:color="000008"/>
            </w:tcBorders>
          </w:tcPr>
          <w:p>
            <w:pPr/>
          </w:p>
        </w:tc>
        <w:tc>
          <w:tcPr>
            <w:tcW w:w="1152" w:type="dxa"/>
            <w:tcBorders>
              <w:top w:val="single" w:sz="4" w:space="0" w:color="000008"/>
              <w:left w:val="single" w:sz="4" w:space="0" w:color="000008"/>
              <w:bottom w:val="single" w:sz="4" w:space="0" w:color="000008"/>
              <w:right w:val="single" w:sz="4" w:space="0" w:color="000008"/>
            </w:tcBorders>
          </w:tcPr>
          <w:p>
            <w:pPr/>
          </w:p>
        </w:tc>
        <w:tc>
          <w:tcPr>
            <w:tcW w:w="475" w:type="dxa"/>
            <w:tcBorders>
              <w:top w:val="single" w:sz="4" w:space="0" w:color="000008"/>
              <w:left w:val="single" w:sz="4" w:space="0" w:color="000008"/>
              <w:bottom w:val="single" w:sz="4" w:space="0" w:color="000008"/>
              <w:right w:val="single" w:sz="4" w:space="0" w:color="000008"/>
            </w:tcBorders>
          </w:tcPr>
          <w:p>
            <w:pPr/>
          </w:p>
        </w:tc>
        <w:tc>
          <w:tcPr>
            <w:tcW w:w="655" w:type="dxa"/>
            <w:tcBorders>
              <w:top w:val="single" w:sz="4" w:space="0" w:color="000008"/>
              <w:left w:val="single" w:sz="4" w:space="0" w:color="000008"/>
              <w:bottom w:val="single" w:sz="4" w:space="0" w:color="000008"/>
              <w:right w:val="single" w:sz="4" w:space="0" w:color="000008"/>
            </w:tcBorders>
          </w:tcPr>
          <w:p>
            <w:pP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36,550,000.00</w:t>
            </w:r>
          </w:p>
        </w:tc>
      </w:tr>
      <w:tr>
        <w:trPr>
          <w:trHeight w:val="451"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建行深圳市分行</w:t>
            </w:r>
          </w:p>
        </w:tc>
        <w:tc>
          <w:tcPr>
            <w:tcW w:w="1018" w:type="dxa"/>
            <w:tcBorders>
              <w:top w:val="single" w:sz="4" w:space="0" w:color="000008"/>
              <w:left w:val="single" w:sz="4" w:space="0" w:color="000008"/>
              <w:bottom w:val="single" w:sz="4" w:space="0" w:color="000008"/>
              <w:right w:val="single" w:sz="4" w:space="0" w:color="000008"/>
            </w:tcBorders>
          </w:tcPr>
          <w:p>
            <w:pPr/>
          </w:p>
        </w:tc>
        <w:tc>
          <w:tcPr>
            <w:tcW w:w="1152" w:type="dxa"/>
            <w:tcBorders>
              <w:top w:val="single" w:sz="4" w:space="0" w:color="000008"/>
              <w:left w:val="single" w:sz="4" w:space="0" w:color="000008"/>
              <w:bottom w:val="single" w:sz="4" w:space="0" w:color="000008"/>
              <w:right w:val="single" w:sz="4" w:space="0" w:color="000008"/>
            </w:tcBorders>
          </w:tcPr>
          <w:p>
            <w:pPr/>
          </w:p>
        </w:tc>
        <w:tc>
          <w:tcPr>
            <w:tcW w:w="475" w:type="dxa"/>
            <w:tcBorders>
              <w:top w:val="single" w:sz="4" w:space="0" w:color="000008"/>
              <w:left w:val="single" w:sz="4" w:space="0" w:color="000008"/>
              <w:bottom w:val="single" w:sz="4" w:space="0" w:color="000008"/>
              <w:right w:val="single" w:sz="4" w:space="0" w:color="000008"/>
            </w:tcBorders>
          </w:tcPr>
          <w:p>
            <w:pPr/>
          </w:p>
        </w:tc>
        <w:tc>
          <w:tcPr>
            <w:tcW w:w="655" w:type="dxa"/>
            <w:tcBorders>
              <w:top w:val="single" w:sz="4" w:space="0" w:color="000008"/>
              <w:left w:val="single" w:sz="4" w:space="0" w:color="000008"/>
              <w:bottom w:val="single" w:sz="4" w:space="0" w:color="000008"/>
              <w:right w:val="single" w:sz="4" w:space="0" w:color="000008"/>
            </w:tcBorders>
          </w:tcPr>
          <w:p>
            <w:pP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49"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深圳平安银行深南支行</w:t>
            </w:r>
          </w:p>
        </w:tc>
        <w:tc>
          <w:tcPr>
            <w:tcW w:w="1018" w:type="dxa"/>
            <w:tcBorders>
              <w:top w:val="single" w:sz="4" w:space="0" w:color="000008"/>
              <w:left w:val="single" w:sz="4" w:space="0" w:color="000008"/>
              <w:bottom w:val="single" w:sz="4" w:space="0" w:color="000008"/>
              <w:right w:val="single" w:sz="4" w:space="0" w:color="000008"/>
            </w:tcBorders>
          </w:tcPr>
          <w:p>
            <w:pPr/>
          </w:p>
        </w:tc>
        <w:tc>
          <w:tcPr>
            <w:tcW w:w="1152" w:type="dxa"/>
            <w:tcBorders>
              <w:top w:val="single" w:sz="4" w:space="0" w:color="000008"/>
              <w:left w:val="single" w:sz="4" w:space="0" w:color="000008"/>
              <w:bottom w:val="single" w:sz="4" w:space="0" w:color="000008"/>
              <w:right w:val="single" w:sz="4" w:space="0" w:color="000008"/>
            </w:tcBorders>
          </w:tcPr>
          <w:p>
            <w:pPr/>
          </w:p>
        </w:tc>
        <w:tc>
          <w:tcPr>
            <w:tcW w:w="475" w:type="dxa"/>
            <w:tcBorders>
              <w:top w:val="single" w:sz="4" w:space="0" w:color="000008"/>
              <w:left w:val="single" w:sz="4" w:space="0" w:color="000008"/>
              <w:bottom w:val="single" w:sz="4" w:space="0" w:color="000008"/>
              <w:right w:val="single" w:sz="4" w:space="0" w:color="000008"/>
            </w:tcBorders>
          </w:tcPr>
          <w:p>
            <w:pPr/>
          </w:p>
        </w:tc>
        <w:tc>
          <w:tcPr>
            <w:tcW w:w="655" w:type="dxa"/>
            <w:tcBorders>
              <w:top w:val="single" w:sz="4" w:space="0" w:color="000008"/>
              <w:left w:val="single" w:sz="4" w:space="0" w:color="000008"/>
              <w:bottom w:val="single" w:sz="4" w:space="0" w:color="000008"/>
              <w:right w:val="single" w:sz="4" w:space="0" w:color="000008"/>
            </w:tcBorders>
          </w:tcPr>
          <w:p>
            <w:pP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51"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农行南昌农产品分理处</w:t>
            </w:r>
          </w:p>
        </w:tc>
        <w:tc>
          <w:tcPr>
            <w:tcW w:w="1018" w:type="dxa"/>
            <w:tcBorders>
              <w:top w:val="single" w:sz="4" w:space="0" w:color="000008"/>
              <w:left w:val="single" w:sz="4" w:space="0" w:color="000008"/>
              <w:bottom w:val="single" w:sz="4" w:space="0" w:color="000008"/>
              <w:right w:val="single" w:sz="4" w:space="0" w:color="000008"/>
            </w:tcBorders>
          </w:tcPr>
          <w:p>
            <w:pPr/>
          </w:p>
        </w:tc>
        <w:tc>
          <w:tcPr>
            <w:tcW w:w="1152" w:type="dxa"/>
            <w:tcBorders>
              <w:top w:val="single" w:sz="4" w:space="0" w:color="000008"/>
              <w:left w:val="single" w:sz="4" w:space="0" w:color="000008"/>
              <w:bottom w:val="single" w:sz="4" w:space="0" w:color="000008"/>
              <w:right w:val="single" w:sz="4" w:space="0" w:color="000008"/>
            </w:tcBorders>
          </w:tcPr>
          <w:p>
            <w:pPr/>
          </w:p>
        </w:tc>
        <w:tc>
          <w:tcPr>
            <w:tcW w:w="475" w:type="dxa"/>
            <w:tcBorders>
              <w:top w:val="single" w:sz="4" w:space="0" w:color="000008"/>
              <w:left w:val="single" w:sz="4" w:space="0" w:color="000008"/>
              <w:bottom w:val="single" w:sz="4" w:space="0" w:color="000008"/>
              <w:right w:val="single" w:sz="4" w:space="0" w:color="000008"/>
            </w:tcBorders>
          </w:tcPr>
          <w:p>
            <w:pPr/>
          </w:p>
        </w:tc>
        <w:tc>
          <w:tcPr>
            <w:tcW w:w="655" w:type="dxa"/>
            <w:tcBorders>
              <w:top w:val="single" w:sz="4" w:space="0" w:color="000008"/>
              <w:left w:val="single" w:sz="4" w:space="0" w:color="000008"/>
              <w:bottom w:val="single" w:sz="4" w:space="0" w:color="000008"/>
              <w:right w:val="single" w:sz="4" w:space="0" w:color="000008"/>
            </w:tcBorders>
          </w:tcPr>
          <w:p>
            <w:pP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49" w:hRule="exact"/>
        </w:trPr>
        <w:tc>
          <w:tcPr>
            <w:tcW w:w="24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475" w:type="dxa"/>
            <w:tcBorders>
              <w:top w:val="single" w:sz="4" w:space="0" w:color="000008"/>
              <w:left w:val="single" w:sz="4" w:space="0" w:color="000008"/>
              <w:bottom w:val="single" w:sz="4" w:space="0" w:color="000008"/>
              <w:right w:val="single" w:sz="4" w:space="0" w:color="000008"/>
            </w:tcBorders>
          </w:tcPr>
          <w:p>
            <w:pP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326,000,000.00</w:t>
            </w:r>
            <w:r>
              <w:rPr>
                <w:rFonts w:ascii="Times New Roman"/>
                <w:spacing w:val="-1"/>
                <w:sz w:val="18"/>
              </w:rPr>
            </w:r>
          </w:p>
        </w:tc>
        <w:tc>
          <w:tcPr>
            <w:tcW w:w="4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277,550,000.00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56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36"/>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ad)</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长期应付款</w:t>
      </w:r>
    </w:p>
    <w:p>
      <w:pPr>
        <w:spacing w:line="240" w:lineRule="auto" w:before="10"/>
        <w:rPr>
          <w:rFonts w:ascii="宋体" w:hAnsi="宋体" w:cs="宋体" w:eastAsia="宋体" w:hint="default"/>
          <w:sz w:val="19"/>
          <w:szCs w:val="19"/>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）金额前五名长期应付款情况</w:t>
      </w:r>
    </w:p>
    <w:p>
      <w:pPr>
        <w:spacing w:line="240" w:lineRule="auto" w:before="4"/>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2261"/>
        <w:gridCol w:w="595"/>
        <w:gridCol w:w="1289"/>
        <w:gridCol w:w="1118"/>
        <w:gridCol w:w="965"/>
        <w:gridCol w:w="1289"/>
        <w:gridCol w:w="962"/>
      </w:tblGrid>
      <w:tr>
        <w:trPr>
          <w:trHeight w:val="410"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5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10"/>
              <w:jc w:val="right"/>
              <w:rPr>
                <w:rFonts w:ascii="宋体" w:hAnsi="宋体" w:cs="宋体" w:eastAsia="宋体" w:hint="default"/>
                <w:sz w:val="18"/>
                <w:szCs w:val="18"/>
              </w:rPr>
            </w:pPr>
            <w:r>
              <w:rPr>
                <w:rFonts w:ascii="宋体" w:hAnsi="宋体" w:cs="宋体" w:eastAsia="宋体" w:hint="default"/>
                <w:sz w:val="18"/>
                <w:szCs w:val="18"/>
              </w:rPr>
              <w:t>期限</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78"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19"/>
              <w:jc w:val="righ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15"/>
              <w:jc w:val="right"/>
              <w:rPr>
                <w:rFonts w:ascii="宋体" w:hAnsi="宋体" w:cs="宋体" w:eastAsia="宋体" w:hint="default"/>
                <w:sz w:val="18"/>
                <w:szCs w:val="18"/>
              </w:rPr>
            </w:pPr>
            <w:r>
              <w:rPr>
                <w:rFonts w:ascii="宋体" w:hAnsi="宋体" w:cs="宋体" w:eastAsia="宋体" w:hint="default"/>
                <w:sz w:val="18"/>
                <w:szCs w:val="18"/>
              </w:rPr>
              <w:t>应计利息</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2009-12-31</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13"/>
              <w:jc w:val="right"/>
              <w:rPr>
                <w:rFonts w:ascii="宋体" w:hAnsi="宋体" w:cs="宋体" w:eastAsia="宋体" w:hint="default"/>
                <w:sz w:val="18"/>
                <w:szCs w:val="18"/>
              </w:rPr>
            </w:pPr>
            <w:r>
              <w:rPr>
                <w:rFonts w:ascii="宋体" w:hAnsi="宋体" w:cs="宋体" w:eastAsia="宋体" w:hint="default"/>
                <w:sz w:val="18"/>
                <w:szCs w:val="18"/>
              </w:rPr>
              <w:t>借款条件</w:t>
            </w:r>
          </w:p>
        </w:tc>
      </w:tr>
      <w:tr>
        <w:trPr>
          <w:trHeight w:val="427"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店面押金</w:t>
            </w:r>
          </w:p>
        </w:tc>
        <w:tc>
          <w:tcPr>
            <w:tcW w:w="5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13,654,178.20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13,654,178.20</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深圳市财政局</w:t>
            </w:r>
            <w:r>
              <w:rPr>
                <w:rFonts w:ascii="Times New Roman" w:hAnsi="Times New Roman" w:cs="Times New Roman" w:eastAsia="Times New Roman" w:hint="default"/>
                <w:sz w:val="18"/>
                <w:szCs w:val="18"/>
              </w:rPr>
              <w:t>*1</w:t>
            </w:r>
          </w:p>
        </w:tc>
        <w:tc>
          <w:tcPr>
            <w:tcW w:w="5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3,503,468.69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3,503,468.69</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退休人员补贴</w:t>
            </w:r>
            <w:r>
              <w:rPr>
                <w:rFonts w:ascii="Times New Roman" w:hAnsi="Times New Roman" w:cs="Times New Roman" w:eastAsia="Times New Roman" w:hint="default"/>
                <w:sz w:val="18"/>
                <w:szCs w:val="18"/>
              </w:rPr>
              <w:t>*2</w:t>
            </w:r>
          </w:p>
        </w:tc>
        <w:tc>
          <w:tcPr>
            <w:tcW w:w="5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659,160.00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659,160.00</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内退人员工资及养老金</w:t>
            </w:r>
            <w:r>
              <w:rPr>
                <w:rFonts w:ascii="Times New Roman" w:hAnsi="Times New Roman" w:cs="Times New Roman" w:eastAsia="Times New Roman" w:hint="default"/>
                <w:sz w:val="18"/>
                <w:szCs w:val="18"/>
              </w:rPr>
              <w:t>*2</w:t>
            </w:r>
          </w:p>
        </w:tc>
        <w:tc>
          <w:tcPr>
            <w:tcW w:w="5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517,149.70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517,149.70</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土地治理专项资金</w:t>
            </w:r>
            <w:r>
              <w:rPr>
                <w:rFonts w:ascii="Times New Roman" w:hAnsi="Times New Roman" w:cs="Times New Roman" w:eastAsia="Times New Roman" w:hint="default"/>
                <w:sz w:val="18"/>
                <w:szCs w:val="18"/>
              </w:rPr>
              <w:t>*3</w:t>
            </w:r>
          </w:p>
        </w:tc>
        <w:tc>
          <w:tcPr>
            <w:tcW w:w="5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395,000.00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395,000.00</w:t>
            </w:r>
          </w:p>
        </w:tc>
        <w:tc>
          <w:tcPr>
            <w:tcW w:w="9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595" w:type="dxa"/>
            <w:tcBorders>
              <w:top w:val="single" w:sz="4" w:space="0" w:color="000008"/>
              <w:left w:val="single" w:sz="4" w:space="0" w:color="000008"/>
              <w:bottom w:val="single" w:sz="4" w:space="0" w:color="000008"/>
              <w:right w:val="single" w:sz="4" w:space="0" w:color="000008"/>
            </w:tcBorders>
          </w:tcPr>
          <w:p>
            <w:pP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18,728,956.59</w:t>
            </w:r>
            <w:r>
              <w:rPr>
                <w:rFonts w:ascii="Times New Roman"/>
                <w:spacing w:val="-1"/>
                <w:sz w:val="18"/>
              </w:rPr>
            </w:r>
          </w:p>
        </w:tc>
        <w:tc>
          <w:tcPr>
            <w:tcW w:w="1118" w:type="dxa"/>
            <w:tcBorders>
              <w:top w:val="single" w:sz="4" w:space="0" w:color="000008"/>
              <w:left w:val="single" w:sz="4" w:space="0" w:color="000008"/>
              <w:bottom w:val="single" w:sz="4" w:space="0" w:color="000008"/>
              <w:right w:val="single" w:sz="4" w:space="0" w:color="000008"/>
            </w:tcBorders>
          </w:tcPr>
          <w:p>
            <w:pPr/>
          </w:p>
        </w:tc>
        <w:tc>
          <w:tcPr>
            <w:tcW w:w="9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18,728,956.59</w:t>
            </w:r>
            <w:r>
              <w:rPr>
                <w:rFonts w:ascii="Times New Roman"/>
                <w:spacing w:val="-1"/>
                <w:sz w:val="18"/>
              </w:rPr>
            </w:r>
          </w:p>
        </w:tc>
        <w:tc>
          <w:tcPr>
            <w:tcW w:w="962"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5"/>
        <w:rPr>
          <w:rFonts w:ascii="宋体" w:hAnsi="宋体" w:cs="宋体" w:eastAsia="宋体" w:hint="default"/>
          <w:sz w:val="19"/>
          <w:szCs w:val="19"/>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系本公司及子公司农牧公司向深圳市财政局的免息借款。</w:t>
      </w:r>
    </w:p>
    <w:p>
      <w:pPr>
        <w:spacing w:line="240" w:lineRule="auto" w:before="9"/>
        <w:rPr>
          <w:rFonts w:ascii="宋体" w:hAnsi="宋体" w:cs="宋体" w:eastAsia="宋体" w:hint="default"/>
          <w:sz w:val="20"/>
          <w:szCs w:val="20"/>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系子公司西安摩尔农产品股份有限公司改制时的职工补偿金。</w:t>
      </w:r>
    </w:p>
    <w:p>
      <w:pPr>
        <w:spacing w:line="240" w:lineRule="auto" w:before="7"/>
        <w:rPr>
          <w:rFonts w:ascii="宋体" w:hAnsi="宋体" w:cs="宋体" w:eastAsia="宋体" w:hint="default"/>
          <w:sz w:val="20"/>
          <w:szCs w:val="20"/>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系子公司农牧公司向深圳市财政局的土地治理专项借款。</w:t>
      </w:r>
    </w:p>
    <w:p>
      <w:pPr>
        <w:spacing w:line="240" w:lineRule="auto" w:before="1"/>
        <w:rPr>
          <w:rFonts w:ascii="宋体" w:hAnsi="宋体" w:cs="宋体" w:eastAsia="宋体" w:hint="default"/>
          <w:sz w:val="25"/>
          <w:szCs w:val="25"/>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ae)</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专项应付款</w:t>
      </w:r>
    </w:p>
    <w:p>
      <w:pPr>
        <w:spacing w:line="240" w:lineRule="auto" w:before="4"/>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714"/>
        <w:gridCol w:w="1714"/>
        <w:gridCol w:w="1714"/>
        <w:gridCol w:w="1711"/>
        <w:gridCol w:w="1714"/>
      </w:tblGrid>
      <w:tr>
        <w:trPr>
          <w:trHeight w:val="454" w:hRule="exact"/>
        </w:trPr>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right="667"/>
              <w:jc w:val="right"/>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2008-12-31</w:t>
            </w:r>
          </w:p>
        </w:tc>
        <w:tc>
          <w:tcPr>
            <w:tcW w:w="1714"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40"/>
              <w:ind w:left="4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1"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40"/>
              <w:ind w:left="4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2009-12-31</w:t>
            </w:r>
          </w:p>
        </w:tc>
      </w:tr>
      <w:tr>
        <w:trPr>
          <w:trHeight w:val="456" w:hRule="exact"/>
        </w:trPr>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83,956,076.47</w:t>
            </w:r>
          </w:p>
        </w:tc>
        <w:tc>
          <w:tcPr>
            <w:tcW w:w="1714"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16,990,000.00</w:t>
            </w:r>
          </w:p>
        </w:tc>
        <w:tc>
          <w:tcPr>
            <w:tcW w:w="1711"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14,456,155.71</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86,489,920.76</w:t>
            </w:r>
          </w:p>
        </w:tc>
      </w:tr>
      <w:tr>
        <w:trPr>
          <w:trHeight w:val="454" w:hRule="exact"/>
        </w:trPr>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85"/>
              <w:ind w:right="6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83,956,076.47</w:t>
            </w:r>
            <w:r>
              <w:rPr>
                <w:rFonts w:ascii="Times New Roman"/>
                <w:spacing w:val="-1"/>
                <w:sz w:val="18"/>
              </w:rPr>
            </w:r>
          </w:p>
        </w:tc>
        <w:tc>
          <w:tcPr>
            <w:tcW w:w="1714"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16,990,000.00</w:t>
            </w:r>
            <w:r>
              <w:rPr>
                <w:rFonts w:ascii="Times New Roman"/>
                <w:spacing w:val="-1"/>
                <w:sz w:val="18"/>
              </w:rPr>
            </w:r>
          </w:p>
        </w:tc>
        <w:tc>
          <w:tcPr>
            <w:tcW w:w="1711"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14,456,155.71</w:t>
            </w:r>
            <w:r>
              <w:rPr>
                <w:rFonts w:ascii="Times New Roman"/>
                <w:spacing w:val="-1"/>
                <w:sz w:val="18"/>
              </w:rPr>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86,489,920.76</w:t>
            </w:r>
            <w:r>
              <w:rPr>
                <w:rFonts w:ascii="Times New Roman"/>
                <w:spacing w:val="-1"/>
                <w:sz w:val="18"/>
              </w:rPr>
            </w:r>
          </w:p>
        </w:tc>
      </w:tr>
    </w:tbl>
    <w:p>
      <w:pPr>
        <w:spacing w:line="240" w:lineRule="auto" w:before="5"/>
        <w:rPr>
          <w:rFonts w:ascii="宋体" w:hAnsi="宋体" w:cs="宋体" w:eastAsia="宋体" w:hint="default"/>
          <w:sz w:val="17"/>
          <w:szCs w:val="17"/>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专项应付款主要项目情况如下：</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268"/>
        <w:gridCol w:w="1536"/>
        <w:gridCol w:w="1538"/>
        <w:gridCol w:w="1538"/>
        <w:gridCol w:w="1685"/>
      </w:tblGrid>
      <w:tr>
        <w:trPr>
          <w:trHeight w:val="415"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2008-12-31</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40"/>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40"/>
              <w:ind w:left="40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2009-12-31</w:t>
            </w:r>
          </w:p>
        </w:tc>
      </w:tr>
      <w:tr>
        <w:trPr>
          <w:trHeight w:val="415"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南昌农批信息化与检验检测</w:t>
            </w:r>
          </w:p>
        </w:tc>
        <w:tc>
          <w:tcPr>
            <w:tcW w:w="15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4,500,000.00</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15"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农牧实业农综现代化资金</w:t>
            </w:r>
          </w:p>
        </w:tc>
        <w:tc>
          <w:tcPr>
            <w:tcW w:w="15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4,810,000.00</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4,810,000.00</w:t>
            </w:r>
          </w:p>
        </w:tc>
      </w:tr>
      <w:tr>
        <w:trPr>
          <w:trHeight w:val="415"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紫金猪场农综产业化项目</w:t>
            </w:r>
          </w:p>
        </w:tc>
        <w:tc>
          <w:tcPr>
            <w:tcW w:w="15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6,750,000.00</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6,750,000.00</w:t>
            </w:r>
          </w:p>
        </w:tc>
      </w:tr>
      <w:tr>
        <w:trPr>
          <w:trHeight w:val="415"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美益肉业地质处理工程</w:t>
            </w:r>
          </w:p>
        </w:tc>
        <w:tc>
          <w:tcPr>
            <w:tcW w:w="15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15,701,000.00</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15,701,000.00</w:t>
            </w:r>
          </w:p>
        </w:tc>
      </w:tr>
      <w:tr>
        <w:trPr>
          <w:trHeight w:val="415"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美益肉业三通一平专项资金</w:t>
            </w:r>
          </w:p>
        </w:tc>
        <w:tc>
          <w:tcPr>
            <w:tcW w:w="15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614"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304" w:lineRule="auto" w:before="37"/>
              <w:ind w:left="24" w:right="34"/>
              <w:jc w:val="left"/>
              <w:rPr>
                <w:rFonts w:ascii="宋体" w:hAnsi="宋体" w:cs="宋体" w:eastAsia="宋体" w:hint="default"/>
                <w:sz w:val="18"/>
                <w:szCs w:val="18"/>
              </w:rPr>
            </w:pPr>
            <w:r>
              <w:rPr>
                <w:rFonts w:ascii="宋体" w:hAnsi="宋体" w:cs="宋体" w:eastAsia="宋体" w:hint="default"/>
                <w:spacing w:val="2"/>
                <w:sz w:val="18"/>
                <w:szCs w:val="18"/>
              </w:rPr>
              <w:t>深圳市主要农产品生产基地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建设扶持资金</w:t>
            </w:r>
          </w:p>
        </w:tc>
        <w:tc>
          <w:tcPr>
            <w:tcW w:w="15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12,302,155.00</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2,436,885.98</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9,865,269.02</w:t>
            </w:r>
          </w:p>
        </w:tc>
      </w:tr>
      <w:tr>
        <w:trPr>
          <w:trHeight w:val="614"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304" w:lineRule="auto" w:before="37"/>
              <w:ind w:left="24" w:right="34"/>
              <w:jc w:val="left"/>
              <w:rPr>
                <w:rFonts w:ascii="宋体" w:hAnsi="宋体" w:cs="宋体" w:eastAsia="宋体" w:hint="default"/>
                <w:sz w:val="18"/>
                <w:szCs w:val="18"/>
              </w:rPr>
            </w:pPr>
            <w:r>
              <w:rPr>
                <w:rFonts w:ascii="宋体" w:hAnsi="宋体" w:cs="宋体" w:eastAsia="宋体" w:hint="default"/>
                <w:spacing w:val="2"/>
                <w:sz w:val="18"/>
                <w:szCs w:val="18"/>
              </w:rPr>
              <w:t>深圳市基本农田改造试点建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设扶持资金</w:t>
            </w:r>
          </w:p>
        </w:tc>
        <w:tc>
          <w:tcPr>
            <w:tcW w:w="153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4,840,000.00</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3,780.00</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4,836,220.00</w:t>
            </w:r>
          </w:p>
        </w:tc>
      </w:tr>
    </w:tbl>
    <w:p>
      <w:pPr>
        <w:spacing w:after="0" w:line="240" w:lineRule="auto"/>
        <w:jc w:val="right"/>
        <w:rPr>
          <w:rFonts w:ascii="Times New Roman" w:hAnsi="Times New Roman" w:cs="Times New Roman" w:eastAsia="Times New Roman" w:hint="default"/>
          <w:sz w:val="18"/>
          <w:szCs w:val="18"/>
        </w:rPr>
        <w:sectPr>
          <w:footerReference w:type="default" r:id="rId170"/>
          <w:pgSz w:w="11910" w:h="16840"/>
          <w:pgMar w:footer="897" w:header="0" w:top="1640" w:bottom="1080" w:left="1560" w:right="1540"/>
          <w:pgNumType w:start="170"/>
        </w:sectPr>
      </w:pPr>
    </w:p>
    <w:p>
      <w:pPr>
        <w:spacing w:line="240" w:lineRule="auto" w:before="13"/>
        <w:rPr>
          <w:rFonts w:ascii="宋体" w:hAnsi="宋体" w:cs="宋体" w:eastAsia="宋体" w:hint="default"/>
          <w:sz w:val="15"/>
          <w:szCs w:val="15"/>
        </w:rPr>
      </w:pPr>
    </w:p>
    <w:tbl>
      <w:tblPr>
        <w:tblW w:w="0" w:type="auto"/>
        <w:jc w:val="left"/>
        <w:tblInd w:w="180" w:type="dxa"/>
        <w:tblLayout w:type="fixed"/>
        <w:tblCellMar>
          <w:top w:w="0" w:type="dxa"/>
          <w:left w:w="0" w:type="dxa"/>
          <w:bottom w:w="0" w:type="dxa"/>
          <w:right w:w="0" w:type="dxa"/>
        </w:tblCellMar>
        <w:tblLook w:val="01E0"/>
      </w:tblPr>
      <w:tblGrid>
        <w:gridCol w:w="2268"/>
        <w:gridCol w:w="1538"/>
        <w:gridCol w:w="1538"/>
        <w:gridCol w:w="1538"/>
        <w:gridCol w:w="1685"/>
      </w:tblGrid>
      <w:tr>
        <w:trPr>
          <w:trHeight w:val="614"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304" w:lineRule="auto" w:before="37"/>
              <w:ind w:left="26" w:right="31"/>
              <w:jc w:val="left"/>
              <w:rPr>
                <w:rFonts w:ascii="宋体" w:hAnsi="宋体" w:cs="宋体" w:eastAsia="宋体" w:hint="default"/>
                <w:sz w:val="18"/>
                <w:szCs w:val="18"/>
              </w:rPr>
            </w:pPr>
            <w:r>
              <w:rPr>
                <w:rFonts w:ascii="宋体" w:hAnsi="宋体" w:cs="宋体" w:eastAsia="宋体" w:hint="default"/>
                <w:spacing w:val="2"/>
                <w:sz w:val="18"/>
                <w:szCs w:val="18"/>
              </w:rPr>
              <w:t>益民食品豆制品基地填土专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项资金</w:t>
            </w:r>
          </w:p>
        </w:tc>
        <w:tc>
          <w:tcPr>
            <w:tcW w:w="1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13,000,000.00</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15"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西安摩尔财政局预算资金</w:t>
            </w:r>
          </w:p>
        </w:tc>
        <w:tc>
          <w:tcPr>
            <w:tcW w:w="1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15" w:hRule="exact"/>
        </w:trPr>
        <w:tc>
          <w:tcPr>
            <w:tcW w:w="226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8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3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70,403,155.00</w:t>
            </w:r>
            <w:r>
              <w:rPr>
                <w:rFonts w:ascii="Times New Roman"/>
                <w:spacing w:val="-1"/>
                <w:sz w:val="18"/>
              </w:rPr>
            </w:r>
          </w:p>
        </w:tc>
        <w:tc>
          <w:tcPr>
            <w:tcW w:w="1538"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4,500,000.00</w:t>
            </w:r>
            <w:r>
              <w:rPr>
                <w:rFonts w:ascii="Times New Roman"/>
                <w:spacing w:val="-1"/>
                <w:sz w:val="18"/>
              </w:rPr>
            </w:r>
          </w:p>
        </w:tc>
        <w:tc>
          <w:tcPr>
            <w:tcW w:w="1538"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2,440,665.98</w:t>
            </w:r>
            <w:r>
              <w:rPr>
                <w:rFonts w:ascii="Times New Roman"/>
                <w:spacing w:val="-1"/>
                <w:sz w:val="18"/>
              </w:rPr>
            </w:r>
          </w:p>
        </w:tc>
        <w:tc>
          <w:tcPr>
            <w:tcW w:w="168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72,462,489.02</w:t>
            </w:r>
            <w:r>
              <w:rPr>
                <w:rFonts w:ascii="Times New Roman"/>
                <w:spacing w:val="-1"/>
                <w:sz w:val="18"/>
              </w:rPr>
            </w:r>
          </w:p>
        </w:tc>
      </w:tr>
    </w:tbl>
    <w:p>
      <w:pPr>
        <w:spacing w:line="240" w:lineRule="auto" w:before="8"/>
        <w:rPr>
          <w:rFonts w:ascii="宋体" w:hAnsi="宋体" w:cs="宋体" w:eastAsia="宋体" w:hint="default"/>
          <w:sz w:val="16"/>
          <w:szCs w:val="16"/>
        </w:rPr>
      </w:pPr>
    </w:p>
    <w:p>
      <w:pPr>
        <w:spacing w:before="38"/>
        <w:ind w:left="641" w:right="9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af)</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预计负债</w:t>
      </w:r>
    </w:p>
    <w:p>
      <w:pPr>
        <w:spacing w:line="240" w:lineRule="auto" w:before="7"/>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1716"/>
        <w:gridCol w:w="1714"/>
        <w:gridCol w:w="1714"/>
        <w:gridCol w:w="1711"/>
        <w:gridCol w:w="1714"/>
      </w:tblGrid>
      <w:tr>
        <w:trPr>
          <w:trHeight w:val="454" w:hRule="exact"/>
        </w:trPr>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2008-12-31</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4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0"/>
              <w:ind w:left="4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2009-12-31</w:t>
            </w:r>
          </w:p>
        </w:tc>
      </w:tr>
      <w:tr>
        <w:trPr>
          <w:trHeight w:val="456" w:hRule="exact"/>
        </w:trPr>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5"/>
              <w:ind w:left="26"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65,000,000.00</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56" w:hRule="exact"/>
        </w:trPr>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45"/>
              <w:ind w:left="26"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8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4,000,000.00</w:t>
            </w:r>
            <w:r>
              <w:rPr>
                <w:rFonts w:ascii="Times New Roman"/>
                <w:spacing w:val="-1"/>
                <w:sz w:val="18"/>
              </w:rPr>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65,000,000.00</w:t>
            </w:r>
            <w:r>
              <w:rPr>
                <w:rFonts w:ascii="Times New Roman"/>
                <w:spacing w:val="-1"/>
                <w:sz w:val="18"/>
              </w:rPr>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4,000,000.00</w:t>
            </w:r>
            <w:r>
              <w:rPr>
                <w:rFonts w:ascii="Times New Roman"/>
                <w:spacing w:val="-1"/>
                <w:sz w:val="18"/>
              </w:rPr>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65,000,000.00</w:t>
            </w:r>
            <w:r>
              <w:rPr>
                <w:rFonts w:ascii="Times New Roman"/>
                <w:spacing w:val="-1"/>
                <w:sz w:val="18"/>
              </w:rPr>
            </w:r>
          </w:p>
        </w:tc>
      </w:tr>
    </w:tbl>
    <w:p>
      <w:pPr>
        <w:spacing w:line="240" w:lineRule="auto" w:before="5"/>
        <w:rPr>
          <w:rFonts w:ascii="宋体" w:hAnsi="宋体" w:cs="宋体" w:eastAsia="宋体" w:hint="default"/>
          <w:sz w:val="17"/>
          <w:szCs w:val="17"/>
        </w:rPr>
      </w:pPr>
    </w:p>
    <w:p>
      <w:pPr>
        <w:spacing w:line="384" w:lineRule="auto" w:before="0"/>
        <w:ind w:left="221" w:right="953" w:firstLine="420"/>
        <w:jc w:val="left"/>
        <w:rPr>
          <w:rFonts w:ascii="宋体" w:hAnsi="宋体" w:cs="宋体" w:eastAsia="宋体" w:hint="default"/>
          <w:sz w:val="21"/>
          <w:szCs w:val="21"/>
        </w:rPr>
      </w:pPr>
      <w:r>
        <w:rPr>
          <w:rFonts w:ascii="宋体" w:hAnsi="宋体" w:cs="宋体" w:eastAsia="宋体" w:hint="default"/>
          <w:spacing w:val="-5"/>
          <w:w w:val="100"/>
          <w:sz w:val="21"/>
          <w:szCs w:val="21"/>
        </w:rPr>
        <w:t>本期增加系预计对深圳市民润农产品配送连锁商业有限公司银行借款提供担保的损失，详</w:t>
      </w:r>
      <w:r>
        <w:rPr>
          <w:rFonts w:ascii="宋体" w:hAnsi="宋体" w:cs="宋体" w:eastAsia="宋体" w:hint="default"/>
          <w:w w:val="100"/>
          <w:sz w:val="21"/>
          <w:szCs w:val="21"/>
        </w:rPr>
        <w:t> </w:t>
      </w:r>
      <w:r>
        <w:rPr>
          <w:rFonts w:ascii="宋体" w:hAnsi="宋体" w:cs="宋体" w:eastAsia="宋体" w:hint="default"/>
          <w:sz w:val="21"/>
          <w:szCs w:val="21"/>
        </w:rPr>
        <w:t>细说明见附注十。</w:t>
      </w:r>
    </w:p>
    <w:p>
      <w:pPr>
        <w:spacing w:line="372" w:lineRule="auto" w:before="40"/>
        <w:ind w:left="221" w:right="1015" w:firstLine="420"/>
        <w:jc w:val="both"/>
        <w:rPr>
          <w:rFonts w:ascii="宋体" w:hAnsi="宋体" w:cs="宋体" w:eastAsia="宋体" w:hint="default"/>
          <w:sz w:val="21"/>
          <w:szCs w:val="21"/>
        </w:rPr>
      </w:pPr>
      <w:r>
        <w:rPr>
          <w:rFonts w:ascii="宋体" w:hAnsi="宋体" w:cs="宋体" w:eastAsia="宋体" w:hint="default"/>
          <w:spacing w:val="-5"/>
          <w:w w:val="100"/>
          <w:sz w:val="21"/>
          <w:szCs w:val="21"/>
        </w:rPr>
        <w:t>本期减少系因青岛青联股份有限公司无力偿还青岛银行借款，本公司本期与青岛银行营业</w:t>
      </w:r>
      <w:r>
        <w:rPr>
          <w:rFonts w:ascii="宋体" w:hAnsi="宋体" w:cs="宋体" w:eastAsia="宋体" w:hint="default"/>
          <w:w w:val="100"/>
          <w:sz w:val="21"/>
          <w:szCs w:val="21"/>
        </w:rPr>
        <w:t> </w:t>
      </w:r>
      <w:r>
        <w:rPr>
          <w:rFonts w:ascii="宋体" w:hAnsi="宋体" w:cs="宋体" w:eastAsia="宋体" w:hint="default"/>
          <w:spacing w:val="-5"/>
          <w:w w:val="100"/>
          <w:sz w:val="21"/>
          <w:szCs w:val="21"/>
        </w:rPr>
        <w:t>部、青岛青联股份有限公司签订了《代为偿还贷款协议》，本公司代青联公司偿还了</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400</w:t>
      </w:r>
      <w:r>
        <w:rPr>
          <w:rFonts w:ascii="Times New Roman" w:hAnsi="Times New Roman" w:cs="Times New Roman" w:eastAsia="Times New Roman" w:hint="default"/>
          <w:spacing w:val="8"/>
          <w:w w:val="100"/>
          <w:sz w:val="21"/>
          <w:szCs w:val="21"/>
        </w:rPr>
        <w:t> </w:t>
      </w:r>
      <w:r>
        <w:rPr>
          <w:rFonts w:ascii="宋体" w:hAnsi="宋体" w:cs="宋体" w:eastAsia="宋体" w:hint="default"/>
          <w:w w:val="100"/>
          <w:sz w:val="21"/>
          <w:szCs w:val="21"/>
        </w:rPr>
        <w:t>万元</w:t>
      </w:r>
      <w:r>
        <w:rPr>
          <w:rFonts w:ascii="宋体" w:hAnsi="宋体" w:cs="宋体" w:eastAsia="宋体" w:hint="default"/>
          <w:spacing w:val="-102"/>
          <w:w w:val="100"/>
          <w:sz w:val="21"/>
          <w:szCs w:val="21"/>
        </w:rPr>
        <w:t> </w:t>
      </w:r>
      <w:r>
        <w:rPr>
          <w:rFonts w:ascii="宋体" w:hAnsi="宋体" w:cs="宋体" w:eastAsia="宋体" w:hint="default"/>
          <w:sz w:val="21"/>
          <w:szCs w:val="21"/>
        </w:rPr>
        <w:t>借款及其利息，担保责任解除。</w:t>
      </w:r>
    </w:p>
    <w:p>
      <w:pPr>
        <w:spacing w:line="240" w:lineRule="auto" w:before="1"/>
        <w:rPr>
          <w:rFonts w:ascii="宋体" w:hAnsi="宋体" w:cs="宋体" w:eastAsia="宋体" w:hint="default"/>
          <w:sz w:val="15"/>
          <w:szCs w:val="15"/>
        </w:rPr>
      </w:pPr>
    </w:p>
    <w:p>
      <w:pPr>
        <w:spacing w:before="0"/>
        <w:ind w:left="641" w:right="9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ag)</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其它非流动负债</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44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right="1320"/>
              <w:jc w:val="right"/>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2009-12-31</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2008-12-31</w:t>
            </w:r>
          </w:p>
        </w:tc>
      </w:tr>
      <w:tr>
        <w:trPr>
          <w:trHeight w:val="451"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5" w:right="0"/>
              <w:jc w:val="left"/>
              <w:rPr>
                <w:rFonts w:ascii="宋体" w:hAnsi="宋体" w:cs="宋体" w:eastAsia="宋体" w:hint="default"/>
                <w:sz w:val="18"/>
                <w:szCs w:val="18"/>
              </w:rPr>
            </w:pPr>
            <w:r>
              <w:rPr>
                <w:rFonts w:ascii="宋体" w:hAnsi="宋体" w:cs="宋体" w:eastAsia="宋体" w:hint="default"/>
                <w:sz w:val="18"/>
                <w:szCs w:val="18"/>
              </w:rPr>
              <w:t>递延租金</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11,752,232.48</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23,063,705.80</w:t>
            </w:r>
          </w:p>
        </w:tc>
      </w:tr>
      <w:tr>
        <w:trPr>
          <w:trHeight w:val="44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137,177,216.43</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126,424,359.96</w:t>
            </w:r>
          </w:p>
        </w:tc>
      </w:tr>
      <w:tr>
        <w:trPr>
          <w:trHeight w:val="451"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2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148,929,448.91</w:t>
            </w:r>
            <w:r>
              <w:rPr>
                <w:rFonts w:ascii="Times New Roman"/>
                <w:spacing w:val="-1"/>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149,488,065.76</w:t>
            </w:r>
            <w:r>
              <w:rPr>
                <w:rFonts w:ascii="Times New Roman"/>
                <w:spacing w:val="-1"/>
                <w:sz w:val="18"/>
              </w:rPr>
            </w:r>
          </w:p>
        </w:tc>
      </w:tr>
    </w:tbl>
    <w:p>
      <w:pPr>
        <w:spacing w:before="141"/>
        <w:ind w:left="221" w:right="95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）递延收益本期末比上期末增加</w:t>
      </w:r>
      <w:r>
        <w:rPr>
          <w:rFonts w:ascii="宋体" w:hAnsi="宋体" w:cs="宋体" w:eastAsia="宋体" w:hint="default"/>
          <w:spacing w:val="19"/>
          <w:sz w:val="21"/>
          <w:szCs w:val="21"/>
        </w:rPr>
        <w:t> </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，主要系收到的计入递延收益的政府补助增加所致。</w:t>
      </w:r>
    </w:p>
    <w:p>
      <w:pPr>
        <w:spacing w:line="240" w:lineRule="auto" w:before="7"/>
        <w:rPr>
          <w:rFonts w:ascii="宋体" w:hAnsi="宋体" w:cs="宋体" w:eastAsia="宋体" w:hint="default"/>
          <w:sz w:val="20"/>
          <w:szCs w:val="20"/>
        </w:rPr>
      </w:pPr>
    </w:p>
    <w:p>
      <w:pPr>
        <w:spacing w:before="0"/>
        <w:ind w:left="221" w:right="95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）递延租金系收取的批发市场长期租金，按租赁期限平均计入营业收入。</w:t>
      </w:r>
    </w:p>
    <w:p>
      <w:pPr>
        <w:spacing w:line="240" w:lineRule="auto" w:before="9"/>
        <w:rPr>
          <w:rFonts w:ascii="宋体" w:hAnsi="宋体" w:cs="宋体" w:eastAsia="宋体" w:hint="default"/>
          <w:sz w:val="22"/>
          <w:szCs w:val="22"/>
        </w:rPr>
      </w:pPr>
    </w:p>
    <w:p>
      <w:pPr>
        <w:spacing w:before="0"/>
        <w:ind w:left="641" w:right="9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ah)</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股本</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306"/>
        <w:gridCol w:w="1342"/>
        <w:gridCol w:w="1565"/>
        <w:gridCol w:w="1426"/>
        <w:gridCol w:w="1409"/>
        <w:gridCol w:w="1464"/>
      </w:tblGrid>
      <w:tr>
        <w:trPr>
          <w:trHeight w:val="451" w:hRule="exact"/>
        </w:trPr>
        <w:tc>
          <w:tcPr>
            <w:tcW w:w="2306"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2008-12-31</w:t>
            </w:r>
          </w:p>
        </w:tc>
        <w:tc>
          <w:tcPr>
            <w:tcW w:w="4399"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4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2009-12-31</w:t>
            </w:r>
          </w:p>
        </w:tc>
      </w:tr>
      <w:tr>
        <w:trPr>
          <w:trHeight w:val="449" w:hRule="exact"/>
        </w:trPr>
        <w:tc>
          <w:tcPr>
            <w:tcW w:w="2306" w:type="dxa"/>
            <w:vMerge/>
            <w:tcBorders>
              <w:left w:val="single" w:sz="4" w:space="0" w:color="000008"/>
              <w:bottom w:val="single" w:sz="4" w:space="0" w:color="000008"/>
              <w:right w:val="single" w:sz="4" w:space="0" w:color="000008"/>
            </w:tcBorders>
          </w:tcPr>
          <w:p>
            <w:pPr/>
          </w:p>
        </w:tc>
        <w:tc>
          <w:tcPr>
            <w:tcW w:w="1342" w:type="dxa"/>
            <w:vMerge/>
            <w:tcBorders>
              <w:left w:val="single" w:sz="4" w:space="0" w:color="000008"/>
              <w:bottom w:val="single" w:sz="4" w:space="0" w:color="000008"/>
              <w:right w:val="single" w:sz="4" w:space="0" w:color="000008"/>
            </w:tcBorders>
          </w:tcPr>
          <w:p>
            <w:pP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64" w:type="dxa"/>
            <w:tcBorders>
              <w:top w:val="single" w:sz="4" w:space="0" w:color="000008"/>
              <w:left w:val="single" w:sz="4" w:space="0" w:color="000008"/>
              <w:bottom w:val="single" w:sz="4" w:space="0" w:color="000008"/>
              <w:right w:val="single" w:sz="4" w:space="0" w:color="000008"/>
            </w:tcBorders>
          </w:tcPr>
          <w:p>
            <w:pPr/>
          </w:p>
        </w:tc>
      </w:tr>
      <w:tr>
        <w:trPr>
          <w:trHeight w:val="451" w:hRule="exact"/>
        </w:trPr>
        <w:tc>
          <w:tcPr>
            <w:tcW w:w="23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97,269,424.00</w:t>
            </w: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68,088,597.00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68,088,597.00</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165,358,021.00</w:t>
            </w:r>
          </w:p>
        </w:tc>
      </w:tr>
      <w:tr>
        <w:trPr>
          <w:trHeight w:val="449" w:hRule="exact"/>
        </w:trPr>
        <w:tc>
          <w:tcPr>
            <w:tcW w:w="23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25,200,000.00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25,200,000.00</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61,200,000.00</w:t>
            </w:r>
          </w:p>
        </w:tc>
      </w:tr>
      <w:tr>
        <w:trPr>
          <w:trHeight w:val="451" w:hRule="exact"/>
        </w:trPr>
        <w:tc>
          <w:tcPr>
            <w:tcW w:w="23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、境内法人持股</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28,400,000.00</w:t>
            </w: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19,880,000.00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19,880,000.00</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48,280,000.00</w:t>
            </w:r>
          </w:p>
        </w:tc>
      </w:tr>
      <w:tr>
        <w:trPr>
          <w:trHeight w:val="449" w:hRule="exact"/>
        </w:trPr>
        <w:tc>
          <w:tcPr>
            <w:tcW w:w="23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、境内自然人持股</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26,569,348.00</w:t>
            </w: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18,598,543.00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-29,023,721.00</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-10,425,178.00</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16,144,170.00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480" w:right="680"/>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306"/>
        <w:gridCol w:w="1342"/>
        <w:gridCol w:w="1565"/>
        <w:gridCol w:w="1426"/>
        <w:gridCol w:w="1409"/>
        <w:gridCol w:w="1464"/>
      </w:tblGrid>
      <w:tr>
        <w:trPr>
          <w:trHeight w:val="449" w:hRule="exact"/>
        </w:trPr>
        <w:tc>
          <w:tcPr>
            <w:tcW w:w="23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有限售条件股份合计</w:t>
            </w:r>
            <w:r>
              <w:rPr>
                <w:rFonts w:ascii="Microsoft JhengHei" w:hAnsi="Microsoft JhengHei" w:cs="Microsoft JhengHei" w:eastAsia="Microsoft JhengHei" w:hint="default"/>
                <w:sz w:val="18"/>
                <w:szCs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b/>
                <w:sz w:val="18"/>
              </w:rPr>
              <w:t>188,238,772.00</w:t>
            </w:r>
            <w:r>
              <w:rPr>
                <w:rFonts w:ascii="Times New Roman"/>
                <w:sz w:val="18"/>
              </w:rPr>
            </w: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131,767,140.00</w:t>
            </w:r>
            <w:r>
              <w:rPr>
                <w:rFonts w:ascii="Times New Roman"/>
                <w:spacing w:val="-1"/>
                <w:sz w:val="18"/>
              </w:rPr>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-29,023,721.00</w:t>
            </w:r>
            <w:r>
              <w:rPr>
                <w:rFonts w:ascii="Times New Roman"/>
                <w:spacing w:val="-1"/>
                <w:sz w:val="18"/>
              </w:rPr>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102,743,419.00</w:t>
            </w:r>
            <w:r>
              <w:rPr>
                <w:rFonts w:ascii="Times New Roman"/>
                <w:spacing w:val="-1"/>
                <w:sz w:val="18"/>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290,982,191.00</w:t>
            </w:r>
            <w:r>
              <w:rPr>
                <w:rFonts w:ascii="Times New Roman"/>
                <w:spacing w:val="-1"/>
                <w:sz w:val="18"/>
              </w:rPr>
            </w:r>
          </w:p>
        </w:tc>
      </w:tr>
      <w:tr>
        <w:trPr>
          <w:trHeight w:val="451" w:hRule="exact"/>
        </w:trPr>
        <w:tc>
          <w:tcPr>
            <w:tcW w:w="23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境内上市人民币普通股</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263,824,670.00</w:t>
            </w: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184,677,269.00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29,023,721.00</w:t>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213,700,990.00</w:t>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477,525,660.00</w:t>
            </w:r>
          </w:p>
        </w:tc>
      </w:tr>
      <w:tr>
        <w:trPr>
          <w:trHeight w:val="449" w:hRule="exact"/>
        </w:trPr>
        <w:tc>
          <w:tcPr>
            <w:tcW w:w="23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无限售条件股份合计</w:t>
            </w:r>
            <w:r>
              <w:rPr>
                <w:rFonts w:ascii="Microsoft JhengHei" w:hAnsi="Microsoft JhengHei" w:cs="Microsoft JhengHei" w:eastAsia="Microsoft JhengHei" w:hint="default"/>
                <w:sz w:val="18"/>
                <w:szCs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b/>
                <w:sz w:val="18"/>
              </w:rPr>
              <w:t>263,824,670.00</w:t>
            </w:r>
            <w:r>
              <w:rPr>
                <w:rFonts w:ascii="Times New Roman"/>
                <w:sz w:val="18"/>
              </w:rPr>
            </w: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184,677,269.00</w:t>
            </w:r>
            <w:r>
              <w:rPr>
                <w:rFonts w:ascii="Times New Roman"/>
                <w:spacing w:val="-1"/>
                <w:sz w:val="18"/>
              </w:rPr>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29,023,721.00</w:t>
            </w:r>
            <w:r>
              <w:rPr>
                <w:rFonts w:ascii="Times New Roman"/>
                <w:spacing w:val="-1"/>
                <w:sz w:val="18"/>
              </w:rPr>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213,700,990.00</w:t>
            </w:r>
            <w:r>
              <w:rPr>
                <w:rFonts w:ascii="Times New Roman"/>
                <w:spacing w:val="-1"/>
                <w:sz w:val="18"/>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477,525,660.00</w:t>
            </w:r>
            <w:r>
              <w:rPr>
                <w:rFonts w:ascii="Times New Roman"/>
                <w:spacing w:val="-1"/>
                <w:sz w:val="18"/>
              </w:rPr>
            </w:r>
          </w:p>
        </w:tc>
      </w:tr>
      <w:tr>
        <w:trPr>
          <w:trHeight w:val="451" w:hRule="exact"/>
        </w:trPr>
        <w:tc>
          <w:tcPr>
            <w:tcW w:w="23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b/>
                <w:sz w:val="18"/>
              </w:rPr>
              <w:t>452,063,442.00</w:t>
            </w:r>
            <w:r>
              <w:rPr>
                <w:rFonts w:ascii="Times New Roman"/>
                <w:sz w:val="18"/>
              </w:rPr>
            </w:r>
          </w:p>
        </w:tc>
        <w:tc>
          <w:tcPr>
            <w:tcW w:w="15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316,444,409.00</w:t>
            </w:r>
            <w:r>
              <w:rPr>
                <w:rFonts w:ascii="Times New Roman"/>
                <w:spacing w:val="-1"/>
                <w:sz w:val="18"/>
              </w:rPr>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316,444,409.00</w:t>
            </w:r>
            <w:r>
              <w:rPr>
                <w:rFonts w:ascii="Times New Roman"/>
                <w:spacing w:val="-1"/>
                <w:sz w:val="18"/>
              </w:rPr>
            </w:r>
          </w:p>
        </w:tc>
        <w:tc>
          <w:tcPr>
            <w:tcW w:w="14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768,507,851.00</w:t>
            </w:r>
            <w:r>
              <w:rPr>
                <w:rFonts w:ascii="Times New Roman"/>
                <w:spacing w:val="-1"/>
                <w:sz w:val="18"/>
              </w:rPr>
            </w:r>
          </w:p>
        </w:tc>
      </w:tr>
    </w:tbl>
    <w:p>
      <w:pPr>
        <w:spacing w:line="240" w:lineRule="auto" w:before="6"/>
        <w:rPr>
          <w:rFonts w:ascii="宋体" w:hAnsi="宋体" w:cs="宋体" w:eastAsia="宋体" w:hint="default"/>
          <w:sz w:val="7"/>
          <w:szCs w:val="7"/>
        </w:rPr>
      </w:pPr>
    </w:p>
    <w:p>
      <w:pPr>
        <w:spacing w:before="36"/>
        <w:ind w:left="641" w:right="953"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年度股东大会审议通过的利润分配方案中，以</w:t>
      </w:r>
    </w:p>
    <w:p>
      <w:pPr>
        <w:spacing w:before="148"/>
        <w:ind w:left="221" w:right="953"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年末总股本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452,063,442</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股为基数，以资本公积金向全体股东每</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股转增</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宋体" w:hAnsi="宋体" w:cs="宋体" w:eastAsia="宋体" w:hint="default"/>
          <w:spacing w:val="-56"/>
          <w:sz w:val="21"/>
          <w:szCs w:val="21"/>
        </w:rPr>
        <w:t> </w:t>
      </w:r>
      <w:r>
        <w:rPr>
          <w:rFonts w:ascii="宋体" w:hAnsi="宋体" w:cs="宋体" w:eastAsia="宋体" w:hint="default"/>
          <w:sz w:val="21"/>
          <w:szCs w:val="21"/>
        </w:rPr>
        <w:t>。</w:t>
      </w:r>
    </w:p>
    <w:p>
      <w:pPr>
        <w:spacing w:before="151"/>
        <w:ind w:left="221" w:right="95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转增事项已于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日实施。该事项业经深圳南方民和会计师事务所深南验字</w:t>
      </w:r>
      <w:r>
        <w:rPr>
          <w:rFonts w:ascii="Times New Roman" w:hAnsi="Times New Roman" w:cs="Times New Roman" w:eastAsia="Times New Roman" w:hint="default"/>
          <w:sz w:val="21"/>
          <w:szCs w:val="21"/>
        </w:rPr>
        <w:t>(2009)</w:t>
      </w:r>
    </w:p>
    <w:p>
      <w:pPr>
        <w:spacing w:before="148"/>
        <w:ind w:left="221" w:right="953" w:firstLine="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号验资报告验证。</w:t>
      </w:r>
    </w:p>
    <w:p>
      <w:pPr>
        <w:spacing w:line="240" w:lineRule="auto" w:before="1"/>
        <w:rPr>
          <w:rFonts w:ascii="宋体" w:hAnsi="宋体" w:cs="宋体" w:eastAsia="宋体" w:hint="default"/>
          <w:sz w:val="25"/>
          <w:szCs w:val="25"/>
        </w:rPr>
      </w:pPr>
    </w:p>
    <w:p>
      <w:pPr>
        <w:spacing w:before="0"/>
        <w:ind w:left="641" w:right="9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ai)</w:t>
      </w:r>
      <w:r>
        <w:rPr>
          <w:rFonts w:ascii="宋体" w:hAnsi="宋体" w:cs="宋体" w:eastAsia="宋体" w:hint="default"/>
          <w:sz w:val="21"/>
          <w:szCs w:val="21"/>
        </w:rPr>
        <w:t>资本公积</w:t>
      </w:r>
    </w:p>
    <w:p>
      <w:pPr>
        <w:spacing w:line="240" w:lineRule="auto" w:before="4"/>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189"/>
        <w:gridCol w:w="1594"/>
        <w:gridCol w:w="1454"/>
        <w:gridCol w:w="1567"/>
        <w:gridCol w:w="1639"/>
      </w:tblGrid>
      <w:tr>
        <w:trPr>
          <w:trHeight w:val="449" w:hRule="exact"/>
        </w:trPr>
        <w:tc>
          <w:tcPr>
            <w:tcW w:w="21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2008-12-31</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2009-12-31</w:t>
            </w:r>
          </w:p>
        </w:tc>
      </w:tr>
      <w:tr>
        <w:trPr>
          <w:trHeight w:val="451" w:hRule="exact"/>
        </w:trPr>
        <w:tc>
          <w:tcPr>
            <w:tcW w:w="21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资本溢价（股本溢价）</w:t>
            </w:r>
            <w:r>
              <w:rPr>
                <w:rFonts w:ascii="Times New Roman" w:hAnsi="Times New Roman" w:cs="Times New Roman" w:eastAsia="Times New Roman" w:hint="default"/>
                <w:sz w:val="18"/>
                <w:szCs w:val="18"/>
              </w:rPr>
              <w:t>*1</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1,810,855,641.88</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316,444,409.00</w:t>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1,494,411,232.88</w:t>
            </w:r>
          </w:p>
        </w:tc>
      </w:tr>
      <w:tr>
        <w:trPr>
          <w:trHeight w:val="449" w:hRule="exact"/>
        </w:trPr>
        <w:tc>
          <w:tcPr>
            <w:tcW w:w="21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*2</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129,784,769.34</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26,295,163.58</w:t>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730,834.78</w:t>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155,349,098.14</w:t>
            </w:r>
          </w:p>
        </w:tc>
      </w:tr>
      <w:tr>
        <w:trPr>
          <w:trHeight w:val="451" w:hRule="exact"/>
        </w:trPr>
        <w:tc>
          <w:tcPr>
            <w:tcW w:w="21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原制度资本公积转入</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1,961,242.28</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1,961,242.28</w:t>
            </w:r>
          </w:p>
        </w:tc>
      </w:tr>
      <w:tr>
        <w:trPr>
          <w:trHeight w:val="449" w:hRule="exact"/>
        </w:trPr>
        <w:tc>
          <w:tcPr>
            <w:tcW w:w="21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1,942,601,653.50</w:t>
            </w:r>
            <w:r>
              <w:rPr>
                <w:rFonts w:ascii="Times New Roman"/>
                <w:spacing w:val="-1"/>
                <w:sz w:val="18"/>
              </w:rPr>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26,295,163.58</w:t>
            </w:r>
            <w:r>
              <w:rPr>
                <w:rFonts w:ascii="Times New Roman"/>
                <w:spacing w:val="-1"/>
                <w:sz w:val="18"/>
              </w:rPr>
            </w:r>
          </w:p>
        </w:tc>
        <w:tc>
          <w:tcPr>
            <w:tcW w:w="15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317,175,243.78</w:t>
            </w:r>
            <w:r>
              <w:rPr>
                <w:rFonts w:ascii="Times New Roman"/>
                <w:spacing w:val="-1"/>
                <w:sz w:val="18"/>
              </w:rPr>
            </w:r>
          </w:p>
        </w:tc>
        <w:tc>
          <w:tcPr>
            <w:tcW w:w="16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1,651,721,573.30</w:t>
            </w:r>
            <w:r>
              <w:rPr>
                <w:rFonts w:ascii="Times New Roman"/>
                <w:spacing w:val="-1"/>
                <w:sz w:val="18"/>
              </w:rPr>
            </w:r>
          </w:p>
        </w:tc>
      </w:tr>
    </w:tbl>
    <w:p>
      <w:pPr>
        <w:spacing w:line="240" w:lineRule="auto" w:before="13"/>
        <w:rPr>
          <w:rFonts w:ascii="宋体" w:hAnsi="宋体" w:cs="宋体" w:eastAsia="宋体" w:hint="default"/>
          <w:sz w:val="23"/>
          <w:szCs w:val="23"/>
        </w:rPr>
      </w:pPr>
    </w:p>
    <w:p>
      <w:pPr>
        <w:tabs>
          <w:tab w:pos="1061" w:val="left" w:leader="none"/>
        </w:tabs>
        <w:spacing w:before="0"/>
        <w:ind w:left="641" w:right="953"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tab/>
      </w:r>
      <w:r>
        <w:rPr>
          <w:rFonts w:ascii="宋体" w:hAnsi="宋体" w:cs="宋体" w:eastAsia="宋体" w:hint="default"/>
          <w:sz w:val="21"/>
          <w:szCs w:val="21"/>
        </w:rPr>
        <w:t>资本溢价本期减少系以资本公积金转增股本。</w:t>
      </w:r>
    </w:p>
    <w:p>
      <w:pPr>
        <w:spacing w:line="240" w:lineRule="auto" w:before="1"/>
        <w:rPr>
          <w:rFonts w:ascii="宋体" w:hAnsi="宋体" w:cs="宋体" w:eastAsia="宋体" w:hint="default"/>
          <w:sz w:val="25"/>
          <w:szCs w:val="25"/>
        </w:rPr>
      </w:pPr>
    </w:p>
    <w:p>
      <w:pPr>
        <w:spacing w:line="367" w:lineRule="auto" w:before="0"/>
        <w:ind w:left="221" w:right="1017" w:firstLine="420"/>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spacing w:val="25"/>
          <w:w w:val="100"/>
          <w:sz w:val="21"/>
          <w:szCs w:val="21"/>
        </w:rPr>
        <w:t> </w:t>
      </w:r>
      <w:r>
        <w:rPr>
          <w:rFonts w:ascii="宋体" w:hAnsi="宋体" w:cs="宋体" w:eastAsia="宋体" w:hint="default"/>
          <w:spacing w:val="-5"/>
          <w:w w:val="100"/>
          <w:sz w:val="21"/>
          <w:szCs w:val="21"/>
        </w:rPr>
        <w:t>其他资本公积本期增加包括：①子公司果菜公司转让了深圳市西岸渔人码头商业有限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股权，转让后与本公司合并持有该公司</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股权，根据财政部会计司的《关于不丧</w:t>
      </w:r>
      <w:r>
        <w:rPr>
          <w:rFonts w:ascii="宋体" w:hAnsi="宋体" w:cs="宋体" w:eastAsia="宋体" w:hint="default"/>
          <w:spacing w:val="-93"/>
          <w:sz w:val="21"/>
          <w:szCs w:val="21"/>
        </w:rPr>
        <w:t> </w:t>
      </w:r>
      <w:r>
        <w:rPr>
          <w:rFonts w:ascii="宋体" w:hAnsi="宋体" w:cs="宋体" w:eastAsia="宋体" w:hint="default"/>
          <w:spacing w:val="-5"/>
          <w:sz w:val="21"/>
          <w:szCs w:val="21"/>
        </w:rPr>
        <w:t>失控制权情况下处置部分对子公司投资会计处理的复函》之规定，在合并财务报表中处置价款</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收益列于增加资本公积（扣除所得税影响后）</w:t>
      </w:r>
      <w:r>
        <w:rPr>
          <w:rFonts w:ascii="Times New Roman" w:hAnsi="Times New Roman" w:cs="Times New Roman" w:eastAsia="Times New Roman" w:hint="default"/>
          <w:spacing w:val="-3"/>
          <w:sz w:val="21"/>
          <w:szCs w:val="21"/>
        </w:rPr>
        <w:t>23,026,269.40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w:t>
      </w:r>
      <w:r>
        <w:rPr>
          <w:rFonts w:ascii="宋体" w:hAnsi="宋体" w:cs="宋体" w:eastAsia="宋体" w:hint="default"/>
          <w:spacing w:val="-82"/>
          <w:sz w:val="21"/>
          <w:szCs w:val="21"/>
        </w:rPr>
        <w:t> </w:t>
      </w:r>
      <w:r>
        <w:rPr>
          <w:rFonts w:ascii="宋体" w:hAnsi="宋体" w:cs="宋体" w:eastAsia="宋体" w:hint="default"/>
          <w:spacing w:val="-4"/>
          <w:sz w:val="21"/>
          <w:szCs w:val="21"/>
        </w:rPr>
        <w:t>；②子公司成都农产品中心批发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w w:val="100"/>
          <w:sz w:val="21"/>
          <w:szCs w:val="21"/>
        </w:rPr>
        <w:t>市场有限责任公司取得的国家发改委国家预算内国债专项资金拨款</w:t>
      </w:r>
      <w:r>
        <w:rPr>
          <w:rFonts w:ascii="宋体" w:hAnsi="宋体" w:cs="宋体" w:eastAsia="宋体" w:hint="default"/>
          <w:spacing w:val="-48"/>
          <w:w w:val="100"/>
          <w:sz w:val="21"/>
          <w:szCs w:val="21"/>
        </w:rPr>
        <w:t> </w:t>
      </w:r>
      <w:r>
        <w:rPr>
          <w:rFonts w:ascii="Times New Roman" w:hAnsi="Times New Roman" w:cs="Times New Roman" w:eastAsia="Times New Roman" w:hint="default"/>
          <w:w w:val="100"/>
          <w:sz w:val="21"/>
          <w:szCs w:val="21"/>
        </w:rPr>
        <w:t>500</w:t>
      </w:r>
      <w:r>
        <w:rPr>
          <w:rFonts w:ascii="Times New Roman" w:hAnsi="Times New Roman" w:cs="Times New Roman" w:eastAsia="Times New Roman" w:hint="default"/>
          <w:spacing w:val="10"/>
          <w:w w:val="100"/>
          <w:sz w:val="21"/>
          <w:szCs w:val="21"/>
        </w:rPr>
        <w:t> </w:t>
      </w:r>
      <w:r>
        <w:rPr>
          <w:rFonts w:ascii="宋体" w:hAnsi="宋体" w:cs="宋体" w:eastAsia="宋体" w:hint="default"/>
          <w:spacing w:val="1"/>
          <w:w w:val="94"/>
          <w:sz w:val="21"/>
          <w:szCs w:val="21"/>
        </w:rPr>
        <w:t>万元、四川省发改委地</w:t>
      </w:r>
    </w:p>
    <w:p>
      <w:pPr>
        <w:spacing w:before="27"/>
        <w:ind w:left="221" w:right="953" w:firstLine="0"/>
        <w:jc w:val="left"/>
        <w:rPr>
          <w:rFonts w:ascii="宋体" w:hAnsi="宋体" w:cs="宋体" w:eastAsia="宋体" w:hint="default"/>
          <w:sz w:val="21"/>
          <w:szCs w:val="21"/>
        </w:rPr>
      </w:pPr>
      <w:r>
        <w:rPr>
          <w:rFonts w:ascii="宋体" w:hAnsi="宋体" w:cs="宋体" w:eastAsia="宋体" w:hint="default"/>
          <w:sz w:val="21"/>
          <w:szCs w:val="21"/>
        </w:rPr>
        <w:t>方政府配套资金拨款</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万元等专项应付款结转增加的政府资本性投入</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5,500,000.00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元，本公</w:t>
      </w:r>
    </w:p>
    <w:p>
      <w:pPr>
        <w:spacing w:before="148"/>
        <w:ind w:left="221" w:right="953" w:firstLine="0"/>
        <w:jc w:val="left"/>
        <w:rPr>
          <w:rFonts w:ascii="宋体" w:hAnsi="宋体" w:cs="宋体" w:eastAsia="宋体" w:hint="default"/>
          <w:sz w:val="21"/>
          <w:szCs w:val="21"/>
        </w:rPr>
      </w:pPr>
      <w:r>
        <w:rPr>
          <w:rFonts w:ascii="宋体" w:hAnsi="宋体" w:cs="宋体" w:eastAsia="宋体" w:hint="default"/>
          <w:sz w:val="21"/>
          <w:szCs w:val="21"/>
        </w:rPr>
        <w:t>司按照持股比例享有</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2,805,000.00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宋体" w:hAnsi="宋体" w:cs="宋体" w:eastAsia="宋体" w:hint="default"/>
          <w:spacing w:val="-79"/>
          <w:sz w:val="21"/>
          <w:szCs w:val="21"/>
        </w:rPr>
        <w:t> </w:t>
      </w:r>
      <w:r>
        <w:rPr>
          <w:rFonts w:ascii="宋体" w:hAnsi="宋体" w:cs="宋体" w:eastAsia="宋体" w:hint="default"/>
          <w:spacing w:val="-3"/>
          <w:sz w:val="21"/>
          <w:szCs w:val="21"/>
        </w:rPr>
        <w:t>；③合肥国家棉花交易中心有限责任公司少数股东补足注</w:t>
      </w:r>
    </w:p>
    <w:p>
      <w:pPr>
        <w:spacing w:line="374" w:lineRule="auto" w:before="148"/>
        <w:ind w:left="221" w:right="953" w:firstLine="0"/>
        <w:jc w:val="left"/>
        <w:rPr>
          <w:rFonts w:ascii="宋体" w:hAnsi="宋体" w:cs="宋体" w:eastAsia="宋体" w:hint="default"/>
          <w:sz w:val="21"/>
          <w:szCs w:val="21"/>
        </w:rPr>
      </w:pPr>
      <w:r>
        <w:rPr>
          <w:rFonts w:ascii="宋体" w:hAnsi="宋体" w:cs="宋体" w:eastAsia="宋体" w:hint="default"/>
          <w:sz w:val="21"/>
          <w:szCs w:val="21"/>
        </w:rPr>
        <w:t>册资本，调整溢价增加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183,108.22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元；④可供出售金融资产公允价值变动增加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280,785.96</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元</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w w:val="75"/>
          <w:sz w:val="21"/>
          <w:szCs w:val="21"/>
        </w:rPr>
        <w:t> </w:t>
      </w:r>
      <w:r>
        <w:rPr>
          <w:rFonts w:ascii="宋体" w:hAnsi="宋体" w:cs="宋体" w:eastAsia="宋体" w:hint="default"/>
          <w:sz w:val="21"/>
          <w:szCs w:val="21"/>
        </w:rPr>
        <w:t>本期减少为子公司上海吉农创业投资有限公司收购上海农产品中心批发市场经营管理有限公</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股权，收购价格和享有净资产份额的差额。</w:t>
      </w:r>
    </w:p>
    <w:p>
      <w:pPr>
        <w:spacing w:line="240" w:lineRule="auto" w:before="2"/>
        <w:rPr>
          <w:rFonts w:ascii="宋体" w:hAnsi="宋体" w:cs="宋体" w:eastAsia="宋体" w:hint="default"/>
          <w:sz w:val="15"/>
          <w:szCs w:val="15"/>
        </w:rPr>
      </w:pPr>
    </w:p>
    <w:p>
      <w:pPr>
        <w:spacing w:before="0"/>
        <w:ind w:left="641" w:right="9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aj)</w:t>
      </w:r>
      <w:r>
        <w:rPr>
          <w:rFonts w:ascii="宋体" w:hAnsi="宋体" w:cs="宋体" w:eastAsia="宋体" w:hint="default"/>
          <w:sz w:val="21"/>
          <w:szCs w:val="21"/>
        </w:rPr>
        <w:t>盈余公积</w:t>
      </w:r>
    </w:p>
    <w:p>
      <w:pPr>
        <w:spacing w:line="240" w:lineRule="auto" w:before="4"/>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1714"/>
        <w:gridCol w:w="1711"/>
        <w:gridCol w:w="1714"/>
        <w:gridCol w:w="1714"/>
        <w:gridCol w:w="1714"/>
      </w:tblGrid>
      <w:tr>
        <w:trPr>
          <w:trHeight w:val="449" w:hRule="exact"/>
        </w:trPr>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2008-12-31</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2009-12-31</w:t>
            </w:r>
          </w:p>
        </w:tc>
      </w:tr>
      <w:tr>
        <w:trPr>
          <w:trHeight w:val="451" w:hRule="exact"/>
        </w:trPr>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92,420,935.37</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11,862,824.76</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104,283,760.13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897" w:top="1640" w:bottom="1080" w:left="1480" w:right="680"/>
        </w:sectPr>
      </w:pPr>
    </w:p>
    <w:p>
      <w:pPr>
        <w:spacing w:line="240" w:lineRule="auto" w:before="6"/>
        <w:rPr>
          <w:rFonts w:ascii="宋体" w:hAnsi="宋体" w:cs="宋体" w:eastAsia="宋体" w:hint="default"/>
          <w:sz w:val="16"/>
          <w:szCs w:val="16"/>
        </w:rPr>
      </w:pPr>
    </w:p>
    <w:p>
      <w:pPr>
        <w:spacing w:before="36"/>
        <w:ind w:left="641" w:right="212" w:firstLine="0"/>
        <w:jc w:val="left"/>
        <w:rPr>
          <w:rFonts w:ascii="宋体" w:hAnsi="宋体" w:cs="宋体" w:eastAsia="宋体" w:hint="default"/>
          <w:sz w:val="21"/>
          <w:szCs w:val="21"/>
        </w:rPr>
      </w:pPr>
      <w:r>
        <w:rPr>
          <w:rFonts w:ascii="宋体" w:hAnsi="宋体" w:cs="宋体" w:eastAsia="宋体" w:hint="default"/>
          <w:sz w:val="21"/>
          <w:szCs w:val="21"/>
        </w:rPr>
        <w:t>本期增加系根据</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年度股东大会决议，按净利润的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5"/>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ak)</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未分配利润</w:t>
      </w:r>
    </w:p>
    <w:p>
      <w:pPr>
        <w:spacing w:line="240" w:lineRule="auto" w:before="0"/>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3734"/>
        <w:gridCol w:w="2374"/>
        <w:gridCol w:w="2491"/>
      </w:tblGrid>
      <w:tr>
        <w:trPr>
          <w:trHeight w:val="451"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49"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2"/>
                <w:sz w:val="18"/>
                <w:szCs w:val="18"/>
              </w:rPr>
              <w:t> </w:t>
            </w:r>
            <w:r>
              <w:rPr>
                <w:rFonts w:ascii="宋体" w:hAnsi="宋体" w:cs="宋体" w:eastAsia="宋体" w:hint="default"/>
                <w:sz w:val="18"/>
                <w:szCs w:val="18"/>
              </w:rPr>
              <w:t>上年末未分配利润</w:t>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354,959,339.36</w:t>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1"/>
                <w:sz w:val="18"/>
                <w:szCs w:val="18"/>
              </w:rPr>
              <w:t> </w:t>
            </w:r>
            <w:r>
              <w:rPr>
                <w:rFonts w:ascii="宋体" w:hAnsi="宋体" w:cs="宋体" w:eastAsia="宋体" w:hint="default"/>
                <w:sz w:val="18"/>
                <w:szCs w:val="18"/>
              </w:rPr>
              <w:t>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2"/>
                <w:sz w:val="18"/>
                <w:szCs w:val="18"/>
              </w:rPr>
              <w:t> </w:t>
            </w:r>
            <w:r>
              <w:rPr>
                <w:rFonts w:ascii="宋体" w:hAnsi="宋体" w:cs="宋体" w:eastAsia="宋体" w:hint="default"/>
                <w:sz w:val="18"/>
                <w:szCs w:val="18"/>
              </w:rPr>
              <w:t>年初未分配利润</w:t>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354,959,339.36</w:t>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85,187,634.00</w:t>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11,862,824.76</w:t>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w:t>
            </w:r>
          </w:p>
        </w:tc>
      </w:tr>
      <w:tr>
        <w:trPr>
          <w:trHeight w:val="451"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67,809,516.30</w:t>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股分红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51"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37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期末未分配利润</w:t>
            </w:r>
            <w:r>
              <w:rPr>
                <w:rFonts w:ascii="Microsoft JhengHei" w:hAnsi="Microsoft JhengHei" w:cs="Microsoft JhengHei" w:eastAsia="Microsoft JhengHei" w:hint="default"/>
                <w:sz w:val="18"/>
                <w:szCs w:val="18"/>
              </w:rPr>
            </w:r>
          </w:p>
        </w:tc>
        <w:tc>
          <w:tcPr>
            <w:tcW w:w="23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360,474,632.30</w:t>
            </w:r>
            <w:r>
              <w:rPr>
                <w:rFonts w:ascii="Times New Roman"/>
                <w:spacing w:val="-1"/>
                <w:sz w:val="18"/>
              </w:rPr>
            </w:r>
          </w:p>
        </w:tc>
        <w:tc>
          <w:tcPr>
            <w:tcW w:w="24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5"/>
        <w:rPr>
          <w:rFonts w:ascii="宋体" w:hAnsi="宋体" w:cs="宋体" w:eastAsia="宋体" w:hint="default"/>
          <w:sz w:val="19"/>
          <w:szCs w:val="19"/>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al)</w:t>
      </w:r>
      <w:r>
        <w:rPr>
          <w:rFonts w:ascii="宋体" w:hAnsi="宋体" w:cs="宋体" w:eastAsia="宋体" w:hint="default"/>
          <w:sz w:val="21"/>
          <w:szCs w:val="21"/>
        </w:rPr>
        <w:t>营业收入和营业成本</w:t>
      </w:r>
    </w:p>
    <w:p>
      <w:pPr>
        <w:spacing w:line="240" w:lineRule="auto" w:before="2"/>
        <w:rPr>
          <w:rFonts w:ascii="宋体" w:hAnsi="宋体" w:cs="宋体" w:eastAsia="宋体" w:hint="default"/>
          <w:sz w:val="22"/>
          <w:szCs w:val="22"/>
        </w:rPr>
      </w:pPr>
    </w:p>
    <w:p>
      <w:pPr>
        <w:spacing w:before="0"/>
        <w:ind w:left="641" w:right="2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）营业收入和营业成本</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451"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4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主营业务收入</w:t>
            </w:r>
            <w:r>
              <w:rPr>
                <w:rFonts w:ascii="Times New Roman" w:hAnsi="Times New Roman" w:cs="Times New Roman" w:eastAsia="Times New Roman" w:hint="default"/>
                <w:sz w:val="18"/>
                <w:szCs w:val="18"/>
              </w:rPr>
              <w:t>*</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1,230,719,043.93</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1,223,300,407.00</w:t>
            </w:r>
          </w:p>
        </w:tc>
      </w:tr>
      <w:tr>
        <w:trPr>
          <w:trHeight w:val="451"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15,235,855.90</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8,595,545.77</w:t>
            </w:r>
          </w:p>
        </w:tc>
      </w:tr>
      <w:tr>
        <w:trPr>
          <w:trHeight w:val="44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营业收入合计</w:t>
            </w:r>
            <w:r>
              <w:rPr>
                <w:rFonts w:ascii="Microsoft JhengHei" w:hAnsi="Microsoft JhengHei" w:cs="Microsoft JhengHei" w:eastAsia="Microsoft JhengHei" w:hint="default"/>
                <w:sz w:val="18"/>
                <w:szCs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1,245,954,899.83</w:t>
            </w:r>
            <w:r>
              <w:rPr>
                <w:rFonts w:ascii="Times New Roman"/>
                <w:spacing w:val="-1"/>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1,231,895,952.77</w:t>
            </w:r>
            <w:r>
              <w:rPr>
                <w:rFonts w:ascii="Times New Roman"/>
                <w:spacing w:val="-1"/>
                <w:sz w:val="18"/>
              </w:rPr>
            </w:r>
          </w:p>
        </w:tc>
      </w:tr>
      <w:tr>
        <w:trPr>
          <w:trHeight w:val="451"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主营业务成本</w:t>
            </w:r>
            <w:r>
              <w:rPr>
                <w:rFonts w:ascii="Times New Roman" w:hAnsi="Times New Roman" w:cs="Times New Roman" w:eastAsia="Times New Roman" w:hint="default"/>
                <w:sz w:val="18"/>
                <w:szCs w:val="18"/>
              </w:rPr>
              <w:t>*</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618,828,159.65</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616,200,150.24</w:t>
            </w:r>
          </w:p>
        </w:tc>
      </w:tr>
      <w:tr>
        <w:trPr>
          <w:trHeight w:val="44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2,160,799.99</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2,016,520.08</w:t>
            </w:r>
          </w:p>
        </w:tc>
      </w:tr>
      <w:tr>
        <w:trPr>
          <w:trHeight w:val="451"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营业成本合计</w:t>
            </w:r>
            <w:r>
              <w:rPr>
                <w:rFonts w:ascii="Microsoft JhengHei" w:hAnsi="Microsoft JhengHei" w:cs="Microsoft JhengHei" w:eastAsia="Microsoft JhengHei" w:hint="default"/>
                <w:sz w:val="18"/>
                <w:szCs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620,988,959.64</w:t>
            </w:r>
            <w:r>
              <w:rPr>
                <w:rFonts w:ascii="Times New Roman"/>
                <w:spacing w:val="-1"/>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618,216,670.32</w:t>
            </w:r>
            <w:r>
              <w:rPr>
                <w:rFonts w:ascii="Times New Roman"/>
                <w:spacing w:val="-1"/>
                <w:sz w:val="18"/>
              </w:rPr>
            </w:r>
          </w:p>
        </w:tc>
      </w:tr>
    </w:tbl>
    <w:p>
      <w:pPr>
        <w:spacing w:line="240" w:lineRule="auto" w:before="5"/>
        <w:rPr>
          <w:rFonts w:ascii="宋体" w:hAnsi="宋体" w:cs="宋体" w:eastAsia="宋体" w:hint="default"/>
          <w:sz w:val="19"/>
          <w:szCs w:val="19"/>
        </w:rPr>
      </w:pPr>
    </w:p>
    <w:p>
      <w:pPr>
        <w:spacing w:line="336" w:lineRule="auto" w:before="0"/>
        <w:ind w:left="221" w:right="215"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本公司子公司云南鲲鹏农产品电子商务批发市场有限公司下属公司云南鲲鹏食糖配送公司系</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为大宗商品电子交易提供交收配送服务的企业。</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年该企业在会计核算时，将配送商品视</w:t>
      </w:r>
      <w:r>
        <w:rPr>
          <w:rFonts w:ascii="宋体" w:hAnsi="宋体" w:cs="宋体" w:eastAsia="宋体" w:hint="default"/>
          <w:spacing w:val="-94"/>
          <w:sz w:val="21"/>
          <w:szCs w:val="21"/>
        </w:rPr>
        <w:t> </w:t>
      </w:r>
      <w:r>
        <w:rPr>
          <w:rFonts w:ascii="宋体" w:hAnsi="宋体" w:cs="宋体" w:eastAsia="宋体" w:hint="default"/>
          <w:spacing w:val="-5"/>
          <w:sz w:val="21"/>
          <w:szCs w:val="21"/>
        </w:rPr>
        <w:t>同商品销售按全额法确认收入。但实际上企业对配送商品并无定价权，也不享有或承担商品价</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w w:val="95"/>
          <w:sz w:val="21"/>
          <w:szCs w:val="21"/>
        </w:rPr>
        <w:t>格变动的报酬或风险，故应采用净额法进行核算。为此，调整抵销  </w:t>
      </w:r>
      <w:r>
        <w:rPr>
          <w:rFonts w:ascii="Times New Roman" w:hAnsi="Times New Roman" w:cs="Times New Roman" w:eastAsia="Times New Roman" w:hint="default"/>
          <w:w w:val="95"/>
          <w:sz w:val="21"/>
          <w:szCs w:val="21"/>
        </w:rPr>
        <w:t>2008    </w:t>
      </w:r>
      <w:r>
        <w:rPr>
          <w:rFonts w:ascii="Times New Roman" w:hAnsi="Times New Roman" w:cs="Times New Roman" w:eastAsia="Times New Roman" w:hint="default"/>
          <w:spacing w:val="21"/>
          <w:w w:val="95"/>
          <w:sz w:val="21"/>
          <w:szCs w:val="21"/>
        </w:rPr>
        <w:t> </w:t>
      </w:r>
      <w:r>
        <w:rPr>
          <w:rFonts w:ascii="宋体" w:hAnsi="宋体" w:cs="宋体" w:eastAsia="宋体" w:hint="default"/>
          <w:w w:val="95"/>
          <w:sz w:val="21"/>
          <w:szCs w:val="21"/>
        </w:rPr>
        <w:t>年利润表中营业收入、</w:t>
      </w:r>
      <w:r>
        <w:rPr>
          <w:rFonts w:ascii="宋体" w:hAnsi="宋体" w:cs="宋体" w:eastAsia="宋体" w:hint="default"/>
          <w:sz w:val="21"/>
          <w:szCs w:val="21"/>
        </w:rPr>
      </w:r>
    </w:p>
    <w:p>
      <w:pPr>
        <w:spacing w:before="17"/>
        <w:ind w:left="221" w:right="0" w:firstLine="0"/>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48,100,743.65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元。调整事项不影响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年净利润。</w:t>
      </w:r>
    </w:p>
    <w:p>
      <w:pPr>
        <w:spacing w:after="0"/>
        <w:jc w:val="both"/>
        <w:rPr>
          <w:rFonts w:ascii="宋体" w:hAnsi="宋体" w:cs="宋体" w:eastAsia="宋体" w:hint="default"/>
          <w:sz w:val="21"/>
          <w:szCs w:val="21"/>
        </w:rPr>
        <w:sectPr>
          <w:pgSz w:w="11910" w:h="16840"/>
          <w:pgMar w:header="0" w:footer="897" w:top="1640" w:bottom="1080" w:left="1480" w:right="1480"/>
        </w:sectPr>
      </w:pPr>
    </w:p>
    <w:p>
      <w:pPr>
        <w:spacing w:line="240" w:lineRule="auto" w:before="11"/>
        <w:rPr>
          <w:rFonts w:ascii="宋体" w:hAnsi="宋体" w:cs="宋体" w:eastAsia="宋体" w:hint="default"/>
          <w:sz w:val="18"/>
          <w:szCs w:val="18"/>
        </w:rPr>
      </w:pPr>
    </w:p>
    <w:p>
      <w:pPr>
        <w:spacing w:before="36"/>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10"/>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922"/>
        <w:gridCol w:w="1714"/>
        <w:gridCol w:w="1714"/>
        <w:gridCol w:w="1714"/>
        <w:gridCol w:w="1711"/>
      </w:tblGrid>
      <w:tr>
        <w:trPr>
          <w:trHeight w:val="449" w:hRule="exact"/>
        </w:trPr>
        <w:tc>
          <w:tcPr>
            <w:tcW w:w="192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42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42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1" w:hRule="exact"/>
        </w:trPr>
        <w:tc>
          <w:tcPr>
            <w:tcW w:w="1922" w:type="dxa"/>
            <w:vMerge/>
            <w:tcBorders>
              <w:left w:val="single" w:sz="4" w:space="0" w:color="000008"/>
              <w:bottom w:val="single" w:sz="4" w:space="0" w:color="000008"/>
              <w:right w:val="single" w:sz="4" w:space="0" w:color="000008"/>
            </w:tcBorders>
          </w:tcPr>
          <w:p>
            <w:pP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49" w:hRule="exact"/>
        </w:trPr>
        <w:tc>
          <w:tcPr>
            <w:tcW w:w="1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农产品批发市场</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677,179,514.88</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150,295,847.44</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620,446,426.17</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130,519,538.57</w:t>
            </w:r>
          </w:p>
        </w:tc>
      </w:tr>
      <w:tr>
        <w:trPr>
          <w:trHeight w:val="451" w:hRule="exact"/>
        </w:trPr>
        <w:tc>
          <w:tcPr>
            <w:tcW w:w="1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农产品加工生产养殖</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499,362,335.12</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445,747,043.10</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540,847,987.48</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455,702,663.83</w:t>
            </w:r>
          </w:p>
        </w:tc>
      </w:tr>
      <w:tr>
        <w:trPr>
          <w:trHeight w:val="449" w:hRule="exact"/>
        </w:trPr>
        <w:tc>
          <w:tcPr>
            <w:tcW w:w="1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市场配套服务</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62,643,121.63</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24,873,212.56</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69,896,378.00</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33,101,348.86</w:t>
            </w:r>
          </w:p>
        </w:tc>
      </w:tr>
      <w:tr>
        <w:trPr>
          <w:trHeight w:val="451" w:hRule="exact"/>
        </w:trPr>
        <w:tc>
          <w:tcPr>
            <w:tcW w:w="1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公司内部行业抵消</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8,465,927.70</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2,087,943.45</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7,890,384.65</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3,123,401.02</w:t>
            </w:r>
          </w:p>
        </w:tc>
      </w:tr>
      <w:tr>
        <w:trPr>
          <w:trHeight w:val="449" w:hRule="exact"/>
        </w:trPr>
        <w:tc>
          <w:tcPr>
            <w:tcW w:w="1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1,230,719,043.93</w:t>
            </w:r>
            <w:r>
              <w:rPr>
                <w:rFonts w:ascii="Times New Roman"/>
                <w:spacing w:val="-1"/>
                <w:sz w:val="18"/>
              </w:rPr>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618,828,159.65</w:t>
            </w:r>
            <w:r>
              <w:rPr>
                <w:rFonts w:ascii="Times New Roman"/>
                <w:spacing w:val="-1"/>
                <w:sz w:val="18"/>
              </w:rPr>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1,223,300,407.00</w:t>
            </w:r>
            <w:r>
              <w:rPr>
                <w:rFonts w:ascii="Times New Roman"/>
                <w:spacing w:val="-1"/>
                <w:sz w:val="18"/>
              </w:rPr>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616,200,150.24</w:t>
            </w:r>
            <w:r>
              <w:rPr>
                <w:rFonts w:ascii="Times New Roman"/>
                <w:spacing w:val="-1"/>
                <w:sz w:val="18"/>
              </w:rPr>
            </w:r>
          </w:p>
        </w:tc>
      </w:tr>
    </w:tbl>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10"/>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958"/>
        <w:gridCol w:w="1716"/>
        <w:gridCol w:w="1714"/>
        <w:gridCol w:w="1711"/>
        <w:gridCol w:w="1714"/>
      </w:tblGrid>
      <w:tr>
        <w:trPr>
          <w:trHeight w:val="370" w:hRule="exact"/>
        </w:trPr>
        <w:tc>
          <w:tcPr>
            <w:tcW w:w="1958" w:type="dxa"/>
            <w:vMerge w:val="restart"/>
            <w:tcBorders>
              <w:top w:val="single" w:sz="4" w:space="0" w:color="000008"/>
              <w:left w:val="single" w:sz="6" w:space="0" w:color="000008"/>
              <w:right w:val="single" w:sz="4" w:space="0" w:color="000008"/>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43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42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1958" w:type="dxa"/>
            <w:vMerge/>
            <w:tcBorders>
              <w:left w:val="single" w:sz="6" w:space="0" w:color="000008"/>
              <w:bottom w:val="single" w:sz="6" w:space="0" w:color="000008"/>
              <w:right w:val="single" w:sz="4" w:space="0" w:color="000008"/>
            </w:tcBorders>
          </w:tcPr>
          <w:p>
            <w:pP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6"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716"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861,884,694.91</w:t>
            </w:r>
          </w:p>
        </w:tc>
        <w:tc>
          <w:tcPr>
            <w:tcW w:w="1714"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579,882,874.26</w:t>
            </w:r>
          </w:p>
        </w:tc>
        <w:tc>
          <w:tcPr>
            <w:tcW w:w="1711"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920,178,292.97</w:t>
            </w:r>
          </w:p>
        </w:tc>
        <w:tc>
          <w:tcPr>
            <w:tcW w:w="1714"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594,201,861.58</w:t>
            </w:r>
          </w:p>
        </w:tc>
      </w:tr>
      <w:tr>
        <w:trPr>
          <w:trHeight w:val="386"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42,681,954.80</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1,029,962.84</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32,565,944.95</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4,406,752.13</w:t>
            </w:r>
          </w:p>
        </w:tc>
      </w:tr>
      <w:tr>
        <w:trPr>
          <w:trHeight w:val="384"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106,197,660.07</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8,378,182.18</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93,187,966.08</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7,527,858.72</w:t>
            </w:r>
          </w:p>
        </w:tc>
      </w:tr>
      <w:tr>
        <w:trPr>
          <w:trHeight w:val="386"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54,630,270.63</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59,650,162.05</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13,343,465.08</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2,226,263.45</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8,604,712.40</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1,986,453.59</w:t>
            </w:r>
          </w:p>
        </w:tc>
      </w:tr>
      <w:tr>
        <w:trPr>
          <w:trHeight w:val="386"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33,981,780.50</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24,244,292.21</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云南省</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43,571,525.15</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16,970,949.42</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32,355,136.47</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190,544.75</w:t>
            </w:r>
          </w:p>
        </w:tc>
      </w:tr>
      <w:tr>
        <w:trPr>
          <w:trHeight w:val="384"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76,929,370.27</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12,219,729.36</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57,824,509.74</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10,566,894.65</w:t>
            </w:r>
          </w:p>
        </w:tc>
      </w:tr>
      <w:tr>
        <w:trPr>
          <w:trHeight w:val="386"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广西省</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5,725,330.19</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2,114,996.07</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1958"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238,920.03</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208,141.59</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464,778.71</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443,185.84</w:t>
            </w:r>
          </w:p>
        </w:tc>
      </w:tr>
      <w:tr>
        <w:trPr>
          <w:trHeight w:val="386" w:hRule="exact"/>
        </w:trPr>
        <w:tc>
          <w:tcPr>
            <w:tcW w:w="1958"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公司地区分部间抵消</w:t>
            </w:r>
          </w:p>
        </w:tc>
        <w:tc>
          <w:tcPr>
            <w:tcW w:w="1716"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8,465,927.70</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2,087,943.45</w:t>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7,890,384.65</w:t>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3,123,401.02</w:t>
            </w:r>
          </w:p>
        </w:tc>
      </w:tr>
      <w:tr>
        <w:trPr>
          <w:trHeight w:val="384" w:hRule="exact"/>
        </w:trPr>
        <w:tc>
          <w:tcPr>
            <w:tcW w:w="19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2"/>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6"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1,230,719,043.93</w:t>
            </w:r>
            <w:r>
              <w:rPr>
                <w:rFonts w:ascii="Times New Roman"/>
                <w:spacing w:val="-1"/>
                <w:sz w:val="18"/>
              </w:rPr>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618,828,159.65</w:t>
            </w:r>
            <w:r>
              <w:rPr>
                <w:rFonts w:ascii="Times New Roman"/>
                <w:spacing w:val="-1"/>
                <w:sz w:val="18"/>
              </w:rPr>
            </w:r>
          </w:p>
        </w:tc>
        <w:tc>
          <w:tcPr>
            <w:tcW w:w="1711"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1,223,300,407.00</w:t>
            </w:r>
            <w:r>
              <w:rPr>
                <w:rFonts w:ascii="Times New Roman"/>
                <w:spacing w:val="-1"/>
                <w:sz w:val="18"/>
              </w:rPr>
            </w:r>
          </w:p>
        </w:tc>
        <w:tc>
          <w:tcPr>
            <w:tcW w:w="171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616,200,150.24</w:t>
            </w:r>
            <w:r>
              <w:rPr>
                <w:rFonts w:ascii="Times New Roman"/>
                <w:spacing w:val="-1"/>
                <w:sz w:val="18"/>
              </w:rPr>
            </w:r>
          </w:p>
        </w:tc>
      </w:tr>
    </w:tbl>
    <w:p>
      <w:pPr>
        <w:spacing w:line="240" w:lineRule="auto" w:before="8"/>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186"/>
        <w:gridCol w:w="1613"/>
        <w:gridCol w:w="3058"/>
      </w:tblGrid>
      <w:tr>
        <w:trPr>
          <w:trHeight w:val="391" w:hRule="exact"/>
        </w:trPr>
        <w:tc>
          <w:tcPr>
            <w:tcW w:w="4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6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3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89" w:hRule="exact"/>
        </w:trPr>
        <w:tc>
          <w:tcPr>
            <w:tcW w:w="4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香港菜联行</w:t>
            </w:r>
          </w:p>
        </w:tc>
        <w:tc>
          <w:tcPr>
            <w:tcW w:w="1613" w:type="dxa"/>
            <w:tcBorders>
              <w:top w:val="single" w:sz="4" w:space="0" w:color="000008"/>
              <w:left w:val="single" w:sz="4" w:space="0" w:color="000008"/>
              <w:bottom w:val="single" w:sz="6" w:space="0" w:color="000008"/>
              <w:right w:val="single" w:sz="6" w:space="0" w:color="000008"/>
            </w:tcBorders>
          </w:tcPr>
          <w:p>
            <w:pPr>
              <w:pStyle w:val="TableParagraph"/>
              <w:spacing w:line="240" w:lineRule="auto" w:before="134"/>
              <w:ind w:left="465" w:right="0"/>
              <w:jc w:val="left"/>
              <w:rPr>
                <w:rFonts w:ascii="Times New Roman" w:hAnsi="Times New Roman" w:cs="Times New Roman" w:eastAsia="Times New Roman" w:hint="default"/>
                <w:sz w:val="18"/>
                <w:szCs w:val="18"/>
              </w:rPr>
            </w:pPr>
            <w:r>
              <w:rPr>
                <w:rFonts w:ascii="Times New Roman"/>
                <w:sz w:val="18"/>
              </w:rPr>
              <w:t>51,532,337.45</w:t>
            </w:r>
          </w:p>
        </w:tc>
        <w:tc>
          <w:tcPr>
            <w:tcW w:w="3058" w:type="dxa"/>
            <w:tcBorders>
              <w:top w:val="single" w:sz="4" w:space="0" w:color="000008"/>
              <w:left w:val="single" w:sz="6" w:space="0" w:color="000008"/>
              <w:bottom w:val="single" w:sz="4" w:space="0" w:color="000008"/>
              <w:right w:val="single" w:sz="4" w:space="0" w:color="000008"/>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z w:val="18"/>
              </w:rPr>
              <w:t>4.14%</w:t>
            </w:r>
          </w:p>
        </w:tc>
      </w:tr>
      <w:tr>
        <w:trPr>
          <w:trHeight w:val="396" w:hRule="exact"/>
        </w:trPr>
        <w:tc>
          <w:tcPr>
            <w:tcW w:w="4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深圳市鑫乐康农产品有限公司</w:t>
            </w:r>
          </w:p>
        </w:tc>
        <w:tc>
          <w:tcPr>
            <w:tcW w:w="1613"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39"/>
              <w:ind w:left="465" w:right="0"/>
              <w:jc w:val="left"/>
              <w:rPr>
                <w:rFonts w:ascii="Times New Roman" w:hAnsi="Times New Roman" w:cs="Times New Roman" w:eastAsia="Times New Roman" w:hint="default"/>
                <w:sz w:val="18"/>
                <w:szCs w:val="18"/>
              </w:rPr>
            </w:pPr>
            <w:r>
              <w:rPr>
                <w:rFonts w:ascii="Times New Roman"/>
                <w:sz w:val="18"/>
              </w:rPr>
              <w:t>21,564,633.80</w:t>
            </w:r>
          </w:p>
        </w:tc>
        <w:tc>
          <w:tcPr>
            <w:tcW w:w="3058" w:type="dxa"/>
            <w:tcBorders>
              <w:top w:val="single" w:sz="4" w:space="0" w:color="000008"/>
              <w:left w:val="single" w:sz="6" w:space="0" w:color="000008"/>
              <w:bottom w:val="single" w:sz="4" w:space="0" w:color="000008"/>
              <w:right w:val="single" w:sz="4" w:space="0" w:color="000008"/>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1.73%</w:t>
            </w:r>
          </w:p>
        </w:tc>
      </w:tr>
      <w:tr>
        <w:trPr>
          <w:trHeight w:val="394" w:hRule="exact"/>
        </w:trPr>
        <w:tc>
          <w:tcPr>
            <w:tcW w:w="4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613"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39"/>
              <w:ind w:left="465" w:right="0"/>
              <w:jc w:val="left"/>
              <w:rPr>
                <w:rFonts w:ascii="Times New Roman" w:hAnsi="Times New Roman" w:cs="Times New Roman" w:eastAsia="Times New Roman" w:hint="default"/>
                <w:sz w:val="18"/>
                <w:szCs w:val="18"/>
              </w:rPr>
            </w:pPr>
            <w:r>
              <w:rPr>
                <w:rFonts w:ascii="Times New Roman"/>
                <w:sz w:val="18"/>
              </w:rPr>
              <w:t>20,156,057.29</w:t>
            </w:r>
          </w:p>
        </w:tc>
        <w:tc>
          <w:tcPr>
            <w:tcW w:w="3058" w:type="dxa"/>
            <w:tcBorders>
              <w:top w:val="single" w:sz="4" w:space="0" w:color="000008"/>
              <w:left w:val="single" w:sz="6" w:space="0" w:color="000008"/>
              <w:bottom w:val="single" w:sz="4" w:space="0" w:color="000008"/>
              <w:right w:val="single" w:sz="4" w:space="0" w:color="000008"/>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1.62%</w:t>
            </w:r>
          </w:p>
        </w:tc>
      </w:tr>
      <w:tr>
        <w:trPr>
          <w:trHeight w:val="396" w:hRule="exact"/>
        </w:trPr>
        <w:tc>
          <w:tcPr>
            <w:tcW w:w="4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广南行有限公司</w:t>
            </w:r>
          </w:p>
        </w:tc>
        <w:tc>
          <w:tcPr>
            <w:tcW w:w="1613"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41"/>
              <w:ind w:left="465" w:right="0"/>
              <w:jc w:val="left"/>
              <w:rPr>
                <w:rFonts w:ascii="Times New Roman" w:hAnsi="Times New Roman" w:cs="Times New Roman" w:eastAsia="Times New Roman" w:hint="default"/>
                <w:sz w:val="18"/>
                <w:szCs w:val="18"/>
              </w:rPr>
            </w:pPr>
            <w:r>
              <w:rPr>
                <w:rFonts w:ascii="Times New Roman"/>
                <w:sz w:val="18"/>
              </w:rPr>
              <w:t>14,807,142.34</w:t>
            </w:r>
          </w:p>
        </w:tc>
        <w:tc>
          <w:tcPr>
            <w:tcW w:w="3058" w:type="dxa"/>
            <w:tcBorders>
              <w:top w:val="single" w:sz="4" w:space="0" w:color="000008"/>
              <w:left w:val="single" w:sz="6" w:space="0" w:color="000008"/>
              <w:bottom w:val="single" w:sz="4" w:space="0" w:color="000008"/>
              <w:right w:val="single" w:sz="4" w:space="0" w:color="000008"/>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1.19%</w:t>
            </w:r>
          </w:p>
        </w:tc>
      </w:tr>
      <w:tr>
        <w:trPr>
          <w:trHeight w:val="394" w:hRule="exact"/>
        </w:trPr>
        <w:tc>
          <w:tcPr>
            <w:tcW w:w="4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法国菲利普公司</w:t>
            </w:r>
          </w:p>
        </w:tc>
        <w:tc>
          <w:tcPr>
            <w:tcW w:w="1613"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36"/>
              <w:ind w:left="470" w:right="0"/>
              <w:jc w:val="left"/>
              <w:rPr>
                <w:rFonts w:ascii="Times New Roman" w:hAnsi="Times New Roman" w:cs="Times New Roman" w:eastAsia="Times New Roman" w:hint="default"/>
                <w:sz w:val="18"/>
                <w:szCs w:val="18"/>
              </w:rPr>
            </w:pPr>
            <w:r>
              <w:rPr>
                <w:rFonts w:ascii="Times New Roman"/>
                <w:sz w:val="18"/>
              </w:rPr>
              <w:t>11,044,152.56</w:t>
            </w:r>
          </w:p>
        </w:tc>
        <w:tc>
          <w:tcPr>
            <w:tcW w:w="3058" w:type="dxa"/>
            <w:tcBorders>
              <w:top w:val="single" w:sz="4" w:space="0" w:color="000008"/>
              <w:left w:val="single" w:sz="6" w:space="0" w:color="000008"/>
              <w:bottom w:val="single" w:sz="4" w:space="0" w:color="000008"/>
              <w:right w:val="single" w:sz="4" w:space="0" w:color="000008"/>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0.89%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480" w:right="130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186"/>
        <w:gridCol w:w="1613"/>
        <w:gridCol w:w="3058"/>
      </w:tblGrid>
      <w:tr>
        <w:trPr>
          <w:trHeight w:val="394" w:hRule="exact"/>
        </w:trPr>
        <w:tc>
          <w:tcPr>
            <w:tcW w:w="4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13"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39"/>
              <w:ind w:left="389" w:right="0"/>
              <w:jc w:val="left"/>
              <w:rPr>
                <w:rFonts w:ascii="Times New Roman" w:hAnsi="Times New Roman" w:cs="Times New Roman" w:eastAsia="Times New Roman" w:hint="default"/>
                <w:sz w:val="18"/>
                <w:szCs w:val="18"/>
              </w:rPr>
            </w:pPr>
            <w:r>
              <w:rPr>
                <w:rFonts w:ascii="Times New Roman"/>
                <w:b/>
                <w:sz w:val="18"/>
              </w:rPr>
              <w:t>119,104,323.44</w:t>
            </w:r>
            <w:r>
              <w:rPr>
                <w:rFonts w:ascii="Times New Roman"/>
                <w:sz w:val="18"/>
              </w:rPr>
            </w:r>
          </w:p>
        </w:tc>
        <w:tc>
          <w:tcPr>
            <w:tcW w:w="3058" w:type="dxa"/>
            <w:tcBorders>
              <w:top w:val="single" w:sz="4" w:space="0" w:color="000008"/>
              <w:left w:val="single" w:sz="6" w:space="0" w:color="000008"/>
              <w:bottom w:val="single" w:sz="4" w:space="0" w:color="000008"/>
              <w:right w:val="single" w:sz="4" w:space="0" w:color="000008"/>
            </w:tcBorders>
          </w:tcPr>
          <w:p>
            <w:pPr>
              <w:pStyle w:val="TableParagraph"/>
              <w:spacing w:line="240" w:lineRule="auto" w:before="141"/>
              <w:ind w:right="93"/>
              <w:jc w:val="right"/>
              <w:rPr>
                <w:rFonts w:ascii="Times New Roman" w:hAnsi="Times New Roman" w:cs="Times New Roman" w:eastAsia="Times New Roman" w:hint="default"/>
                <w:sz w:val="18"/>
                <w:szCs w:val="18"/>
              </w:rPr>
            </w:pPr>
            <w:r>
              <w:rPr>
                <w:rFonts w:ascii="Times New Roman"/>
                <w:b/>
                <w:sz w:val="18"/>
              </w:rPr>
              <w:t>9.56%</w:t>
            </w:r>
            <w:r>
              <w:rPr>
                <w:rFonts w:ascii="Times New Roman"/>
                <w:sz w:val="18"/>
              </w:rPr>
            </w:r>
          </w:p>
        </w:tc>
      </w:tr>
    </w:tbl>
    <w:p>
      <w:pPr>
        <w:spacing w:line="240" w:lineRule="auto" w:before="0"/>
        <w:rPr>
          <w:rFonts w:ascii="宋体" w:hAnsi="宋体" w:cs="宋体" w:eastAsia="宋体" w:hint="default"/>
          <w:sz w:val="17"/>
          <w:szCs w:val="17"/>
        </w:rPr>
      </w:pPr>
    </w:p>
    <w:p>
      <w:pPr>
        <w:tabs>
          <w:tab w:pos="2921" w:val="left" w:leader="none"/>
        </w:tabs>
        <w:spacing w:before="36"/>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am)</w:t>
        <w:tab/>
      </w:r>
      <w:r>
        <w:rPr>
          <w:rFonts w:ascii="宋体" w:hAnsi="宋体" w:cs="宋体" w:eastAsia="宋体" w:hint="default"/>
          <w:spacing w:val="-2"/>
          <w:sz w:val="21"/>
          <w:szCs w:val="21"/>
        </w:rPr>
        <w:t>营业税金及附加</w:t>
      </w:r>
    </w:p>
    <w:p>
      <w:pPr>
        <w:spacing w:line="240" w:lineRule="auto" w:before="7"/>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2935"/>
        <w:gridCol w:w="2765"/>
        <w:gridCol w:w="2933"/>
      </w:tblGrid>
      <w:tr>
        <w:trPr>
          <w:trHeight w:val="413" w:hRule="exact"/>
        </w:trPr>
        <w:tc>
          <w:tcPr>
            <w:tcW w:w="29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1279"/>
              <w:jc w:val="right"/>
              <w:rPr>
                <w:rFonts w:ascii="宋体" w:hAnsi="宋体" w:cs="宋体" w:eastAsia="宋体" w:hint="default"/>
                <w:sz w:val="18"/>
                <w:szCs w:val="18"/>
              </w:rPr>
            </w:pPr>
            <w:r>
              <w:rPr>
                <w:rFonts w:ascii="宋体" w:hAnsi="宋体" w:cs="宋体" w:eastAsia="宋体" w:hint="default"/>
                <w:sz w:val="18"/>
                <w:szCs w:val="18"/>
              </w:rPr>
              <w:t>项目</w:t>
            </w:r>
          </w:p>
        </w:tc>
        <w:tc>
          <w:tcPr>
            <w:tcW w:w="2765" w:type="dxa"/>
            <w:tcBorders>
              <w:top w:val="single" w:sz="4" w:space="0" w:color="000008"/>
              <w:left w:val="single" w:sz="4" w:space="0" w:color="000008"/>
              <w:bottom w:val="single" w:sz="6" w:space="0" w:color="000008"/>
              <w:right w:val="single" w:sz="4" w:space="0" w:color="000008"/>
            </w:tcBorders>
          </w:tcPr>
          <w:p>
            <w:pPr>
              <w:pStyle w:val="TableParagraph"/>
              <w:spacing w:line="240" w:lineRule="auto" w:before="11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33" w:type="dxa"/>
            <w:tcBorders>
              <w:top w:val="single" w:sz="4" w:space="0" w:color="000008"/>
              <w:left w:val="single" w:sz="4" w:space="0" w:color="000008"/>
              <w:bottom w:val="single" w:sz="6" w:space="0" w:color="000008"/>
              <w:right w:val="single" w:sz="4" w:space="0" w:color="000008"/>
            </w:tcBorders>
          </w:tcPr>
          <w:p>
            <w:pPr>
              <w:pStyle w:val="TableParagraph"/>
              <w:spacing w:line="240" w:lineRule="auto" w:before="11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5" w:hRule="exact"/>
        </w:trPr>
        <w:tc>
          <w:tcPr>
            <w:tcW w:w="29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65"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32,472,196.50</w:t>
            </w:r>
          </w:p>
        </w:tc>
        <w:tc>
          <w:tcPr>
            <w:tcW w:w="293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31,698,188.36</w:t>
            </w:r>
          </w:p>
        </w:tc>
      </w:tr>
      <w:tr>
        <w:trPr>
          <w:trHeight w:val="415" w:hRule="exact"/>
        </w:trPr>
        <w:tc>
          <w:tcPr>
            <w:tcW w:w="29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65"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1,029,312.04</w:t>
            </w:r>
          </w:p>
        </w:tc>
        <w:tc>
          <w:tcPr>
            <w:tcW w:w="293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908,427.80</w:t>
            </w:r>
          </w:p>
        </w:tc>
      </w:tr>
      <w:tr>
        <w:trPr>
          <w:trHeight w:val="415" w:hRule="exact"/>
        </w:trPr>
        <w:tc>
          <w:tcPr>
            <w:tcW w:w="29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65"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1,131,965.84</w:t>
            </w:r>
          </w:p>
        </w:tc>
        <w:tc>
          <w:tcPr>
            <w:tcW w:w="293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1,034,053.15</w:t>
            </w:r>
          </w:p>
        </w:tc>
      </w:tr>
      <w:tr>
        <w:trPr>
          <w:trHeight w:val="415" w:hRule="exact"/>
        </w:trPr>
        <w:tc>
          <w:tcPr>
            <w:tcW w:w="29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765"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567,902.60</w:t>
            </w:r>
          </w:p>
        </w:tc>
        <w:tc>
          <w:tcPr>
            <w:tcW w:w="293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364,595.53</w:t>
            </w:r>
          </w:p>
        </w:tc>
      </w:tr>
      <w:tr>
        <w:trPr>
          <w:trHeight w:val="415" w:hRule="exact"/>
        </w:trPr>
        <w:tc>
          <w:tcPr>
            <w:tcW w:w="29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5"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129,222.66</w:t>
            </w:r>
          </w:p>
        </w:tc>
        <w:tc>
          <w:tcPr>
            <w:tcW w:w="2933"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153,904.11</w:t>
            </w:r>
          </w:p>
        </w:tc>
      </w:tr>
      <w:tr>
        <w:trPr>
          <w:trHeight w:val="415" w:hRule="exact"/>
        </w:trPr>
        <w:tc>
          <w:tcPr>
            <w:tcW w:w="29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4"/>
              <w:ind w:right="128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65"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51"/>
              <w:ind w:right="15"/>
              <w:jc w:val="right"/>
              <w:rPr>
                <w:rFonts w:ascii="Times New Roman" w:hAnsi="Times New Roman" w:cs="Times New Roman" w:eastAsia="Times New Roman" w:hint="default"/>
                <w:sz w:val="18"/>
                <w:szCs w:val="18"/>
              </w:rPr>
            </w:pPr>
            <w:r>
              <w:rPr>
                <w:rFonts w:ascii="Times New Roman"/>
                <w:b/>
                <w:spacing w:val="-1"/>
                <w:sz w:val="18"/>
              </w:rPr>
              <w:t>35,330,599.64</w:t>
            </w:r>
            <w:r>
              <w:rPr>
                <w:rFonts w:ascii="Times New Roman"/>
                <w:spacing w:val="-1"/>
                <w:sz w:val="18"/>
              </w:rPr>
            </w:r>
          </w:p>
        </w:tc>
        <w:tc>
          <w:tcPr>
            <w:tcW w:w="2933"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b/>
                <w:spacing w:val="-1"/>
                <w:sz w:val="18"/>
              </w:rPr>
              <w:t>34,159,168.95</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营业税金及附加的计缴标准见附注三。</w:t>
      </w:r>
    </w:p>
    <w:p>
      <w:pPr>
        <w:spacing w:line="240" w:lineRule="auto" w:before="3"/>
        <w:rPr>
          <w:rFonts w:ascii="宋体" w:hAnsi="宋体" w:cs="宋体" w:eastAsia="宋体" w:hint="default"/>
          <w:sz w:val="23"/>
          <w:szCs w:val="23"/>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an)</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财务费用</w:t>
      </w:r>
    </w:p>
    <w:p>
      <w:pPr>
        <w:spacing w:line="240" w:lineRule="auto" w:before="10"/>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2894"/>
        <w:gridCol w:w="2897"/>
        <w:gridCol w:w="2894"/>
      </w:tblGrid>
      <w:tr>
        <w:trPr>
          <w:trHeight w:val="391" w:hRule="exact"/>
        </w:trPr>
        <w:tc>
          <w:tcPr>
            <w:tcW w:w="28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1260"/>
              <w:jc w:val="right"/>
              <w:rPr>
                <w:rFonts w:ascii="宋体" w:hAnsi="宋体" w:cs="宋体" w:eastAsia="宋体" w:hint="default"/>
                <w:sz w:val="18"/>
                <w:szCs w:val="18"/>
              </w:rPr>
            </w:pPr>
            <w:r>
              <w:rPr>
                <w:rFonts w:ascii="宋体" w:hAnsi="宋体" w:cs="宋体" w:eastAsia="宋体" w:hint="default"/>
                <w:sz w:val="18"/>
                <w:szCs w:val="18"/>
              </w:rPr>
              <w:t>类别</w:t>
            </w:r>
          </w:p>
        </w:tc>
        <w:tc>
          <w:tcPr>
            <w:tcW w:w="28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94" w:hRule="exact"/>
        </w:trPr>
        <w:tc>
          <w:tcPr>
            <w:tcW w:w="28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97" w:type="dxa"/>
            <w:tcBorders>
              <w:top w:val="single" w:sz="4" w:space="0" w:color="000008"/>
              <w:left w:val="single" w:sz="4" w:space="0" w:color="000008"/>
              <w:bottom w:val="single" w:sz="6" w:space="0" w:color="000008"/>
              <w:right w:val="single" w:sz="6" w:space="0" w:color="000008"/>
            </w:tcBorders>
          </w:tcPr>
          <w:p>
            <w:pPr>
              <w:pStyle w:val="TableParagraph"/>
              <w:spacing w:line="240" w:lineRule="auto" w:before="139"/>
              <w:ind w:right="126"/>
              <w:jc w:val="right"/>
              <w:rPr>
                <w:rFonts w:ascii="Times New Roman" w:hAnsi="Times New Roman" w:cs="Times New Roman" w:eastAsia="Times New Roman" w:hint="default"/>
                <w:sz w:val="18"/>
                <w:szCs w:val="18"/>
              </w:rPr>
            </w:pPr>
            <w:r>
              <w:rPr>
                <w:rFonts w:ascii="Times New Roman"/>
                <w:spacing w:val="-1"/>
                <w:sz w:val="18"/>
              </w:rPr>
              <w:t>60,855,992.35</w:t>
            </w:r>
          </w:p>
        </w:tc>
        <w:tc>
          <w:tcPr>
            <w:tcW w:w="2894"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136"/>
              <w:ind w:right="126"/>
              <w:jc w:val="right"/>
              <w:rPr>
                <w:rFonts w:ascii="Times New Roman" w:hAnsi="Times New Roman" w:cs="Times New Roman" w:eastAsia="Times New Roman" w:hint="default"/>
                <w:sz w:val="18"/>
                <w:szCs w:val="18"/>
              </w:rPr>
            </w:pPr>
            <w:r>
              <w:rPr>
                <w:rFonts w:ascii="Times New Roman"/>
                <w:spacing w:val="-1"/>
                <w:sz w:val="18"/>
              </w:rPr>
              <w:t>92,278,682.74</w:t>
            </w:r>
          </w:p>
        </w:tc>
      </w:tr>
      <w:tr>
        <w:trPr>
          <w:trHeight w:val="396" w:hRule="exact"/>
        </w:trPr>
        <w:tc>
          <w:tcPr>
            <w:tcW w:w="28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97"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39"/>
              <w:ind w:right="126"/>
              <w:jc w:val="right"/>
              <w:rPr>
                <w:rFonts w:ascii="Times New Roman" w:hAnsi="Times New Roman" w:cs="Times New Roman" w:eastAsia="Times New Roman" w:hint="default"/>
                <w:sz w:val="18"/>
                <w:szCs w:val="18"/>
              </w:rPr>
            </w:pPr>
            <w:r>
              <w:rPr>
                <w:rFonts w:ascii="Times New Roman"/>
                <w:spacing w:val="-1"/>
                <w:sz w:val="18"/>
              </w:rPr>
              <w:t>20,831,954.44</w:t>
            </w:r>
          </w:p>
        </w:tc>
        <w:tc>
          <w:tcPr>
            <w:tcW w:w="289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9"/>
              <w:ind w:right="126"/>
              <w:jc w:val="right"/>
              <w:rPr>
                <w:rFonts w:ascii="Times New Roman" w:hAnsi="Times New Roman" w:cs="Times New Roman" w:eastAsia="Times New Roman" w:hint="default"/>
                <w:sz w:val="18"/>
                <w:szCs w:val="18"/>
              </w:rPr>
            </w:pPr>
            <w:r>
              <w:rPr>
                <w:rFonts w:ascii="Times New Roman"/>
                <w:spacing w:val="-1"/>
                <w:sz w:val="18"/>
              </w:rPr>
              <w:t>31,214,976.86</w:t>
            </w:r>
          </w:p>
        </w:tc>
      </w:tr>
      <w:tr>
        <w:trPr>
          <w:trHeight w:val="398" w:hRule="exact"/>
        </w:trPr>
        <w:tc>
          <w:tcPr>
            <w:tcW w:w="28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897"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39"/>
              <w:ind w:right="126"/>
              <w:jc w:val="right"/>
              <w:rPr>
                <w:rFonts w:ascii="Times New Roman" w:hAnsi="Times New Roman" w:cs="Times New Roman" w:eastAsia="Times New Roman" w:hint="default"/>
                <w:sz w:val="18"/>
                <w:szCs w:val="18"/>
              </w:rPr>
            </w:pPr>
            <w:r>
              <w:rPr>
                <w:rFonts w:ascii="Times New Roman"/>
                <w:spacing w:val="-1"/>
                <w:sz w:val="18"/>
              </w:rPr>
              <w:t>67,826.95</w:t>
            </w:r>
          </w:p>
        </w:tc>
        <w:tc>
          <w:tcPr>
            <w:tcW w:w="289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9"/>
              <w:ind w:right="126"/>
              <w:jc w:val="right"/>
              <w:rPr>
                <w:rFonts w:ascii="Times New Roman" w:hAnsi="Times New Roman" w:cs="Times New Roman" w:eastAsia="Times New Roman" w:hint="default"/>
                <w:sz w:val="18"/>
                <w:szCs w:val="18"/>
              </w:rPr>
            </w:pPr>
            <w:r>
              <w:rPr>
                <w:rFonts w:ascii="Times New Roman"/>
                <w:spacing w:val="-1"/>
                <w:sz w:val="18"/>
              </w:rPr>
              <w:t>1,921,191.12</w:t>
            </w:r>
          </w:p>
        </w:tc>
      </w:tr>
      <w:tr>
        <w:trPr>
          <w:trHeight w:val="398" w:hRule="exact"/>
        </w:trPr>
        <w:tc>
          <w:tcPr>
            <w:tcW w:w="28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897"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41"/>
              <w:ind w:right="124"/>
              <w:jc w:val="right"/>
              <w:rPr>
                <w:rFonts w:ascii="Times New Roman" w:hAnsi="Times New Roman" w:cs="Times New Roman" w:eastAsia="Times New Roman" w:hint="default"/>
                <w:sz w:val="18"/>
                <w:szCs w:val="18"/>
              </w:rPr>
            </w:pPr>
            <w:r>
              <w:rPr>
                <w:rFonts w:ascii="Times New Roman"/>
                <w:spacing w:val="-1"/>
                <w:sz w:val="18"/>
              </w:rPr>
              <w:t>7,861.86</w:t>
            </w:r>
          </w:p>
        </w:tc>
        <w:tc>
          <w:tcPr>
            <w:tcW w:w="289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6"/>
              <w:ind w:right="126"/>
              <w:jc w:val="right"/>
              <w:rPr>
                <w:rFonts w:ascii="Times New Roman" w:hAnsi="Times New Roman" w:cs="Times New Roman" w:eastAsia="Times New Roman" w:hint="default"/>
                <w:sz w:val="18"/>
                <w:szCs w:val="18"/>
              </w:rPr>
            </w:pPr>
            <w:r>
              <w:rPr>
                <w:rFonts w:ascii="Times New Roman"/>
                <w:spacing w:val="-1"/>
                <w:sz w:val="18"/>
              </w:rPr>
              <w:t>73,936.63</w:t>
            </w:r>
          </w:p>
        </w:tc>
      </w:tr>
      <w:tr>
        <w:trPr>
          <w:trHeight w:val="396" w:hRule="exact"/>
        </w:trPr>
        <w:tc>
          <w:tcPr>
            <w:tcW w:w="28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97"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39"/>
              <w:ind w:right="126"/>
              <w:jc w:val="right"/>
              <w:rPr>
                <w:rFonts w:ascii="Times New Roman" w:hAnsi="Times New Roman" w:cs="Times New Roman" w:eastAsia="Times New Roman" w:hint="default"/>
                <w:sz w:val="18"/>
                <w:szCs w:val="18"/>
              </w:rPr>
            </w:pPr>
            <w:r>
              <w:rPr>
                <w:rFonts w:ascii="Times New Roman"/>
                <w:spacing w:val="-1"/>
                <w:sz w:val="18"/>
              </w:rPr>
              <w:t>23,913.77</w:t>
            </w:r>
          </w:p>
        </w:tc>
        <w:tc>
          <w:tcPr>
            <w:tcW w:w="289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39"/>
              <w:ind w:right="124"/>
              <w:jc w:val="right"/>
              <w:rPr>
                <w:rFonts w:ascii="Times New Roman" w:hAnsi="Times New Roman" w:cs="Times New Roman" w:eastAsia="Times New Roman" w:hint="default"/>
                <w:sz w:val="18"/>
                <w:szCs w:val="18"/>
              </w:rPr>
            </w:pPr>
            <w:r>
              <w:rPr>
                <w:rFonts w:ascii="Times New Roman"/>
                <w:spacing w:val="-1"/>
                <w:sz w:val="18"/>
              </w:rPr>
              <w:t>-120,736.35</w:t>
            </w:r>
          </w:p>
        </w:tc>
      </w:tr>
      <w:tr>
        <w:trPr>
          <w:trHeight w:val="398" w:hRule="exact"/>
        </w:trPr>
        <w:tc>
          <w:tcPr>
            <w:tcW w:w="28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2"/>
              <w:ind w:right="131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97"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39"/>
              <w:ind w:right="121"/>
              <w:jc w:val="right"/>
              <w:rPr>
                <w:rFonts w:ascii="Times New Roman" w:hAnsi="Times New Roman" w:cs="Times New Roman" w:eastAsia="Times New Roman" w:hint="default"/>
                <w:sz w:val="18"/>
                <w:szCs w:val="18"/>
              </w:rPr>
            </w:pPr>
            <w:r>
              <w:rPr>
                <w:rFonts w:ascii="Times New Roman"/>
                <w:b/>
                <w:spacing w:val="-1"/>
                <w:sz w:val="18"/>
              </w:rPr>
              <w:t>40,107,916.77</w:t>
            </w:r>
            <w:r>
              <w:rPr>
                <w:rFonts w:ascii="Times New Roman"/>
                <w:spacing w:val="-1"/>
                <w:sz w:val="18"/>
              </w:rPr>
            </w:r>
          </w:p>
        </w:tc>
        <w:tc>
          <w:tcPr>
            <w:tcW w:w="2894" w:type="dxa"/>
            <w:tcBorders>
              <w:top w:val="single" w:sz="6" w:space="0" w:color="000008"/>
              <w:left w:val="single" w:sz="6" w:space="0" w:color="000008"/>
              <w:bottom w:val="single" w:sz="6" w:space="0" w:color="000008"/>
              <w:right w:val="single" w:sz="4" w:space="0" w:color="000008"/>
            </w:tcBorders>
          </w:tcPr>
          <w:p>
            <w:pPr>
              <w:pStyle w:val="TableParagraph"/>
              <w:spacing w:line="240" w:lineRule="auto" w:before="139"/>
              <w:ind w:right="123"/>
              <w:jc w:val="right"/>
              <w:rPr>
                <w:rFonts w:ascii="Times New Roman" w:hAnsi="Times New Roman" w:cs="Times New Roman" w:eastAsia="Times New Roman" w:hint="default"/>
                <w:sz w:val="18"/>
                <w:szCs w:val="18"/>
              </w:rPr>
            </w:pPr>
            <w:r>
              <w:rPr>
                <w:rFonts w:ascii="Times New Roman"/>
                <w:b/>
                <w:spacing w:val="-1"/>
                <w:sz w:val="18"/>
              </w:rPr>
              <w:t>62,790,224.02</w:t>
            </w:r>
            <w:r>
              <w:rPr>
                <w:rFonts w:ascii="Times New Roman"/>
                <w:spacing w:val="-1"/>
                <w:sz w:val="18"/>
              </w:rPr>
            </w:r>
          </w:p>
        </w:tc>
      </w:tr>
    </w:tbl>
    <w:p>
      <w:pPr>
        <w:spacing w:line="240" w:lineRule="auto" w:before="8"/>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ao)</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资产减值损失</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1267"/>
              <w:jc w:val="right"/>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2"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93,658,727.51</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69,479,149.89</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1,044,689.52</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3,937,503.92</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三、其他</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12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94,703,417.03</w:t>
            </w:r>
            <w:r>
              <w:rPr>
                <w:rFonts w:ascii="Times New Roman"/>
                <w:spacing w:val="-1"/>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73,416,653.81</w:t>
            </w:r>
            <w:r>
              <w:rPr>
                <w:rFonts w:ascii="Times New Roman"/>
                <w:spacing w:val="-1"/>
                <w:sz w:val="18"/>
              </w:rPr>
            </w:r>
          </w:p>
        </w:tc>
      </w:tr>
    </w:tbl>
    <w:p>
      <w:pPr>
        <w:spacing w:line="240" w:lineRule="auto" w:before="8"/>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ap)</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投资收益</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）投资收益明细情况</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344"/>
        <w:gridCol w:w="2153"/>
        <w:gridCol w:w="2225"/>
      </w:tblGrid>
      <w:tr>
        <w:trPr>
          <w:trHeight w:val="372" w:hRule="exact"/>
        </w:trPr>
        <w:tc>
          <w:tcPr>
            <w:tcW w:w="4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6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2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4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1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3,811,830.58</w:t>
            </w:r>
          </w:p>
        </w:tc>
        <w:tc>
          <w:tcPr>
            <w:tcW w:w="22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9,850,671.44</w:t>
            </w:r>
          </w:p>
        </w:tc>
      </w:tr>
      <w:tr>
        <w:trPr>
          <w:trHeight w:val="370" w:hRule="exact"/>
        </w:trPr>
        <w:tc>
          <w:tcPr>
            <w:tcW w:w="4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48,358,439.87</w:t>
            </w:r>
          </w:p>
        </w:tc>
        <w:tc>
          <w:tcPr>
            <w:tcW w:w="22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12,292,858.43</w:t>
            </w:r>
          </w:p>
        </w:tc>
      </w:tr>
      <w:tr>
        <w:trPr>
          <w:trHeight w:val="370" w:hRule="exact"/>
        </w:trPr>
        <w:tc>
          <w:tcPr>
            <w:tcW w:w="4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1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153,363,518.62</w:t>
            </w:r>
          </w:p>
        </w:tc>
        <w:tc>
          <w:tcPr>
            <w:tcW w:w="22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18,782,576.34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480" w:right="1340"/>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344"/>
        <w:gridCol w:w="2153"/>
        <w:gridCol w:w="2225"/>
      </w:tblGrid>
      <w:tr>
        <w:trPr>
          <w:trHeight w:val="370" w:hRule="exact"/>
        </w:trPr>
        <w:tc>
          <w:tcPr>
            <w:tcW w:w="4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1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22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320,784.84</w:t>
            </w:r>
          </w:p>
        </w:tc>
      </w:tr>
      <w:tr>
        <w:trPr>
          <w:trHeight w:val="370" w:hRule="exact"/>
        </w:trPr>
        <w:tc>
          <w:tcPr>
            <w:tcW w:w="4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-1,155,804.85</w:t>
            </w:r>
          </w:p>
        </w:tc>
        <w:tc>
          <w:tcPr>
            <w:tcW w:w="22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-1,155,804.85</w:t>
            </w:r>
          </w:p>
        </w:tc>
      </w:tr>
      <w:tr>
        <w:trPr>
          <w:trHeight w:val="370" w:hRule="exact"/>
        </w:trPr>
        <w:tc>
          <w:tcPr>
            <w:tcW w:w="4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1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1"/>
                <w:sz w:val="18"/>
              </w:rPr>
              <w:t>204,377,984.22</w:t>
            </w:r>
            <w:r>
              <w:rPr>
                <w:rFonts w:ascii="Times New Roman"/>
                <w:spacing w:val="-1"/>
                <w:sz w:val="18"/>
              </w:rPr>
            </w:r>
          </w:p>
        </w:tc>
        <w:tc>
          <w:tcPr>
            <w:tcW w:w="22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1"/>
                <w:sz w:val="18"/>
              </w:rPr>
              <w:t>40,091,086.20</w:t>
            </w:r>
            <w:r>
              <w:rPr>
                <w:rFonts w:ascii="Times New Roman"/>
                <w:spacing w:val="-1"/>
                <w:sz w:val="18"/>
              </w:rPr>
            </w:r>
          </w:p>
        </w:tc>
      </w:tr>
    </w:tbl>
    <w:p>
      <w:pPr>
        <w:spacing w:line="240" w:lineRule="auto" w:before="11"/>
        <w:rPr>
          <w:rFonts w:ascii="宋体" w:hAnsi="宋体" w:cs="宋体" w:eastAsia="宋体" w:hint="default"/>
          <w:sz w:val="16"/>
          <w:szCs w:val="16"/>
        </w:rPr>
      </w:pPr>
    </w:p>
    <w:p>
      <w:pPr>
        <w:spacing w:before="36"/>
        <w:ind w:left="641" w:right="212"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）按权益法核算的长期股权投资收益（前 </w:t>
      </w:r>
      <w:r>
        <w:rPr>
          <w:rFonts w:ascii="Times New Roman" w:hAnsi="Times New Roman" w:cs="Times New Roman" w:eastAsia="Times New Roman" w:hint="default"/>
          <w:w w:val="95"/>
          <w:sz w:val="21"/>
          <w:szCs w:val="21"/>
        </w:rPr>
        <w:t>5  </w:t>
      </w:r>
      <w:r>
        <w:rPr>
          <w:rFonts w:ascii="宋体" w:hAnsi="宋体" w:cs="宋体" w:eastAsia="宋体" w:hint="default"/>
          <w:w w:val="95"/>
          <w:sz w:val="21"/>
          <w:szCs w:val="21"/>
        </w:rPr>
        <w:t>名</w:t>
      </w:r>
      <w:r>
        <w:rPr>
          <w:rFonts w:ascii="宋体" w:hAnsi="宋体" w:cs="宋体" w:eastAsia="宋体" w:hint="default"/>
          <w:spacing w:val="-17"/>
          <w:w w:val="95"/>
          <w:sz w:val="21"/>
          <w:szCs w:val="21"/>
        </w:rPr>
        <w:t> </w:t>
      </w:r>
      <w:r>
        <w:rPr>
          <w:rFonts w:ascii="宋体" w:hAnsi="宋体" w:cs="宋体" w:eastAsia="宋体" w:hint="default"/>
          <w:spacing w:val="-41"/>
          <w:w w:val="95"/>
          <w:sz w:val="21"/>
          <w:szCs w:val="21"/>
        </w:rPr>
        <w:t>）：</w:t>
      </w:r>
      <w:r>
        <w:rPr>
          <w:rFonts w:ascii="宋体" w:hAnsi="宋体" w:cs="宋体" w:eastAsia="宋体" w:hint="default"/>
          <w:spacing w:val="-41"/>
          <w:sz w:val="21"/>
          <w:szCs w:val="21"/>
        </w:rPr>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020"/>
        <w:gridCol w:w="1454"/>
        <w:gridCol w:w="1454"/>
        <w:gridCol w:w="1716"/>
      </w:tblGrid>
      <w:tr>
        <w:trPr>
          <w:trHeight w:val="730" w:hRule="exact"/>
        </w:trPr>
        <w:tc>
          <w:tcPr>
            <w:tcW w:w="40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
              <w:ind w:left="403" w:right="221" w:hanging="180"/>
              <w:jc w:val="left"/>
              <w:rPr>
                <w:rFonts w:ascii="宋体" w:hAnsi="宋体" w:cs="宋体" w:eastAsia="宋体" w:hint="default"/>
                <w:sz w:val="18"/>
                <w:szCs w:val="18"/>
              </w:rPr>
            </w:pPr>
            <w:r>
              <w:rPr>
                <w:rFonts w:ascii="宋体" w:hAnsi="宋体" w:cs="宋体" w:eastAsia="宋体" w:hint="default"/>
                <w:sz w:val="18"/>
                <w:szCs w:val="18"/>
              </w:rPr>
              <w:t>本期比上期增减 变动的原因</w:t>
            </w:r>
          </w:p>
        </w:tc>
      </w:tr>
      <w:tr>
        <w:trPr>
          <w:trHeight w:val="372" w:hRule="exact"/>
        </w:trPr>
        <w:tc>
          <w:tcPr>
            <w:tcW w:w="40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26,183,238.30</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18,020,103.05</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491"/>
              <w:jc w:val="right"/>
              <w:rPr>
                <w:rFonts w:ascii="宋体" w:hAnsi="宋体" w:cs="宋体" w:eastAsia="宋体" w:hint="default"/>
                <w:sz w:val="18"/>
                <w:szCs w:val="18"/>
              </w:rPr>
            </w:pPr>
            <w:r>
              <w:rPr>
                <w:rFonts w:ascii="宋体" w:hAnsi="宋体" w:cs="宋体" w:eastAsia="宋体" w:hint="default"/>
                <w:sz w:val="18"/>
                <w:szCs w:val="18"/>
              </w:rPr>
              <w:t>盈利增加</w:t>
            </w:r>
          </w:p>
        </w:tc>
      </w:tr>
      <w:tr>
        <w:trPr>
          <w:trHeight w:val="370" w:hRule="exact"/>
        </w:trPr>
        <w:tc>
          <w:tcPr>
            <w:tcW w:w="40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合肥周谷堆农产品市场有限公司</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18,634,732.36</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11,156,549.36</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491"/>
              <w:jc w:val="right"/>
              <w:rPr>
                <w:rFonts w:ascii="宋体" w:hAnsi="宋体" w:cs="宋体" w:eastAsia="宋体" w:hint="default"/>
                <w:sz w:val="18"/>
                <w:szCs w:val="18"/>
              </w:rPr>
            </w:pPr>
            <w:r>
              <w:rPr>
                <w:rFonts w:ascii="宋体" w:hAnsi="宋体" w:cs="宋体" w:eastAsia="宋体" w:hint="default"/>
                <w:sz w:val="18"/>
                <w:szCs w:val="18"/>
              </w:rPr>
              <w:t>盈利增加</w:t>
            </w:r>
          </w:p>
        </w:tc>
      </w:tr>
      <w:tr>
        <w:trPr>
          <w:trHeight w:val="370" w:hRule="exact"/>
        </w:trPr>
        <w:tc>
          <w:tcPr>
            <w:tcW w:w="40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2,983,018.66</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2,240,000.00</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491"/>
              <w:jc w:val="right"/>
              <w:rPr>
                <w:rFonts w:ascii="宋体" w:hAnsi="宋体" w:cs="宋体" w:eastAsia="宋体" w:hint="default"/>
                <w:sz w:val="18"/>
                <w:szCs w:val="18"/>
              </w:rPr>
            </w:pPr>
            <w:r>
              <w:rPr>
                <w:rFonts w:ascii="宋体" w:hAnsi="宋体" w:cs="宋体" w:eastAsia="宋体" w:hint="default"/>
                <w:sz w:val="18"/>
                <w:szCs w:val="18"/>
              </w:rPr>
              <w:t>盈利增加</w:t>
            </w:r>
          </w:p>
        </w:tc>
      </w:tr>
      <w:tr>
        <w:trPr>
          <w:trHeight w:val="370" w:hRule="exact"/>
        </w:trPr>
        <w:tc>
          <w:tcPr>
            <w:tcW w:w="40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北京市大红门京深海鲜批发市场有限公司</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2,899,578.75</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830,049.89</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491"/>
              <w:jc w:val="right"/>
              <w:rPr>
                <w:rFonts w:ascii="宋体" w:hAnsi="宋体" w:cs="宋体" w:eastAsia="宋体" w:hint="default"/>
                <w:sz w:val="18"/>
                <w:szCs w:val="18"/>
              </w:rPr>
            </w:pPr>
            <w:r>
              <w:rPr>
                <w:rFonts w:ascii="宋体" w:hAnsi="宋体" w:cs="宋体" w:eastAsia="宋体" w:hint="default"/>
                <w:sz w:val="18"/>
                <w:szCs w:val="18"/>
              </w:rPr>
              <w:t>盈利增加</w:t>
            </w:r>
          </w:p>
        </w:tc>
      </w:tr>
      <w:tr>
        <w:trPr>
          <w:trHeight w:val="384" w:hRule="exact"/>
        </w:trPr>
        <w:tc>
          <w:tcPr>
            <w:tcW w:w="40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-3,592,771.47</w:t>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2,033,818.14</w:t>
            </w:r>
          </w:p>
        </w:tc>
        <w:tc>
          <w:tcPr>
            <w:tcW w:w="1716" w:type="dxa"/>
            <w:tcBorders>
              <w:top w:val="single" w:sz="4" w:space="0" w:color="000008"/>
              <w:left w:val="single" w:sz="4" w:space="0" w:color="000008"/>
              <w:bottom w:val="single" w:sz="4" w:space="0" w:color="000008"/>
              <w:right w:val="single" w:sz="4" w:space="0" w:color="000008"/>
            </w:tcBorders>
          </w:tcPr>
          <w:p>
            <w:pPr>
              <w:pStyle w:val="TableParagraph"/>
              <w:tabs>
                <w:tab w:pos="539" w:val="left" w:leader="none"/>
              </w:tabs>
              <w:spacing w:line="240" w:lineRule="auto" w:before="80"/>
              <w:ind w:right="491"/>
              <w:jc w:val="right"/>
              <w:rPr>
                <w:rFonts w:ascii="宋体" w:hAnsi="宋体" w:cs="宋体" w:eastAsia="宋体" w:hint="default"/>
                <w:sz w:val="18"/>
                <w:szCs w:val="18"/>
              </w:rPr>
            </w:pPr>
            <w:r>
              <w:rPr>
                <w:rFonts w:ascii="宋体" w:hAnsi="宋体" w:cs="宋体" w:eastAsia="宋体" w:hint="default"/>
                <w:sz w:val="18"/>
                <w:szCs w:val="18"/>
              </w:rPr>
              <w:t>亏</w:t>
              <w:tab/>
              <w:t>损</w:t>
            </w:r>
          </w:p>
        </w:tc>
      </w:tr>
      <w:tr>
        <w:trPr>
          <w:trHeight w:val="370" w:hRule="exact"/>
        </w:trPr>
        <w:tc>
          <w:tcPr>
            <w:tcW w:w="40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47,107,796.60</w:t>
            </w:r>
            <w:r>
              <w:rPr>
                <w:rFonts w:ascii="Times New Roman"/>
                <w:spacing w:val="-1"/>
                <w:sz w:val="18"/>
              </w:rPr>
            </w:r>
          </w:p>
        </w:tc>
        <w:tc>
          <w:tcPr>
            <w:tcW w:w="1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34,280,520.44</w:t>
            </w:r>
            <w:r>
              <w:rPr>
                <w:rFonts w:ascii="Times New Roman"/>
                <w:spacing w:val="-1"/>
                <w:sz w:val="18"/>
              </w:rPr>
            </w:r>
          </w:p>
        </w:tc>
        <w:tc>
          <w:tcPr>
            <w:tcW w:w="1716"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8"/>
        <w:rPr>
          <w:rFonts w:ascii="宋体" w:hAnsi="宋体" w:cs="宋体" w:eastAsia="宋体" w:hint="default"/>
          <w:sz w:val="19"/>
          <w:szCs w:val="19"/>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aq)</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营业外收入</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17,829,181.44</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16,064,257.72</w:t>
            </w:r>
          </w:p>
        </w:tc>
      </w:tr>
      <w:tr>
        <w:trPr>
          <w:trHeight w:val="382"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17,829,181.44</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8,953,627.83</w:t>
            </w:r>
          </w:p>
        </w:tc>
      </w:tr>
      <w:tr>
        <w:trPr>
          <w:trHeight w:val="37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64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7,110,629.89</w:t>
            </w:r>
          </w:p>
        </w:tc>
      </w:tr>
      <w:tr>
        <w:trPr>
          <w:trHeight w:val="37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54,661,913.59</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51,407,472.30</w:t>
            </w:r>
          </w:p>
        </w:tc>
      </w:tr>
      <w:tr>
        <w:trPr>
          <w:trHeight w:val="382"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110,329.54</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1,151,875.00</w:t>
            </w:r>
          </w:p>
        </w:tc>
      </w:tr>
      <w:tr>
        <w:trPr>
          <w:trHeight w:val="37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房改房补差收入</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3,054,131.00</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9"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4,296,059.77</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28,407,219.73</w:t>
            </w:r>
          </w:p>
        </w:tc>
      </w:tr>
      <w:tr>
        <w:trPr>
          <w:trHeight w:val="382"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79,951,615.34</w:t>
            </w:r>
            <w:r>
              <w:rPr>
                <w:rFonts w:ascii="Times New Roman"/>
                <w:spacing w:val="-1"/>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97,030,824.75</w:t>
            </w:r>
            <w:r>
              <w:rPr>
                <w:rFonts w:ascii="Times New Roman"/>
                <w:spacing w:val="-1"/>
                <w:sz w:val="18"/>
              </w:rPr>
            </w:r>
          </w:p>
        </w:tc>
      </w:tr>
    </w:tbl>
    <w:p>
      <w:pPr>
        <w:spacing w:line="393" w:lineRule="auto" w:before="174"/>
        <w:ind w:left="641" w:right="11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主要系收到的深宝股权转让事宜的违约金与相关费用的差额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2,182,109.06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政府补助明细如下</w:t>
      </w:r>
    </w:p>
    <w:tbl>
      <w:tblPr>
        <w:tblW w:w="0" w:type="auto"/>
        <w:jc w:val="left"/>
        <w:tblInd w:w="185" w:type="dxa"/>
        <w:tblLayout w:type="fixed"/>
        <w:tblCellMar>
          <w:top w:w="0" w:type="dxa"/>
          <w:left w:w="0" w:type="dxa"/>
          <w:bottom w:w="0" w:type="dxa"/>
          <w:right w:w="0" w:type="dxa"/>
        </w:tblCellMar>
        <w:tblLook w:val="01E0"/>
      </w:tblPr>
      <w:tblGrid>
        <w:gridCol w:w="2779"/>
        <w:gridCol w:w="1932"/>
        <w:gridCol w:w="1934"/>
        <w:gridCol w:w="1934"/>
      </w:tblGrid>
      <w:tr>
        <w:trPr>
          <w:trHeight w:val="403" w:hRule="exact"/>
        </w:trPr>
        <w:tc>
          <w:tcPr>
            <w:tcW w:w="2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农牧公司活体猪储备补贴</w:t>
            </w:r>
          </w:p>
        </w:tc>
        <w:tc>
          <w:tcPr>
            <w:tcW w:w="19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7,021,200.00</w:t>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7,000,000.00</w:t>
            </w:r>
          </w:p>
        </w:tc>
        <w:tc>
          <w:tcPr>
            <w:tcW w:w="1934" w:type="dxa"/>
            <w:tcBorders>
              <w:top w:val="single" w:sz="4" w:space="0" w:color="000008"/>
              <w:left w:val="single" w:sz="4" w:space="0" w:color="000008"/>
              <w:bottom w:val="single" w:sz="4" w:space="0" w:color="000008"/>
              <w:right w:val="single" w:sz="4" w:space="0" w:color="000008"/>
            </w:tcBorders>
          </w:tcPr>
          <w:p>
            <w:pPr/>
          </w:p>
        </w:tc>
      </w:tr>
      <w:tr>
        <w:trPr>
          <w:trHeight w:val="389" w:hRule="exact"/>
        </w:trPr>
        <w:tc>
          <w:tcPr>
            <w:tcW w:w="2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南昌农批雪灾补助款</w:t>
            </w:r>
          </w:p>
        </w:tc>
        <w:tc>
          <w:tcPr>
            <w:tcW w:w="19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4,610,000.00</w:t>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934" w:type="dxa"/>
            <w:tcBorders>
              <w:top w:val="single" w:sz="4" w:space="0" w:color="000008"/>
              <w:left w:val="single" w:sz="4" w:space="0" w:color="000008"/>
              <w:bottom w:val="single" w:sz="4" w:space="0" w:color="000008"/>
              <w:right w:val="single" w:sz="4" w:space="0" w:color="000008"/>
            </w:tcBorders>
          </w:tcPr>
          <w:p>
            <w:pPr/>
          </w:p>
        </w:tc>
      </w:tr>
      <w:tr>
        <w:trPr>
          <w:trHeight w:val="403" w:hRule="exact"/>
        </w:trPr>
        <w:tc>
          <w:tcPr>
            <w:tcW w:w="2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福田农批福田区工商局损失补助</w:t>
            </w:r>
          </w:p>
        </w:tc>
        <w:tc>
          <w:tcPr>
            <w:tcW w:w="19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4,343,690.00</w:t>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934" w:type="dxa"/>
            <w:tcBorders>
              <w:top w:val="single" w:sz="4" w:space="0" w:color="000008"/>
              <w:left w:val="single" w:sz="4" w:space="0" w:color="000008"/>
              <w:bottom w:val="single" w:sz="4" w:space="0" w:color="000008"/>
              <w:right w:val="single" w:sz="4" w:space="0" w:color="000008"/>
            </w:tcBorders>
          </w:tcPr>
          <w:p>
            <w:pPr/>
          </w:p>
        </w:tc>
      </w:tr>
      <w:tr>
        <w:trPr>
          <w:trHeight w:val="406" w:hRule="exact"/>
        </w:trPr>
        <w:tc>
          <w:tcPr>
            <w:tcW w:w="2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9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3,363,000.00</w:t>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10,739,524.00</w:t>
            </w:r>
          </w:p>
        </w:tc>
        <w:tc>
          <w:tcPr>
            <w:tcW w:w="1934" w:type="dxa"/>
            <w:tcBorders>
              <w:top w:val="single" w:sz="4" w:space="0" w:color="000008"/>
              <w:left w:val="single" w:sz="4" w:space="0" w:color="000008"/>
              <w:bottom w:val="single" w:sz="4" w:space="0" w:color="000008"/>
              <w:right w:val="single" w:sz="4" w:space="0" w:color="000008"/>
            </w:tcBorders>
          </w:tcPr>
          <w:p>
            <w:pPr/>
          </w:p>
        </w:tc>
      </w:tr>
      <w:tr>
        <w:trPr>
          <w:trHeight w:val="386" w:hRule="exact"/>
        </w:trPr>
        <w:tc>
          <w:tcPr>
            <w:tcW w:w="2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与资产相关的政府补助摊销</w:t>
            </w:r>
          </w:p>
        </w:tc>
        <w:tc>
          <w:tcPr>
            <w:tcW w:w="19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19,022,816.12</w:t>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12,351,036.30</w:t>
            </w:r>
          </w:p>
        </w:tc>
        <w:tc>
          <w:tcPr>
            <w:tcW w:w="1934" w:type="dxa"/>
            <w:tcBorders>
              <w:top w:val="single" w:sz="4" w:space="0" w:color="000008"/>
              <w:left w:val="single" w:sz="4" w:space="0" w:color="000008"/>
              <w:bottom w:val="single" w:sz="4" w:space="0" w:color="000008"/>
              <w:right w:val="single" w:sz="4" w:space="0" w:color="000008"/>
            </w:tcBorders>
          </w:tcPr>
          <w:p>
            <w:pPr/>
          </w:p>
        </w:tc>
      </w:tr>
      <w:tr>
        <w:trPr>
          <w:trHeight w:val="406" w:hRule="exact"/>
        </w:trPr>
        <w:tc>
          <w:tcPr>
            <w:tcW w:w="2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南山农批食品流通项目补助</w:t>
            </w:r>
          </w:p>
        </w:tc>
        <w:tc>
          <w:tcPr>
            <w:tcW w:w="19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5,376,495.94</w:t>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934" w:type="dxa"/>
            <w:tcBorders>
              <w:top w:val="single" w:sz="4" w:space="0" w:color="000008"/>
              <w:left w:val="single" w:sz="4" w:space="0" w:color="000008"/>
              <w:bottom w:val="single" w:sz="4" w:space="0" w:color="000008"/>
              <w:right w:val="single" w:sz="4" w:space="0" w:color="000008"/>
            </w:tcBorders>
          </w:tcPr>
          <w:p>
            <w:pPr/>
          </w:p>
        </w:tc>
      </w:tr>
      <w:tr>
        <w:trPr>
          <w:trHeight w:val="403" w:hRule="exact"/>
        </w:trPr>
        <w:tc>
          <w:tcPr>
            <w:tcW w:w="2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10,924,711.53</w:t>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21,316,912.00</w:t>
            </w:r>
          </w:p>
        </w:tc>
        <w:tc>
          <w:tcPr>
            <w:tcW w:w="1934"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0" w:footer="897" w:top="1640" w:bottom="1080" w:left="1480" w:right="1480"/>
        </w:sectPr>
      </w:pPr>
    </w:p>
    <w:p>
      <w:pPr>
        <w:spacing w:line="240" w:lineRule="auto" w:before="13"/>
        <w:rPr>
          <w:rFonts w:ascii="宋体" w:hAnsi="宋体" w:cs="宋体" w:eastAsia="宋体" w:hint="default"/>
          <w:sz w:val="15"/>
          <w:szCs w:val="15"/>
        </w:rPr>
      </w:pPr>
    </w:p>
    <w:tbl>
      <w:tblPr>
        <w:tblW w:w="0" w:type="auto"/>
        <w:jc w:val="left"/>
        <w:tblInd w:w="185" w:type="dxa"/>
        <w:tblLayout w:type="fixed"/>
        <w:tblCellMar>
          <w:top w:w="0" w:type="dxa"/>
          <w:left w:w="0" w:type="dxa"/>
          <w:bottom w:w="0" w:type="dxa"/>
          <w:right w:w="0" w:type="dxa"/>
        </w:tblCellMar>
        <w:tblLook w:val="01E0"/>
      </w:tblPr>
      <w:tblGrid>
        <w:gridCol w:w="2779"/>
        <w:gridCol w:w="1932"/>
        <w:gridCol w:w="1934"/>
        <w:gridCol w:w="1934"/>
      </w:tblGrid>
      <w:tr>
        <w:trPr>
          <w:trHeight w:val="403" w:hRule="exact"/>
        </w:trPr>
        <w:tc>
          <w:tcPr>
            <w:tcW w:w="2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b/>
                <w:sz w:val="18"/>
              </w:rPr>
              <w:t>54,661,913.59</w:t>
            </w:r>
            <w:r>
              <w:rPr>
                <w:rFonts w:ascii="Times New Roman"/>
                <w:sz w:val="18"/>
              </w:rPr>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b/>
                <w:sz w:val="18"/>
              </w:rPr>
              <w:t>51,407,472.30</w:t>
            </w:r>
            <w:r>
              <w:rPr>
                <w:rFonts w:ascii="Times New Roman"/>
                <w:sz w:val="18"/>
              </w:rPr>
            </w:r>
          </w:p>
        </w:tc>
        <w:tc>
          <w:tcPr>
            <w:tcW w:w="19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right="2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bl>
    <w:p>
      <w:pPr>
        <w:spacing w:line="240" w:lineRule="auto" w:before="8"/>
        <w:rPr>
          <w:rFonts w:ascii="宋体" w:hAnsi="宋体" w:cs="宋体" w:eastAsia="宋体" w:hint="default"/>
          <w:sz w:val="16"/>
          <w:szCs w:val="16"/>
        </w:rPr>
      </w:pPr>
    </w:p>
    <w:p>
      <w:pPr>
        <w:spacing w:before="36"/>
        <w:ind w:left="641" w:right="48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ar)</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营业外支出</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1,187,093.86</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635,038.99</w:t>
            </w:r>
          </w:p>
        </w:tc>
      </w:tr>
      <w:tr>
        <w:trPr>
          <w:trHeight w:val="372"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1,187,093.86</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635,038.99</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645"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2"/>
                <w:sz w:val="18"/>
              </w:rPr>
              <w:t>119,759.77</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55,519.52</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2"/>
                <w:sz w:val="18"/>
              </w:rPr>
              <w:t>117,970.00</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1,681,858.98</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558,689.40</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83,412.76</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254,697.01</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2,354,935.19</w:t>
            </w:r>
          </w:p>
        </w:tc>
      </w:tr>
      <w:tr>
        <w:trPr>
          <w:trHeight w:val="372"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担保损失</w:t>
            </w:r>
            <w:r>
              <w:rPr>
                <w:rFonts w:ascii="Times New Roman" w:hAnsi="Times New Roman" w:cs="Times New Roman" w:eastAsia="Times New Roman" w:hint="default"/>
                <w:sz w:val="18"/>
                <w:szCs w:val="18"/>
              </w:rPr>
              <w:t>*</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65,000,000.00</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106,960.63</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814,840.56</w:t>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695,485.21</w:t>
            </w:r>
          </w:p>
        </w:tc>
      </w:tr>
      <w:tr>
        <w:trPr>
          <w:trHeight w:val="370" w:hRule="exact"/>
        </w:trPr>
        <w:tc>
          <w:tcPr>
            <w:tcW w:w="29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2"/>
                <w:sz w:val="18"/>
              </w:rPr>
              <w:t>68,160,011.23</w:t>
            </w:r>
            <w:r>
              <w:rPr>
                <w:rFonts w:ascii="Times New Roman"/>
                <w:spacing w:val="-2"/>
                <w:sz w:val="18"/>
              </w:rPr>
            </w:r>
          </w:p>
        </w:tc>
        <w:tc>
          <w:tcPr>
            <w:tcW w:w="29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1"/>
                <w:sz w:val="18"/>
              </w:rPr>
              <w:t>5,006,250.65</w:t>
            </w:r>
            <w:r>
              <w:rPr>
                <w:rFonts w:ascii="Times New Roman"/>
                <w:spacing w:val="-1"/>
                <w:sz w:val="18"/>
              </w:rPr>
            </w:r>
          </w:p>
        </w:tc>
      </w:tr>
    </w:tbl>
    <w:p>
      <w:pPr>
        <w:spacing w:line="240" w:lineRule="auto" w:before="5"/>
        <w:rPr>
          <w:rFonts w:ascii="宋体" w:hAnsi="宋体" w:cs="宋体" w:eastAsia="宋体" w:hint="default"/>
          <w:sz w:val="19"/>
          <w:szCs w:val="19"/>
        </w:rPr>
      </w:pPr>
    </w:p>
    <w:p>
      <w:pPr>
        <w:spacing w:line="480" w:lineRule="auto" w:before="0"/>
        <w:ind w:left="641" w:right="1134" w:firstLine="0"/>
        <w:jc w:val="left"/>
        <w:rPr>
          <w:rFonts w:ascii="宋体" w:hAnsi="宋体" w:cs="宋体" w:eastAsia="宋体" w:hint="default"/>
          <w:sz w:val="21"/>
          <w:szCs w:val="21"/>
        </w:rPr>
      </w:pPr>
      <w:r>
        <w:rPr/>
        <w:pict>
          <v:shape style="position:absolute;margin-left:83.279999pt;margin-top:51.143661pt;width:433.6pt;height:75.25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9"/>
                    <w:gridCol w:w="2710"/>
                    <w:gridCol w:w="2923"/>
                  </w:tblGrid>
                  <w:tr>
                    <w:trPr>
                      <w:trHeight w:val="370" w:hRule="exact"/>
                    </w:trPr>
                    <w:tc>
                      <w:tcPr>
                        <w:tcW w:w="30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4" w:hRule="exact"/>
                    </w:trPr>
                    <w:tc>
                      <w:tcPr>
                        <w:tcW w:w="30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710" w:type="dxa"/>
                        <w:tcBorders>
                          <w:top w:val="single" w:sz="4" w:space="0" w:color="000008"/>
                          <w:left w:val="single" w:sz="4" w:space="0" w:color="000008"/>
                          <w:bottom w:val="single" w:sz="6" w:space="0" w:color="000008"/>
                          <w:right w:val="single" w:sz="6" w:space="0" w:color="000008"/>
                        </w:tcBorders>
                      </w:tcPr>
                      <w:p>
                        <w:pPr>
                          <w:pStyle w:val="TableParagraph"/>
                          <w:spacing w:line="240" w:lineRule="auto" w:before="156"/>
                          <w:ind w:right="25"/>
                          <w:jc w:val="right"/>
                          <w:rPr>
                            <w:rFonts w:ascii="Times New Roman" w:hAnsi="Times New Roman" w:cs="Times New Roman" w:eastAsia="Times New Roman" w:hint="default"/>
                            <w:sz w:val="18"/>
                            <w:szCs w:val="18"/>
                          </w:rPr>
                        </w:pPr>
                        <w:r>
                          <w:rPr>
                            <w:rFonts w:ascii="Times New Roman"/>
                            <w:spacing w:val="-1"/>
                            <w:sz w:val="18"/>
                          </w:rPr>
                          <w:t>54,714,603.43</w:t>
                        </w:r>
                      </w:p>
                    </w:tc>
                    <w:tc>
                      <w:tcPr>
                        <w:tcW w:w="2923"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28,321,704.27</w:t>
                        </w:r>
                      </w:p>
                    </w:tc>
                  </w:tr>
                  <w:tr>
                    <w:trPr>
                      <w:trHeight w:val="374" w:hRule="exact"/>
                    </w:trPr>
                    <w:tc>
                      <w:tcPr>
                        <w:tcW w:w="30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710"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-3,546,728.67</w:t>
                        </w:r>
                      </w:p>
                    </w:tc>
                    <w:tc>
                      <w:tcPr>
                        <w:tcW w:w="292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-16,356,350.33</w:t>
                        </w:r>
                      </w:p>
                    </w:tc>
                  </w:tr>
                  <w:tr>
                    <w:trPr>
                      <w:trHeight w:val="374" w:hRule="exact"/>
                    </w:trPr>
                    <w:tc>
                      <w:tcPr>
                        <w:tcW w:w="30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10"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b/>
                            <w:spacing w:val="-1"/>
                            <w:sz w:val="18"/>
                          </w:rPr>
                          <w:t>51,167,874.76</w:t>
                        </w:r>
                        <w:r>
                          <w:rPr>
                            <w:rFonts w:ascii="Times New Roman"/>
                            <w:spacing w:val="-1"/>
                            <w:sz w:val="18"/>
                          </w:rPr>
                        </w:r>
                      </w:p>
                    </w:tc>
                    <w:tc>
                      <w:tcPr>
                        <w:tcW w:w="2923"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b/>
                            <w:spacing w:val="-2"/>
                            <w:sz w:val="18"/>
                          </w:rPr>
                          <w:t>11,965,353.94</w:t>
                        </w:r>
                        <w:r>
                          <w:rPr>
                            <w:rFonts w:ascii="Times New Roman"/>
                            <w:spacing w:val="-2"/>
                            <w:sz w:val="18"/>
                          </w:rPr>
                        </w:r>
                      </w:p>
                    </w:tc>
                  </w:tr>
                </w:tbl>
                <w:p>
                  <w:pPr/>
                </w:p>
              </w:txbxContent>
            </v:textbox>
            <w10:wrap type="none"/>
          </v:shape>
        </w:pic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担保损失系本期本公司为民润公司借款担保计提的预计负债，详见附注十。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Times New Roman" w:hAnsi="Times New Roman" w:cs="Times New Roman" w:eastAsia="Times New Roman" w:hint="default"/>
          <w:sz w:val="21"/>
          <w:szCs w:val="21"/>
        </w:rPr>
        <w:t>as) </w:t>
      </w:r>
      <w:r>
        <w:rPr>
          <w:rFonts w:ascii="宋体" w:hAnsi="宋体" w:cs="宋体" w:eastAsia="宋体" w:hint="default"/>
          <w:sz w:val="21"/>
          <w:szCs w:val="21"/>
        </w:rPr>
        <w:t>所得税费用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8"/>
          <w:szCs w:val="18"/>
        </w:rPr>
      </w:pPr>
    </w:p>
    <w:p>
      <w:pPr>
        <w:spacing w:before="0"/>
        <w:ind w:left="641" w:right="4871" w:firstLine="0"/>
        <w:jc w:val="left"/>
        <w:rPr>
          <w:rFonts w:ascii="宋体" w:hAnsi="宋体" w:cs="宋体" w:eastAsia="宋体" w:hint="default"/>
          <w:sz w:val="21"/>
          <w:szCs w:val="21"/>
        </w:rPr>
      </w:pPr>
      <w:r>
        <w:rPr>
          <w:rFonts w:ascii="宋体" w:hAnsi="宋体" w:cs="宋体" w:eastAsia="宋体" w:hint="default"/>
          <w:sz w:val="21"/>
          <w:szCs w:val="21"/>
        </w:rPr>
        <w:t>所得税税率详见附注三。</w:t>
      </w:r>
    </w:p>
    <w:p>
      <w:pPr>
        <w:spacing w:line="240" w:lineRule="auto" w:before="3"/>
        <w:rPr>
          <w:rFonts w:ascii="宋体" w:hAnsi="宋体" w:cs="宋体" w:eastAsia="宋体" w:hint="default"/>
          <w:sz w:val="23"/>
          <w:szCs w:val="23"/>
        </w:rPr>
      </w:pPr>
    </w:p>
    <w:p>
      <w:pPr>
        <w:spacing w:before="0"/>
        <w:ind w:left="641" w:right="113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at)</w:t>
      </w:r>
      <w:r>
        <w:rPr>
          <w:rFonts w:ascii="宋体" w:hAnsi="宋体" w:cs="宋体" w:eastAsia="宋体" w:hint="default"/>
          <w:sz w:val="21"/>
          <w:szCs w:val="21"/>
        </w:rPr>
        <w:t>基本每股收益和稀释每股收益的计算过程</w:t>
      </w:r>
    </w:p>
    <w:p>
      <w:pPr>
        <w:spacing w:line="240" w:lineRule="auto" w:before="13"/>
        <w:rPr>
          <w:rFonts w:ascii="宋体" w:hAnsi="宋体" w:cs="宋体" w:eastAsia="宋体" w:hint="default"/>
          <w:sz w:val="21"/>
          <w:szCs w:val="21"/>
        </w:rPr>
      </w:pPr>
    </w:p>
    <w:p>
      <w:pPr>
        <w:spacing w:before="0"/>
        <w:ind w:left="641" w:right="48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）本公司每股收益计算过程如下</w:t>
      </w:r>
    </w:p>
    <w:p>
      <w:pPr>
        <w:spacing w:line="240" w:lineRule="auto" w:before="10"/>
        <w:rPr>
          <w:rFonts w:ascii="宋体" w:hAnsi="宋体" w:cs="宋体" w:eastAsia="宋体" w:hint="default"/>
          <w:sz w:val="11"/>
          <w:szCs w:val="11"/>
        </w:rPr>
      </w:pPr>
    </w:p>
    <w:tbl>
      <w:tblPr>
        <w:tblW w:w="0" w:type="auto"/>
        <w:jc w:val="left"/>
        <w:tblInd w:w="187" w:type="dxa"/>
        <w:tblLayout w:type="fixed"/>
        <w:tblCellMar>
          <w:top w:w="0" w:type="dxa"/>
          <w:left w:w="0" w:type="dxa"/>
          <w:bottom w:w="0" w:type="dxa"/>
          <w:right w:w="0" w:type="dxa"/>
        </w:tblCellMar>
        <w:tblLook w:val="01E0"/>
      </w:tblPr>
      <w:tblGrid>
        <w:gridCol w:w="2854"/>
        <w:gridCol w:w="2854"/>
        <w:gridCol w:w="2854"/>
      </w:tblGrid>
      <w:tr>
        <w:trPr>
          <w:trHeight w:val="37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归属母公司所有者的净利润</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85,187,634.00</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53,067,901.84</w:t>
            </w:r>
          </w:p>
        </w:tc>
      </w:tr>
      <w:tr>
        <w:trPr>
          <w:trHeight w:val="37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已发行的普通股加权平均数</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768,507,851.00</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419,863,442.00</w:t>
            </w:r>
          </w:p>
        </w:tc>
      </w:tr>
      <w:tr>
        <w:trPr>
          <w:trHeight w:val="37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基本每股收益（每股人民币元）</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0.11</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0.13</w:t>
            </w:r>
          </w:p>
        </w:tc>
      </w:tr>
      <w:tr>
        <w:trPr>
          <w:trHeight w:val="372"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稀释每股收益（每股人民币元）</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0.11</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0.13</w:t>
            </w:r>
          </w:p>
        </w:tc>
      </w:tr>
    </w:tbl>
    <w:p>
      <w:pPr>
        <w:spacing w:line="240" w:lineRule="auto" w:before="5"/>
        <w:rPr>
          <w:rFonts w:ascii="宋体" w:hAnsi="宋体" w:cs="宋体" w:eastAsia="宋体" w:hint="default"/>
          <w:sz w:val="19"/>
          <w:szCs w:val="19"/>
        </w:rPr>
      </w:pPr>
    </w:p>
    <w:p>
      <w:pPr>
        <w:tabs>
          <w:tab w:pos="1636" w:val="left" w:leader="none"/>
        </w:tabs>
        <w:spacing w:before="0"/>
        <w:ind w:left="0" w:right="3496" w:firstLine="0"/>
        <w:jc w:val="center"/>
        <w:rPr>
          <w:rFonts w:ascii="宋体" w:hAnsi="宋体" w:cs="宋体" w:eastAsia="宋体" w:hint="default"/>
          <w:sz w:val="21"/>
          <w:szCs w:val="21"/>
        </w:rPr>
      </w:pPr>
      <w:r>
        <w:rPr>
          <w:rFonts w:ascii="Times New Roman" w:hAnsi="Times New Roman" w:cs="Times New Roman" w:eastAsia="Times New Roman" w:hint="default"/>
          <w:spacing w:val="-1"/>
          <w:sz w:val="21"/>
          <w:szCs w:val="21"/>
        </w:rPr>
        <w:t>au)</w:t>
        <w:tab/>
      </w:r>
      <w:r>
        <w:rPr>
          <w:rFonts w:ascii="宋体" w:hAnsi="宋体" w:cs="宋体" w:eastAsia="宋体" w:hint="default"/>
          <w:spacing w:val="-1"/>
          <w:sz w:val="21"/>
          <w:szCs w:val="21"/>
        </w:rPr>
        <w:t>其他综合收益</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5508"/>
        <w:gridCol w:w="1620"/>
        <w:gridCol w:w="1440"/>
      </w:tblGrid>
      <w:tr>
        <w:trPr>
          <w:trHeight w:val="389"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3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1"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一、可供出售金融资产产生的利得（损失）金额</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359,982.00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480" w:right="1460"/>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5508"/>
        <w:gridCol w:w="1620"/>
        <w:gridCol w:w="1440"/>
      </w:tblGrid>
      <w:tr>
        <w:trPr>
          <w:trHeight w:val="389"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465"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79,196.04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465"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280,785.96</w:t>
            </w:r>
            <w:r>
              <w:rPr>
                <w:rFonts w:ascii="Times New Roman"/>
                <w:spacing w:val="-1"/>
                <w:sz w:val="18"/>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91"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二、按照权益法核算的在被投资单位其他综合收益中所享有的份额</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770"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382" w:lineRule="exact" w:before="20"/>
              <w:ind w:left="105" w:right="113" w:firstLine="36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减：按照权益法核算的在被投资单位其他综合收益中所享有的 份额产生的所得税影响</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465"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89"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三、其他</w:t>
            </w:r>
            <w:r>
              <w:rPr>
                <w:rFonts w:ascii="Times New Roman" w:hAnsi="Times New Roman" w:cs="Times New Roman" w:eastAsia="Times New Roman" w:hint="default"/>
                <w:sz w:val="18"/>
                <w:szCs w:val="18"/>
              </w:rPr>
              <w:t>*</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25,245,000.00</w:t>
            </w:r>
          </w:p>
        </w:tc>
        <w:tc>
          <w:tcPr>
            <w:tcW w:w="1440" w:type="dxa"/>
            <w:tcBorders>
              <w:top w:val="single" w:sz="4" w:space="0" w:color="000008"/>
              <w:left w:val="single" w:sz="4" w:space="0" w:color="000008"/>
              <w:bottom w:val="single" w:sz="4" w:space="0" w:color="000008"/>
              <w:right w:val="single" w:sz="4" w:space="0" w:color="000008"/>
            </w:tcBorders>
          </w:tcPr>
          <w:p>
            <w:pPr/>
          </w:p>
        </w:tc>
      </w:tr>
      <w:tr>
        <w:trPr>
          <w:trHeight w:val="391"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465"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2,218,730.60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465"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23,026,269.40</w:t>
            </w:r>
            <w:r>
              <w:rPr>
                <w:rFonts w:ascii="Times New Roman"/>
                <w:spacing w:val="-1"/>
                <w:sz w:val="18"/>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89" w:hRule="exact"/>
        </w:trPr>
        <w:tc>
          <w:tcPr>
            <w:tcW w:w="55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23,307,055.36</w:t>
            </w:r>
            <w:r>
              <w:rPr>
                <w:rFonts w:ascii="Times New Roman"/>
                <w:spacing w:val="-1"/>
                <w:sz w:val="18"/>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8"/>
        <w:rPr>
          <w:rFonts w:ascii="宋体" w:hAnsi="宋体" w:cs="宋体" w:eastAsia="宋体" w:hint="default"/>
          <w:sz w:val="16"/>
          <w:szCs w:val="16"/>
        </w:rPr>
      </w:pPr>
    </w:p>
    <w:p>
      <w:pPr>
        <w:spacing w:before="36"/>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系果菜公司转让西岸渔人码头公司少数股权的处置价款收益，详见附注五、</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av)</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现金流量表</w:t>
      </w:r>
    </w:p>
    <w:p>
      <w:pPr>
        <w:spacing w:line="240" w:lineRule="auto" w:before="13"/>
        <w:rPr>
          <w:rFonts w:ascii="宋体" w:hAnsi="宋体" w:cs="宋体" w:eastAsia="宋体" w:hint="default"/>
          <w:sz w:val="21"/>
          <w:szCs w:val="21"/>
        </w:rPr>
      </w:pPr>
    </w:p>
    <w:p>
      <w:pPr>
        <w:tabs>
          <w:tab w:pos="148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收到的其他与经营活动有关的现金</w:t>
      </w:r>
    </w:p>
    <w:p>
      <w:pPr>
        <w:spacing w:line="240" w:lineRule="auto" w:before="10"/>
        <w:rPr>
          <w:rFonts w:ascii="宋体" w:hAnsi="宋体" w:cs="宋体" w:eastAsia="宋体" w:hint="default"/>
          <w:sz w:val="11"/>
          <w:szCs w:val="11"/>
        </w:rPr>
      </w:pPr>
    </w:p>
    <w:tbl>
      <w:tblPr>
        <w:tblW w:w="0" w:type="auto"/>
        <w:jc w:val="left"/>
        <w:tblInd w:w="187" w:type="dxa"/>
        <w:tblLayout w:type="fixed"/>
        <w:tblCellMar>
          <w:top w:w="0" w:type="dxa"/>
          <w:left w:w="0" w:type="dxa"/>
          <w:bottom w:w="0" w:type="dxa"/>
          <w:right w:w="0" w:type="dxa"/>
        </w:tblCellMar>
        <w:tblLook w:val="01E0"/>
      </w:tblPr>
      <w:tblGrid>
        <w:gridCol w:w="2854"/>
        <w:gridCol w:w="2854"/>
        <w:gridCol w:w="2854"/>
      </w:tblGrid>
      <w:tr>
        <w:trPr>
          <w:trHeight w:val="408"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83,637,964.64</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46,476,958.82</w:t>
            </w:r>
          </w:p>
        </w:tc>
      </w:tr>
      <w:tr>
        <w:trPr>
          <w:trHeight w:val="41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公司内部暂借款</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7,585,991.12</w:t>
            </w:r>
          </w:p>
        </w:tc>
      </w:tr>
      <w:tr>
        <w:trPr>
          <w:trHeight w:val="41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593,408,832.41</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34,198,492.51</w:t>
            </w:r>
          </w:p>
        </w:tc>
      </w:tr>
      <w:tr>
        <w:trPr>
          <w:trHeight w:val="41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21,091,221.44</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31,214,976.86</w:t>
            </w:r>
          </w:p>
        </w:tc>
      </w:tr>
      <w:tr>
        <w:trPr>
          <w:trHeight w:val="41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收取的罚款、赔偿金收入</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456,182.59</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174,593.35</w:t>
            </w:r>
          </w:p>
        </w:tc>
      </w:tr>
      <w:tr>
        <w:trPr>
          <w:trHeight w:val="408"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34,186,580.06</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39,244,382.30</w:t>
            </w:r>
          </w:p>
        </w:tc>
      </w:tr>
      <w:tr>
        <w:trPr>
          <w:trHeight w:val="41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18,584,078.69</w:t>
            </w:r>
          </w:p>
        </w:tc>
      </w:tr>
      <w:tr>
        <w:trPr>
          <w:trHeight w:val="410"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732,780,781.14</w:t>
            </w:r>
            <w:r>
              <w:rPr>
                <w:rFonts w:ascii="Times New Roman"/>
                <w:spacing w:val="-1"/>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177,479,473.65</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p>
      <w:pPr>
        <w:spacing w:line="240" w:lineRule="auto" w:before="13"/>
        <w:rPr>
          <w:rFonts w:ascii="宋体" w:hAnsi="宋体" w:cs="宋体" w:eastAsia="宋体" w:hint="default"/>
          <w:sz w:val="12"/>
          <w:szCs w:val="12"/>
        </w:rPr>
      </w:pPr>
    </w:p>
    <w:tbl>
      <w:tblPr>
        <w:tblW w:w="0" w:type="auto"/>
        <w:jc w:val="left"/>
        <w:tblInd w:w="187" w:type="dxa"/>
        <w:tblLayout w:type="fixed"/>
        <w:tblCellMar>
          <w:top w:w="0" w:type="dxa"/>
          <w:left w:w="0" w:type="dxa"/>
          <w:bottom w:w="0" w:type="dxa"/>
          <w:right w:w="0" w:type="dxa"/>
        </w:tblCellMar>
        <w:tblLook w:val="01E0"/>
      </w:tblPr>
      <w:tblGrid>
        <w:gridCol w:w="2854"/>
        <w:gridCol w:w="2854"/>
        <w:gridCol w:w="2854"/>
      </w:tblGrid>
      <w:tr>
        <w:trPr>
          <w:trHeight w:val="39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170,247,518.56</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36,319,180.90</w:t>
            </w:r>
          </w:p>
        </w:tc>
      </w:tr>
      <w:tr>
        <w:trPr>
          <w:trHeight w:val="39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公司内部暂借款</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20,431,597.64</w:t>
            </w:r>
          </w:p>
        </w:tc>
      </w:tr>
      <w:tr>
        <w:trPr>
          <w:trHeight w:val="38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其他经营预付款</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153,378,763.22</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付现经营费用</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96,460,256.12</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77,688,947.45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640" w:bottom="1080" w:left="1480" w:right="1560"/>
        </w:sectPr>
      </w:pPr>
    </w:p>
    <w:p>
      <w:pPr>
        <w:spacing w:line="240" w:lineRule="auto" w:before="13"/>
        <w:rPr>
          <w:rFonts w:ascii="宋体" w:hAnsi="宋体" w:cs="宋体" w:eastAsia="宋体" w:hint="default"/>
          <w:sz w:val="15"/>
          <w:szCs w:val="15"/>
        </w:rPr>
      </w:pPr>
    </w:p>
    <w:tbl>
      <w:tblPr>
        <w:tblW w:w="0" w:type="auto"/>
        <w:jc w:val="left"/>
        <w:tblInd w:w="187" w:type="dxa"/>
        <w:tblLayout w:type="fixed"/>
        <w:tblCellMar>
          <w:top w:w="0" w:type="dxa"/>
          <w:left w:w="0" w:type="dxa"/>
          <w:bottom w:w="0" w:type="dxa"/>
          <w:right w:w="0" w:type="dxa"/>
        </w:tblCellMar>
        <w:tblLook w:val="01E0"/>
      </w:tblPr>
      <w:tblGrid>
        <w:gridCol w:w="2851"/>
        <w:gridCol w:w="2856"/>
        <w:gridCol w:w="2854"/>
      </w:tblGrid>
      <w:tr>
        <w:trPr>
          <w:trHeight w:val="389"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107,601,206.48</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88,149,161.07</w:t>
            </w:r>
          </w:p>
        </w:tc>
      </w:tr>
      <w:tr>
        <w:trPr>
          <w:trHeight w:val="391"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67,762,239.18</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27,418,493.65</w:t>
            </w:r>
          </w:p>
        </w:tc>
      </w:tr>
      <w:tr>
        <w:trPr>
          <w:trHeight w:val="389"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10,566,987.06</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10,334,929.44</w:t>
            </w:r>
          </w:p>
        </w:tc>
      </w:tr>
      <w:tr>
        <w:trPr>
          <w:trHeight w:val="391"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606,016,970.62</w:t>
            </w:r>
            <w:r>
              <w:rPr>
                <w:rFonts w:ascii="Times New Roman"/>
                <w:spacing w:val="-1"/>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260,342,310.15</w:t>
            </w:r>
            <w:r>
              <w:rPr>
                <w:rFonts w:ascii="Times New Roman"/>
                <w:spacing w:val="-1"/>
                <w:sz w:val="18"/>
              </w:rPr>
            </w:r>
          </w:p>
        </w:tc>
      </w:tr>
    </w:tbl>
    <w:p>
      <w:pPr>
        <w:spacing w:line="240" w:lineRule="auto" w:before="8"/>
        <w:rPr>
          <w:rFonts w:ascii="宋体" w:hAnsi="宋体" w:cs="宋体" w:eastAsia="宋体" w:hint="default"/>
          <w:sz w:val="16"/>
          <w:szCs w:val="16"/>
        </w:rPr>
      </w:pPr>
    </w:p>
    <w:p>
      <w:pPr>
        <w:tabs>
          <w:tab w:pos="1481" w:val="left" w:leader="none"/>
        </w:tabs>
        <w:spacing w:before="36"/>
        <w:ind w:left="641" w:right="21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收到的其他与投资活动有关的现金</w:t>
      </w:r>
    </w:p>
    <w:p>
      <w:pPr>
        <w:spacing w:line="240" w:lineRule="auto" w:before="10"/>
        <w:rPr>
          <w:rFonts w:ascii="宋体" w:hAnsi="宋体" w:cs="宋体" w:eastAsia="宋体" w:hint="default"/>
          <w:sz w:val="11"/>
          <w:szCs w:val="11"/>
        </w:rPr>
      </w:pPr>
    </w:p>
    <w:tbl>
      <w:tblPr>
        <w:tblW w:w="0" w:type="auto"/>
        <w:jc w:val="left"/>
        <w:tblInd w:w="187" w:type="dxa"/>
        <w:tblLayout w:type="fixed"/>
        <w:tblCellMar>
          <w:top w:w="0" w:type="dxa"/>
          <w:left w:w="0" w:type="dxa"/>
          <w:bottom w:w="0" w:type="dxa"/>
          <w:right w:w="0" w:type="dxa"/>
        </w:tblCellMar>
        <w:tblLook w:val="01E0"/>
      </w:tblPr>
      <w:tblGrid>
        <w:gridCol w:w="2851"/>
        <w:gridCol w:w="2856"/>
        <w:gridCol w:w="2854"/>
      </w:tblGrid>
      <w:tr>
        <w:trPr>
          <w:trHeight w:val="389"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1"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收到地价返还款及工程拨款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113,785,905.50</w:t>
            </w:r>
          </w:p>
        </w:tc>
      </w:tr>
      <w:tr>
        <w:trPr>
          <w:trHeight w:val="389"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收到土地开发拨款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91"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16,990,449.00</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b/>
                <w:w w:val="95"/>
                <w:sz w:val="18"/>
              </w:rPr>
              <w:t>--</w:t>
            </w:r>
            <w:r>
              <w:rPr>
                <w:rFonts w:ascii="Times New Roman"/>
                <w:sz w:val="18"/>
              </w:rPr>
            </w:r>
          </w:p>
        </w:tc>
      </w:tr>
      <w:tr>
        <w:trPr>
          <w:trHeight w:val="389"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16,990,449.00</w:t>
            </w:r>
            <w:r>
              <w:rPr>
                <w:rFonts w:ascii="Times New Roman"/>
                <w:spacing w:val="-1"/>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2"/>
                <w:sz w:val="18"/>
              </w:rPr>
              <w:t>115,785,905.50</w:t>
            </w:r>
            <w:r>
              <w:rPr>
                <w:rFonts w:ascii="Times New Roman"/>
                <w:spacing w:val="-2"/>
                <w:sz w:val="18"/>
              </w:rPr>
            </w:r>
          </w:p>
        </w:tc>
      </w:tr>
    </w:tbl>
    <w:p>
      <w:pPr>
        <w:spacing w:line="240" w:lineRule="auto" w:before="8"/>
        <w:rPr>
          <w:rFonts w:ascii="宋体" w:hAnsi="宋体" w:cs="宋体" w:eastAsia="宋体" w:hint="default"/>
          <w:sz w:val="19"/>
          <w:szCs w:val="19"/>
        </w:rPr>
      </w:pPr>
    </w:p>
    <w:p>
      <w:pPr>
        <w:tabs>
          <w:tab w:pos="1481" w:val="left" w:leader="none"/>
        </w:tabs>
        <w:spacing w:before="0"/>
        <w:ind w:left="641" w:right="21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tab/>
      </w:r>
      <w:r>
        <w:rPr>
          <w:rFonts w:ascii="宋体" w:hAnsi="宋体" w:cs="宋体" w:eastAsia="宋体" w:hint="default"/>
          <w:spacing w:val="-2"/>
          <w:sz w:val="21"/>
          <w:szCs w:val="21"/>
        </w:rPr>
        <w:t>支付的其他与投资活动有关的现金</w:t>
      </w:r>
    </w:p>
    <w:p>
      <w:pPr>
        <w:spacing w:line="240" w:lineRule="auto" w:before="7"/>
        <w:rPr>
          <w:rFonts w:ascii="宋体" w:hAnsi="宋体" w:cs="宋体" w:eastAsia="宋体" w:hint="default"/>
          <w:sz w:val="11"/>
          <w:szCs w:val="11"/>
        </w:rPr>
      </w:pPr>
    </w:p>
    <w:tbl>
      <w:tblPr>
        <w:tblW w:w="0" w:type="auto"/>
        <w:jc w:val="left"/>
        <w:tblInd w:w="187" w:type="dxa"/>
        <w:tblLayout w:type="fixed"/>
        <w:tblCellMar>
          <w:top w:w="0" w:type="dxa"/>
          <w:left w:w="0" w:type="dxa"/>
          <w:bottom w:w="0" w:type="dxa"/>
          <w:right w:w="0" w:type="dxa"/>
        </w:tblCellMar>
        <w:tblLook w:val="01E0"/>
      </w:tblPr>
      <w:tblGrid>
        <w:gridCol w:w="2851"/>
        <w:gridCol w:w="2856"/>
        <w:gridCol w:w="2854"/>
      </w:tblGrid>
      <w:tr>
        <w:trPr>
          <w:trHeight w:val="391"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238"/>
              <w:jc w:val="right"/>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9"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56,500.00</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91" w:hRule="exact"/>
        </w:trPr>
        <w:tc>
          <w:tcPr>
            <w:tcW w:w="28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23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56,500.00</w:t>
            </w:r>
            <w:r>
              <w:rPr>
                <w:rFonts w:ascii="Times New Roman"/>
                <w:spacing w:val="-1"/>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20,000,000.00</w:t>
            </w:r>
            <w:r>
              <w:rPr>
                <w:rFonts w:ascii="Times New Roman"/>
                <w:spacing w:val="-1"/>
                <w:sz w:val="18"/>
              </w:rPr>
            </w:r>
          </w:p>
        </w:tc>
      </w:tr>
    </w:tbl>
    <w:p>
      <w:pPr>
        <w:spacing w:line="240" w:lineRule="auto" w:before="5"/>
        <w:rPr>
          <w:rFonts w:ascii="宋体" w:hAnsi="宋体" w:cs="宋体" w:eastAsia="宋体" w:hint="default"/>
          <w:sz w:val="19"/>
          <w:szCs w:val="19"/>
        </w:rPr>
      </w:pPr>
    </w:p>
    <w:p>
      <w:pPr>
        <w:tabs>
          <w:tab w:pos="1481" w:val="left" w:leader="none"/>
        </w:tabs>
        <w:spacing w:before="0"/>
        <w:ind w:left="641" w:right="21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w:t>
        <w:tab/>
      </w:r>
      <w:r>
        <w:rPr>
          <w:rFonts w:ascii="宋体" w:hAnsi="宋体" w:cs="宋体" w:eastAsia="宋体" w:hint="default"/>
          <w:spacing w:val="-2"/>
          <w:sz w:val="21"/>
          <w:szCs w:val="21"/>
        </w:rPr>
        <w:t>收到的其他与筹资活动有关的现金</w:t>
      </w:r>
    </w:p>
    <w:p>
      <w:pPr>
        <w:spacing w:line="240" w:lineRule="auto" w:before="10"/>
        <w:rPr>
          <w:rFonts w:ascii="宋体" w:hAnsi="宋体" w:cs="宋体" w:eastAsia="宋体" w:hint="default"/>
          <w:sz w:val="11"/>
          <w:szCs w:val="11"/>
        </w:rPr>
      </w:pPr>
    </w:p>
    <w:tbl>
      <w:tblPr>
        <w:tblW w:w="0" w:type="auto"/>
        <w:jc w:val="left"/>
        <w:tblInd w:w="187" w:type="dxa"/>
        <w:tblLayout w:type="fixed"/>
        <w:tblCellMar>
          <w:top w:w="0" w:type="dxa"/>
          <w:left w:w="0" w:type="dxa"/>
          <w:bottom w:w="0" w:type="dxa"/>
          <w:right w:w="0" w:type="dxa"/>
        </w:tblCellMar>
        <w:tblLook w:val="01E0"/>
      </w:tblPr>
      <w:tblGrid>
        <w:gridCol w:w="2854"/>
        <w:gridCol w:w="2854"/>
        <w:gridCol w:w="2854"/>
      </w:tblGrid>
      <w:tr>
        <w:trPr>
          <w:trHeight w:val="38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收到财政拨款等专项应付款</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76,610,000.00</w:t>
            </w:r>
          </w:p>
        </w:tc>
      </w:tr>
      <w:tr>
        <w:trPr>
          <w:trHeight w:val="389"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专项补偿款</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7,923,690.00</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18,014,448.90</w:t>
            </w:r>
          </w:p>
        </w:tc>
      </w:tr>
      <w:tr>
        <w:trPr>
          <w:trHeight w:val="391" w:hRule="exact"/>
        </w:trPr>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8,263,690.00</w:t>
            </w:r>
            <w:r>
              <w:rPr>
                <w:rFonts w:ascii="Times New Roman"/>
                <w:spacing w:val="-1"/>
                <w:sz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94,624,448.90</w:t>
            </w:r>
            <w:r>
              <w:rPr>
                <w:rFonts w:ascii="Times New Roman"/>
                <w:spacing w:val="-1"/>
                <w:sz w:val="18"/>
              </w:rPr>
            </w:r>
          </w:p>
        </w:tc>
      </w:tr>
    </w:tbl>
    <w:p>
      <w:pPr>
        <w:spacing w:line="240" w:lineRule="auto" w:before="5"/>
        <w:rPr>
          <w:rFonts w:ascii="宋体" w:hAnsi="宋体" w:cs="宋体" w:eastAsia="宋体" w:hint="default"/>
          <w:sz w:val="19"/>
          <w:szCs w:val="19"/>
        </w:rPr>
      </w:pPr>
    </w:p>
    <w:p>
      <w:pPr>
        <w:tabs>
          <w:tab w:pos="1481" w:val="left" w:leader="none"/>
        </w:tabs>
        <w:spacing w:before="0"/>
        <w:ind w:left="641" w:right="21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w:t>
        <w:tab/>
      </w:r>
      <w:r>
        <w:rPr>
          <w:rFonts w:ascii="宋体" w:hAnsi="宋体" w:cs="宋体" w:eastAsia="宋体" w:hint="default"/>
          <w:spacing w:val="-2"/>
          <w:sz w:val="21"/>
          <w:szCs w:val="21"/>
        </w:rPr>
        <w:t>支付的其他与筹资活动有关的现金</w:t>
      </w:r>
    </w:p>
    <w:p>
      <w:pPr>
        <w:spacing w:line="240" w:lineRule="auto" w:before="10"/>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3007"/>
        <w:gridCol w:w="2854"/>
        <w:gridCol w:w="2796"/>
      </w:tblGrid>
      <w:tr>
        <w:trPr>
          <w:trHeight w:val="389" w:hRule="exact"/>
        </w:trPr>
        <w:tc>
          <w:tcPr>
            <w:tcW w:w="30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1" w:hRule="exact"/>
        </w:trPr>
        <w:tc>
          <w:tcPr>
            <w:tcW w:w="30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减少注册资本所支付的现金</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389" w:hRule="exact"/>
        </w:trPr>
        <w:tc>
          <w:tcPr>
            <w:tcW w:w="30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支付或偿还股东单位的借款和往来款</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74,562.00</w:t>
            </w:r>
          </w:p>
        </w:tc>
        <w:tc>
          <w:tcPr>
            <w:tcW w:w="27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22,899,864.86</w:t>
            </w:r>
          </w:p>
        </w:tc>
      </w:tr>
      <w:tr>
        <w:trPr>
          <w:trHeight w:val="391" w:hRule="exact"/>
        </w:trPr>
        <w:tc>
          <w:tcPr>
            <w:tcW w:w="30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发生筹资费用所支付的现金</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788,713.19</w:t>
            </w:r>
          </w:p>
        </w:tc>
        <w:tc>
          <w:tcPr>
            <w:tcW w:w="27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30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支付的定向增发股票手续费</w:t>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8,874,397.40</w:t>
            </w:r>
          </w:p>
        </w:tc>
      </w:tr>
      <w:tr>
        <w:trPr>
          <w:trHeight w:val="391" w:hRule="exact"/>
        </w:trPr>
        <w:tc>
          <w:tcPr>
            <w:tcW w:w="30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863,275.19</w:t>
            </w:r>
            <w:r>
              <w:rPr>
                <w:rFonts w:ascii="Times New Roman"/>
                <w:spacing w:val="-1"/>
                <w:sz w:val="18"/>
              </w:rPr>
            </w:r>
          </w:p>
        </w:tc>
        <w:tc>
          <w:tcPr>
            <w:tcW w:w="27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34,474,262.26</w:t>
            </w:r>
            <w:r>
              <w:rPr>
                <w:rFonts w:ascii="Times New Roman"/>
                <w:spacing w:val="-1"/>
                <w:sz w:val="18"/>
              </w:rPr>
            </w:r>
          </w:p>
        </w:tc>
      </w:tr>
    </w:tbl>
    <w:p>
      <w:pPr>
        <w:spacing w:line="240" w:lineRule="auto" w:before="5"/>
        <w:rPr>
          <w:rFonts w:ascii="宋体" w:hAnsi="宋体" w:cs="宋体" w:eastAsia="宋体" w:hint="default"/>
          <w:sz w:val="19"/>
          <w:szCs w:val="19"/>
        </w:rPr>
      </w:pPr>
    </w:p>
    <w:p>
      <w:pPr>
        <w:tabs>
          <w:tab w:pos="2921" w:val="left" w:leader="none"/>
        </w:tabs>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w:t>
        <w:tab/>
      </w:r>
      <w:r>
        <w:rPr>
          <w:rFonts w:ascii="宋体" w:hAnsi="宋体" w:cs="宋体" w:eastAsia="宋体" w:hint="default"/>
          <w:spacing w:val="-2"/>
          <w:sz w:val="21"/>
          <w:szCs w:val="21"/>
        </w:rPr>
        <w:t>现金流量表补充资料</w:t>
      </w:r>
    </w:p>
    <w:p>
      <w:pPr>
        <w:spacing w:line="240" w:lineRule="auto" w:before="13"/>
        <w:rPr>
          <w:rFonts w:ascii="宋体" w:hAnsi="宋体" w:cs="宋体" w:eastAsia="宋体" w:hint="default"/>
          <w:sz w:val="21"/>
          <w:szCs w:val="21"/>
        </w:rPr>
      </w:pPr>
    </w:p>
    <w:p>
      <w:pPr>
        <w:tabs>
          <w:tab w:pos="1481" w:val="left" w:leader="none"/>
        </w:tabs>
        <w:spacing w:before="0"/>
        <w:ind w:left="641" w:right="21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现金流量表补充资料</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5746"/>
        <w:gridCol w:w="1483"/>
        <w:gridCol w:w="1476"/>
      </w:tblGrid>
      <w:tr>
        <w:trPr>
          <w:trHeight w:val="389"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1"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483" w:type="dxa"/>
            <w:tcBorders>
              <w:top w:val="single" w:sz="4" w:space="0" w:color="000008"/>
              <w:left w:val="single" w:sz="4" w:space="0" w:color="000008"/>
              <w:bottom w:val="single" w:sz="6" w:space="0" w:color="BDBDC4"/>
              <w:right w:val="single" w:sz="6" w:space="0" w:color="7D7D85"/>
            </w:tcBorders>
          </w:tcPr>
          <w:p>
            <w:pPr/>
          </w:p>
        </w:tc>
        <w:tc>
          <w:tcPr>
            <w:tcW w:w="1476" w:type="dxa"/>
            <w:tcBorders>
              <w:top w:val="single" w:sz="4" w:space="0" w:color="000008"/>
              <w:left w:val="single" w:sz="6" w:space="0" w:color="7D7D85"/>
              <w:bottom w:val="single" w:sz="6" w:space="0" w:color="BDBDC4"/>
              <w:right w:val="single" w:sz="6" w:space="0" w:color="BDBDC4"/>
            </w:tcBorders>
          </w:tcPr>
          <w:p>
            <w:pPr/>
          </w:p>
        </w:tc>
      </w:tr>
    </w:tbl>
    <w:p>
      <w:pPr>
        <w:spacing w:after="0"/>
        <w:sectPr>
          <w:pgSz w:w="11910" w:h="16840"/>
          <w:pgMar w:header="0" w:footer="897" w:top="1640" w:bottom="1080" w:left="1480" w:right="1480"/>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5746"/>
        <w:gridCol w:w="1483"/>
        <w:gridCol w:w="1476"/>
      </w:tblGrid>
      <w:tr>
        <w:trPr>
          <w:trHeight w:val="389"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83" w:type="dxa"/>
            <w:tcBorders>
              <w:top w:val="single" w:sz="4" w:space="0" w:color="000008"/>
              <w:left w:val="single" w:sz="4" w:space="0" w:color="000008"/>
              <w:bottom w:val="single" w:sz="6" w:space="0" w:color="7D7D85"/>
              <w:right w:val="single" w:sz="4" w:space="0" w:color="000008"/>
            </w:tcBorders>
          </w:tcPr>
          <w:p>
            <w:pPr>
              <w:pStyle w:val="TableParagraph"/>
              <w:spacing w:line="240" w:lineRule="auto" w:before="116"/>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476" w:type="dxa"/>
            <w:tcBorders>
              <w:top w:val="single" w:sz="4" w:space="0" w:color="000008"/>
              <w:left w:val="single" w:sz="4" w:space="0" w:color="000008"/>
              <w:bottom w:val="single" w:sz="6" w:space="0" w:color="7D7D85"/>
              <w:right w:val="single" w:sz="4" w:space="0" w:color="000008"/>
            </w:tcBorders>
          </w:tcPr>
          <w:p>
            <w:pPr>
              <w:pStyle w:val="TableParagraph"/>
              <w:spacing w:line="240" w:lineRule="auto" w:before="116"/>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1"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156,483,402.35</w:t>
            </w:r>
            <w:r>
              <w:rPr>
                <w:rFonts w:ascii="Times New Roman"/>
                <w:spacing w:val="-1"/>
                <w:sz w:val="18"/>
              </w:rPr>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125,668,378.38</w:t>
            </w:r>
            <w:r>
              <w:rPr>
                <w:rFonts w:ascii="Times New Roman"/>
                <w:spacing w:val="-1"/>
                <w:sz w:val="18"/>
              </w:rPr>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94,703,417.03</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73,416,653.81</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投资性房地产摊销、固定资产折旧、生产性生物资产折旧</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110,318,587.24</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104,669,728.76</w:t>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28,754,859.20</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26,757,660.17</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7,381,511.39</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12,472,095.65</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w w:val="95"/>
                <w:sz w:val="18"/>
                <w:szCs w:val="18"/>
              </w:rPr>
              <w:t>处置固定资产、无形资产和其他长期资产的损失（收益以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号 填 列</w:t>
            </w:r>
            <w:r>
              <w:rPr>
                <w:rFonts w:ascii="宋体" w:hAnsi="宋体" w:cs="宋体" w:eastAsia="宋体" w:hint="default"/>
                <w:spacing w:val="-4"/>
                <w:w w:val="95"/>
                <w:sz w:val="18"/>
                <w:szCs w:val="18"/>
              </w:rPr>
              <w:t> </w:t>
            </w:r>
            <w:r>
              <w:rPr>
                <w:rFonts w:ascii="宋体" w:hAnsi="宋体" w:cs="宋体" w:eastAsia="宋体" w:hint="default"/>
                <w:w w:val="95"/>
                <w:sz w:val="18"/>
                <w:szCs w:val="18"/>
              </w:rPr>
              <w:t>）</w:t>
            </w:r>
            <w:r>
              <w:rPr>
                <w:rFonts w:ascii="宋体" w:hAnsi="宋体" w:cs="宋体" w:eastAsia="宋体" w:hint="default"/>
                <w:sz w:val="18"/>
                <w:szCs w:val="18"/>
              </w:rPr>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-16,642,087.58</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-15,429,218.73</w:t>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30,643.67</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91,421.18</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60,915,957.44</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94,125,937.23</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-204,377,984.22</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-40,091,086.20</w:t>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-3,396,312.01</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-15,752,808.66</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-71,220.62</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-603,541.67</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-8,119,049.61</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14,800,849.78</w:t>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44,021,473.00</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-147,576,927.80</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246,509,690.39</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46,279,465.13</w:t>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516,512,887.67</w:t>
            </w:r>
            <w:r>
              <w:rPr>
                <w:rFonts w:ascii="Times New Roman"/>
                <w:spacing w:val="-1"/>
                <w:sz w:val="18"/>
              </w:rPr>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278,828,607.03</w:t>
            </w:r>
            <w:r>
              <w:rPr>
                <w:rFonts w:ascii="Times New Roman"/>
                <w:spacing w:val="-1"/>
                <w:sz w:val="18"/>
              </w:rPr>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483" w:type="dxa"/>
            <w:tcBorders>
              <w:top w:val="single" w:sz="6" w:space="0" w:color="7D7D85"/>
              <w:left w:val="single" w:sz="4" w:space="0" w:color="000008"/>
              <w:bottom w:val="single" w:sz="6" w:space="0" w:color="7D7D85"/>
              <w:right w:val="single" w:sz="6" w:space="0" w:color="7D7D85"/>
            </w:tcBorders>
          </w:tcPr>
          <w:p>
            <w:pPr/>
          </w:p>
        </w:tc>
        <w:tc>
          <w:tcPr>
            <w:tcW w:w="1476" w:type="dxa"/>
            <w:tcBorders>
              <w:top w:val="single" w:sz="6" w:space="0" w:color="7D7D85"/>
              <w:left w:val="single" w:sz="6" w:space="0" w:color="7D7D85"/>
              <w:bottom w:val="single" w:sz="6" w:space="0" w:color="7D7D85"/>
              <w:right w:val="single" w:sz="6" w:space="0" w:color="BDBDC4"/>
            </w:tcBorders>
          </w:tcPr>
          <w:p>
            <w:pP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483" w:type="dxa"/>
            <w:tcBorders>
              <w:top w:val="single" w:sz="6" w:space="0" w:color="7D7D85"/>
              <w:left w:val="single" w:sz="4" w:space="0" w:color="000008"/>
              <w:bottom w:val="single" w:sz="6" w:space="0" w:color="7D7D85"/>
              <w:right w:val="single" w:sz="6" w:space="0" w:color="7D7D85"/>
            </w:tcBorders>
          </w:tcPr>
          <w:p>
            <w:pPr/>
          </w:p>
        </w:tc>
        <w:tc>
          <w:tcPr>
            <w:tcW w:w="1476" w:type="dxa"/>
            <w:tcBorders>
              <w:top w:val="single" w:sz="6" w:space="0" w:color="7D7D85"/>
              <w:left w:val="single" w:sz="6" w:space="0" w:color="7D7D85"/>
              <w:bottom w:val="single" w:sz="6" w:space="0" w:color="7D7D85"/>
              <w:right w:val="single" w:sz="6" w:space="0" w:color="BDBDC4"/>
            </w:tcBorders>
          </w:tcPr>
          <w:p>
            <w:pP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2,152,299,095.15</w:t>
            </w:r>
            <w:r>
              <w:rPr>
                <w:rFonts w:ascii="Times New Roman"/>
                <w:spacing w:val="-1"/>
                <w:sz w:val="18"/>
              </w:rPr>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1,561,216,665.69</w:t>
            </w:r>
            <w:r>
              <w:rPr>
                <w:rFonts w:ascii="Times New Roman"/>
                <w:spacing w:val="-1"/>
                <w:sz w:val="18"/>
              </w:rPr>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1,561,216,665.69</w:t>
            </w:r>
            <w:r>
              <w:rPr>
                <w:rFonts w:ascii="Times New Roman"/>
                <w:spacing w:val="-1"/>
                <w:sz w:val="18"/>
              </w:rPr>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2"/>
                <w:sz w:val="18"/>
              </w:rPr>
              <w:t>1,112,582,371.09</w:t>
            </w:r>
            <w:r>
              <w:rPr>
                <w:rFonts w:ascii="Times New Roman"/>
                <w:spacing w:val="-2"/>
                <w:sz w:val="18"/>
              </w:rPr>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83"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96" w:hRule="exact"/>
        </w:trPr>
        <w:tc>
          <w:tcPr>
            <w:tcW w:w="57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83" w:type="dxa"/>
            <w:tcBorders>
              <w:top w:val="single" w:sz="6" w:space="0" w:color="7D7D85"/>
              <w:left w:val="single" w:sz="4" w:space="0" w:color="000008"/>
              <w:bottom w:val="single" w:sz="6" w:space="0" w:color="BDBDC4"/>
              <w:right w:val="single" w:sz="6" w:space="0" w:color="7D7D85"/>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591,082,429.46</w:t>
            </w:r>
            <w:r>
              <w:rPr>
                <w:rFonts w:ascii="Times New Roman"/>
                <w:spacing w:val="-1"/>
                <w:sz w:val="18"/>
              </w:rPr>
            </w:r>
          </w:p>
        </w:tc>
        <w:tc>
          <w:tcPr>
            <w:tcW w:w="1476" w:type="dxa"/>
            <w:tcBorders>
              <w:top w:val="single" w:sz="6" w:space="0" w:color="7D7D85"/>
              <w:left w:val="single" w:sz="6" w:space="0" w:color="7D7D85"/>
              <w:bottom w:val="single" w:sz="6" w:space="0" w:color="BDBDC4"/>
              <w:right w:val="single" w:sz="6" w:space="0" w:color="BDBDC4"/>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448,634,294.60</w:t>
            </w:r>
            <w:r>
              <w:rPr>
                <w:rFonts w:ascii="Times New Roman"/>
                <w:spacing w:val="-1"/>
                <w:sz w:val="18"/>
              </w:rPr>
            </w:r>
          </w:p>
        </w:tc>
      </w:tr>
    </w:tbl>
    <w:p>
      <w:pPr>
        <w:spacing w:line="240" w:lineRule="auto" w:before="11"/>
        <w:rPr>
          <w:rFonts w:ascii="宋体" w:hAnsi="宋体" w:cs="宋体" w:eastAsia="宋体" w:hint="default"/>
          <w:sz w:val="16"/>
          <w:szCs w:val="16"/>
        </w:rPr>
      </w:pPr>
    </w:p>
    <w:p>
      <w:pPr>
        <w:tabs>
          <w:tab w:pos="1481" w:val="left" w:leader="none"/>
        </w:tabs>
        <w:spacing w:before="36"/>
        <w:ind w:left="641" w:right="21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本期取得或处置子公司及其他营业单位的相关信息</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5779"/>
        <w:gridCol w:w="1517"/>
        <w:gridCol w:w="1426"/>
      </w:tblGrid>
      <w:tr>
        <w:trPr>
          <w:trHeight w:val="389" w:hRule="exact"/>
        </w:trPr>
        <w:tc>
          <w:tcPr>
            <w:tcW w:w="5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03"/>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1" w:hRule="exact"/>
        </w:trPr>
        <w:tc>
          <w:tcPr>
            <w:tcW w:w="5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517"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
        </w:tc>
      </w:tr>
      <w:tr>
        <w:trPr>
          <w:trHeight w:val="389" w:hRule="exact"/>
        </w:trPr>
        <w:tc>
          <w:tcPr>
            <w:tcW w:w="5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5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22,846,000.00</w:t>
            </w:r>
          </w:p>
        </w:tc>
      </w:tr>
      <w:tr>
        <w:trPr>
          <w:trHeight w:val="391" w:hRule="exact"/>
        </w:trPr>
        <w:tc>
          <w:tcPr>
            <w:tcW w:w="57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5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10,508,000.00</w:t>
            </w:r>
          </w:p>
        </w:tc>
      </w:tr>
    </w:tbl>
    <w:p>
      <w:pPr>
        <w:spacing w:after="0" w:line="240" w:lineRule="auto"/>
        <w:jc w:val="left"/>
        <w:rPr>
          <w:rFonts w:ascii="Times New Roman" w:hAnsi="Times New Roman" w:cs="Times New Roman" w:eastAsia="Times New Roman" w:hint="default"/>
          <w:sz w:val="18"/>
          <w:szCs w:val="18"/>
        </w:rPr>
        <w:sectPr>
          <w:footerReference w:type="default" r:id="rId171"/>
          <w:pgSz w:w="11910" w:h="16840"/>
          <w:pgMar w:footer="897" w:header="0" w:top="1640" w:bottom="1080" w:left="1480" w:right="1480"/>
          <w:pgNumType w:start="180"/>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5777"/>
        <w:gridCol w:w="1519"/>
        <w:gridCol w:w="1426"/>
      </w:tblGrid>
      <w:tr>
        <w:trPr>
          <w:trHeight w:val="389"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159"/>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8,384,350.77</w:t>
            </w:r>
          </w:p>
        </w:tc>
      </w:tr>
      <w:tr>
        <w:trPr>
          <w:trHeight w:val="391"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2,123,649.23</w:t>
            </w:r>
          </w:p>
        </w:tc>
      </w:tr>
      <w:tr>
        <w:trPr>
          <w:trHeight w:val="389"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28,815,959.81</w:t>
            </w:r>
          </w:p>
        </w:tc>
      </w:tr>
      <w:tr>
        <w:trPr>
          <w:trHeight w:val="391"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46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24,909,965.69</w:t>
            </w:r>
          </w:p>
        </w:tc>
      </w:tr>
      <w:tr>
        <w:trPr>
          <w:trHeight w:val="389"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46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13,080,272.11</w:t>
            </w:r>
          </w:p>
        </w:tc>
      </w:tr>
      <w:tr>
        <w:trPr>
          <w:trHeight w:val="391"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46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9,174,277.99</w:t>
            </w:r>
          </w:p>
        </w:tc>
      </w:tr>
      <w:tr>
        <w:trPr>
          <w:trHeight w:val="389"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46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1519"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
        </w:tc>
      </w:tr>
      <w:tr>
        <w:trPr>
          <w:trHeight w:val="389"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87,870,173.16</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87,612,613.98</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159"/>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29,859,460.16</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57,753,153.82</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153,461,092.26</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46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53,838,389.90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46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113,482,352.09</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46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13,859,649.73</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57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46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6"/>
          <w:szCs w:val="16"/>
        </w:rPr>
      </w:pPr>
    </w:p>
    <w:p>
      <w:pPr>
        <w:tabs>
          <w:tab w:pos="1481" w:val="left" w:leader="none"/>
        </w:tabs>
        <w:spacing w:before="36"/>
        <w:ind w:left="641" w:right="21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tab/>
      </w:r>
      <w:r>
        <w:rPr>
          <w:rFonts w:ascii="宋体" w:hAnsi="宋体" w:cs="宋体" w:eastAsia="宋体" w:hint="default"/>
          <w:spacing w:val="-2"/>
          <w:sz w:val="21"/>
          <w:szCs w:val="21"/>
        </w:rPr>
        <w:t>现金和现金等价物的构成</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5760"/>
        <w:gridCol w:w="1486"/>
        <w:gridCol w:w="1476"/>
      </w:tblGrid>
      <w:tr>
        <w:trPr>
          <w:trHeight w:val="430" w:hRule="exact"/>
        </w:trPr>
        <w:tc>
          <w:tcPr>
            <w:tcW w:w="57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747"/>
              <w:jc w:val="right"/>
              <w:rPr>
                <w:rFonts w:ascii="宋体" w:hAnsi="宋体" w:cs="宋体" w:eastAsia="宋体" w:hint="default"/>
                <w:sz w:val="18"/>
                <w:szCs w:val="18"/>
              </w:rPr>
            </w:pPr>
            <w:r>
              <w:rPr>
                <w:rFonts w:ascii="宋体" w:hAnsi="宋体" w:cs="宋体" w:eastAsia="宋体" w:hint="default"/>
                <w:sz w:val="18"/>
                <w:szCs w:val="18"/>
              </w:rPr>
              <w:t>项目</w:t>
            </w:r>
          </w:p>
        </w:tc>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2009-12-31</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2008-12-31</w:t>
            </w:r>
          </w:p>
        </w:tc>
      </w:tr>
      <w:tr>
        <w:trPr>
          <w:trHeight w:val="432" w:hRule="exact"/>
        </w:trPr>
        <w:tc>
          <w:tcPr>
            <w:tcW w:w="57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2,152,299,095.15</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1,561,216,665.69</w:t>
            </w:r>
          </w:p>
        </w:tc>
      </w:tr>
      <w:tr>
        <w:trPr>
          <w:trHeight w:val="430" w:hRule="exact"/>
        </w:trPr>
        <w:tc>
          <w:tcPr>
            <w:tcW w:w="57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3,514,238.03</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5,112,932.87</w:t>
            </w:r>
          </w:p>
        </w:tc>
      </w:tr>
      <w:tr>
        <w:trPr>
          <w:trHeight w:val="430" w:hRule="exact"/>
        </w:trPr>
        <w:tc>
          <w:tcPr>
            <w:tcW w:w="57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7"/>
              <w:ind w:left="46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2,148,579,553.08</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1,556,103,732.82</w:t>
            </w:r>
          </w:p>
        </w:tc>
      </w:tr>
      <w:tr>
        <w:trPr>
          <w:trHeight w:val="430" w:hRule="exact"/>
        </w:trPr>
        <w:tc>
          <w:tcPr>
            <w:tcW w:w="57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7"/>
              <w:ind w:right="2762"/>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205,304.04</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57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57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57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2,152,299,095.15</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1,561,216,665.69</w:t>
            </w:r>
          </w:p>
        </w:tc>
      </w:tr>
    </w:tbl>
    <w:p>
      <w:pPr>
        <w:spacing w:line="240" w:lineRule="auto" w:before="5"/>
        <w:rPr>
          <w:rFonts w:ascii="宋体" w:hAnsi="宋体" w:cs="宋体" w:eastAsia="宋体" w:hint="default"/>
          <w:sz w:val="19"/>
          <w:szCs w:val="19"/>
        </w:rPr>
      </w:pPr>
    </w:p>
    <w:p>
      <w:pPr>
        <w:tabs>
          <w:tab w:pos="1901" w:val="left" w:leader="none"/>
        </w:tabs>
        <w:spacing w:before="0"/>
        <w:ind w:left="641" w:right="212" w:firstLine="0"/>
        <w:jc w:val="left"/>
        <w:rPr>
          <w:rFonts w:ascii="宋体" w:hAnsi="宋体" w:cs="宋体" w:eastAsia="宋体" w:hint="default"/>
          <w:sz w:val="21"/>
          <w:szCs w:val="21"/>
        </w:rPr>
      </w:pPr>
      <w:r>
        <w:rPr>
          <w:rFonts w:ascii="宋体" w:hAnsi="宋体" w:cs="宋体" w:eastAsia="宋体" w:hint="default"/>
          <w:spacing w:val="-1"/>
          <w:sz w:val="21"/>
          <w:szCs w:val="21"/>
        </w:rPr>
        <w:t>附注六、</w:t>
        <w:tab/>
      </w:r>
      <w:r>
        <w:rPr>
          <w:rFonts w:ascii="宋体" w:hAnsi="宋体" w:cs="宋体" w:eastAsia="宋体" w:hint="default"/>
          <w:spacing w:val="-2"/>
          <w:sz w:val="21"/>
          <w:szCs w:val="21"/>
        </w:rPr>
        <w:t>关联方及关联交易</w:t>
      </w:r>
    </w:p>
    <w:p>
      <w:pPr>
        <w:spacing w:line="240" w:lineRule="auto" w:before="5"/>
        <w:rPr>
          <w:rFonts w:ascii="宋体" w:hAnsi="宋体" w:cs="宋体" w:eastAsia="宋体" w:hint="default"/>
          <w:sz w:val="23"/>
          <w:szCs w:val="23"/>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关联方认定标准</w:t>
      </w:r>
    </w:p>
    <w:p>
      <w:pPr>
        <w:spacing w:line="240" w:lineRule="auto" w:before="10"/>
        <w:rPr>
          <w:rFonts w:ascii="宋体" w:hAnsi="宋体" w:cs="宋体" w:eastAsia="宋体" w:hint="default"/>
          <w:sz w:val="21"/>
          <w:szCs w:val="21"/>
        </w:rPr>
      </w:pPr>
    </w:p>
    <w:p>
      <w:pPr>
        <w:spacing w:line="350" w:lineRule="auto" w:before="0"/>
        <w:ind w:left="221" w:right="162" w:firstLine="420"/>
        <w:jc w:val="left"/>
        <w:rPr>
          <w:rFonts w:ascii="宋体" w:hAnsi="宋体" w:cs="宋体" w:eastAsia="宋体" w:hint="default"/>
          <w:sz w:val="21"/>
          <w:szCs w:val="21"/>
        </w:rPr>
      </w:pPr>
      <w:r>
        <w:rPr>
          <w:rFonts w:ascii="宋体" w:hAnsi="宋体" w:cs="宋体" w:eastAsia="宋体" w:hint="default"/>
          <w:spacing w:val="-7"/>
          <w:w w:val="99"/>
          <w:sz w:val="21"/>
          <w:szCs w:val="21"/>
        </w:rPr>
        <w:t>一方控制、共同控制另一方或对另一方施加重大影响，以及两方或两方以上同受一方控制</w:t>
      </w:r>
      <w:r>
        <w:rPr>
          <w:rFonts w:ascii="宋体" w:hAnsi="宋体" w:cs="宋体" w:eastAsia="宋体" w:hint="default"/>
          <w:spacing w:val="-51"/>
          <w:w w:val="99"/>
          <w:sz w:val="21"/>
          <w:szCs w:val="21"/>
        </w:rPr>
        <w:t> </w:t>
      </w:r>
      <w:r>
        <w:rPr>
          <w:rFonts w:ascii="宋体" w:hAnsi="宋体" w:cs="宋体" w:eastAsia="宋体" w:hint="default"/>
          <w:w w:val="75"/>
          <w:sz w:val="21"/>
          <w:szCs w:val="21"/>
        </w:rPr>
        <w:t>、</w:t>
      </w:r>
      <w:r>
        <w:rPr>
          <w:rFonts w:ascii="宋体" w:hAnsi="宋体" w:cs="宋体" w:eastAsia="宋体" w:hint="default"/>
          <w:w w:val="75"/>
          <w:sz w:val="21"/>
          <w:szCs w:val="21"/>
        </w:rPr>
        <w:t> </w:t>
      </w:r>
      <w:r>
        <w:rPr>
          <w:rFonts w:ascii="宋体" w:hAnsi="宋体" w:cs="宋体" w:eastAsia="宋体" w:hint="default"/>
          <w:sz w:val="21"/>
          <w:szCs w:val="21"/>
        </w:rPr>
        <w:t>共同控制或重大影响的，构成关联方。</w:t>
      </w:r>
    </w:p>
    <w:p>
      <w:pPr>
        <w:spacing w:line="240" w:lineRule="auto" w:before="11"/>
        <w:rPr>
          <w:rFonts w:ascii="宋体" w:hAnsi="宋体" w:cs="宋体" w:eastAsia="宋体" w:hint="default"/>
          <w:sz w:val="15"/>
          <w:szCs w:val="15"/>
        </w:rPr>
      </w:pPr>
    </w:p>
    <w:p>
      <w:pPr>
        <w:spacing w:before="0"/>
        <w:ind w:left="64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存在控制关系的本公司股东（或实际控制人）</w:t>
      </w:r>
    </w:p>
    <w:p>
      <w:pPr>
        <w:spacing w:after="0"/>
        <w:jc w:val="left"/>
        <w:rPr>
          <w:rFonts w:ascii="宋体" w:hAnsi="宋体" w:cs="宋体" w:eastAsia="宋体" w:hint="default"/>
          <w:sz w:val="21"/>
          <w:szCs w:val="21"/>
        </w:rPr>
        <w:sectPr>
          <w:pgSz w:w="11910" w:h="16840"/>
          <w:pgMar w:header="0" w:footer="897" w:top="1640" w:bottom="1080" w:left="1480" w:right="1480"/>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1306"/>
        <w:gridCol w:w="691"/>
        <w:gridCol w:w="907"/>
        <w:gridCol w:w="1121"/>
        <w:gridCol w:w="1181"/>
        <w:gridCol w:w="1010"/>
        <w:gridCol w:w="946"/>
        <w:gridCol w:w="919"/>
        <w:gridCol w:w="866"/>
      </w:tblGrid>
      <w:tr>
        <w:trPr>
          <w:trHeight w:val="569" w:hRule="exact"/>
        </w:trPr>
        <w:tc>
          <w:tcPr>
            <w:tcW w:w="13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35"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7"/>
              <w:ind w:left="136" w:right="182"/>
              <w:jc w:val="left"/>
              <w:rPr>
                <w:rFonts w:ascii="宋体" w:hAnsi="宋体" w:cs="宋体" w:eastAsia="宋体" w:hint="default"/>
                <w:sz w:val="18"/>
                <w:szCs w:val="18"/>
              </w:rPr>
            </w:pPr>
            <w:r>
              <w:rPr>
                <w:rFonts w:ascii="宋体" w:hAnsi="宋体" w:cs="宋体" w:eastAsia="宋体" w:hint="default"/>
                <w:sz w:val="18"/>
                <w:szCs w:val="18"/>
              </w:rPr>
              <w:t>注册 地址</w:t>
            </w:r>
          </w:p>
        </w:tc>
        <w:tc>
          <w:tcPr>
            <w:tcW w:w="9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4"/>
              <w:ind w:left="15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58"/>
              <w:ind w:left="350" w:right="218"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7"/>
              <w:ind w:left="240" w:right="120" w:hanging="92"/>
              <w:jc w:val="left"/>
              <w:rPr>
                <w:rFonts w:ascii="宋体" w:hAnsi="宋体" w:cs="宋体" w:eastAsia="宋体" w:hint="default"/>
                <w:sz w:val="18"/>
                <w:szCs w:val="18"/>
              </w:rPr>
            </w:pPr>
            <w:r>
              <w:rPr>
                <w:rFonts w:ascii="宋体" w:hAnsi="宋体" w:cs="宋体" w:eastAsia="宋体" w:hint="default"/>
                <w:sz w:val="18"/>
                <w:szCs w:val="18"/>
              </w:rPr>
              <w:t>拥有本公司 股份比例</w:t>
            </w:r>
          </w:p>
        </w:tc>
        <w:tc>
          <w:tcPr>
            <w:tcW w:w="10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7"/>
              <w:ind w:left="201" w:right="192"/>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919"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7"/>
              <w:ind w:left="48" w:right="139"/>
              <w:jc w:val="left"/>
              <w:rPr>
                <w:rFonts w:ascii="宋体" w:hAnsi="宋体" w:cs="宋体" w:eastAsia="宋体" w:hint="default"/>
                <w:sz w:val="18"/>
                <w:szCs w:val="18"/>
              </w:rPr>
            </w:pPr>
            <w:r>
              <w:rPr>
                <w:rFonts w:ascii="宋体" w:hAnsi="宋体" w:cs="宋体" w:eastAsia="宋体" w:hint="default"/>
                <w:sz w:val="18"/>
                <w:szCs w:val="18"/>
              </w:rPr>
              <w:t>经 济</w:t>
            </w:r>
            <w:r>
              <w:rPr>
                <w:rFonts w:ascii="宋体" w:hAnsi="宋体" w:cs="宋体" w:eastAsia="宋体" w:hint="default"/>
                <w:spacing w:val="-1"/>
                <w:sz w:val="18"/>
                <w:szCs w:val="18"/>
              </w:rPr>
              <w:t> </w:t>
            </w:r>
            <w:r>
              <w:rPr>
                <w:rFonts w:ascii="宋体" w:hAnsi="宋体" w:cs="宋体" w:eastAsia="宋体" w:hint="default"/>
                <w:sz w:val="18"/>
                <w:szCs w:val="18"/>
              </w:rPr>
              <w:t>性</w:t>
            </w:r>
            <w:r>
              <w:rPr>
                <w:rFonts w:ascii="宋体" w:hAnsi="宋体" w:cs="宋体" w:eastAsia="宋体" w:hint="default"/>
                <w:sz w:val="18"/>
                <w:szCs w:val="18"/>
              </w:rPr>
              <w:t> 质或类型</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7"/>
              <w:ind w:left="187" w:right="127"/>
              <w:jc w:val="left"/>
              <w:rPr>
                <w:rFonts w:ascii="宋体" w:hAnsi="宋体" w:cs="宋体" w:eastAsia="宋体" w:hint="default"/>
                <w:sz w:val="18"/>
                <w:szCs w:val="18"/>
              </w:rPr>
            </w:pPr>
            <w:r>
              <w:rPr>
                <w:rFonts w:ascii="宋体" w:hAnsi="宋体" w:cs="宋体" w:eastAsia="宋体" w:hint="default"/>
                <w:sz w:val="18"/>
                <w:szCs w:val="18"/>
              </w:rPr>
              <w:t>法 定 代表人</w:t>
            </w:r>
          </w:p>
        </w:tc>
      </w:tr>
      <w:tr>
        <w:trPr>
          <w:trHeight w:val="730" w:hRule="exact"/>
        </w:trPr>
        <w:tc>
          <w:tcPr>
            <w:tcW w:w="1306"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04"/>
              <w:ind w:left="31" w:right="110" w:hanging="27"/>
              <w:jc w:val="left"/>
              <w:rPr>
                <w:rFonts w:ascii="宋体" w:hAnsi="宋体" w:cs="宋体" w:eastAsia="宋体" w:hint="default"/>
                <w:sz w:val="18"/>
                <w:szCs w:val="18"/>
              </w:rPr>
            </w:pPr>
            <w:r>
              <w:rPr>
                <w:rFonts w:ascii="宋体" w:hAnsi="宋体" w:cs="宋体" w:eastAsia="宋体" w:hint="default"/>
                <w:spacing w:val="16"/>
                <w:sz w:val="18"/>
                <w:szCs w:val="18"/>
              </w:rPr>
              <w:t>深圳市国有资</w:t>
            </w:r>
            <w:r>
              <w:rPr>
                <w:rFonts w:ascii="宋体" w:hAnsi="宋体" w:cs="宋体" w:eastAsia="宋体" w:hint="default"/>
                <w:sz w:val="18"/>
                <w:szCs w:val="18"/>
              </w:rPr>
              <w:t> 产监督管理局</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07" w:type="dxa"/>
            <w:tcBorders>
              <w:top w:val="single" w:sz="4" w:space="0" w:color="000008"/>
              <w:left w:val="single" w:sz="4" w:space="0" w:color="000008"/>
              <w:bottom w:val="single" w:sz="4" w:space="0" w:color="000008"/>
              <w:right w:val="single" w:sz="4" w:space="0" w:color="000008"/>
            </w:tcBorders>
          </w:tcPr>
          <w:p>
            <w:pPr/>
          </w:p>
        </w:tc>
        <w:tc>
          <w:tcPr>
            <w:tcW w:w="1121"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21.52%</w:t>
            </w:r>
          </w:p>
        </w:tc>
        <w:tc>
          <w:tcPr>
            <w:tcW w:w="101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31" w:right="103" w:hanging="27"/>
              <w:jc w:val="both"/>
              <w:rPr>
                <w:rFonts w:ascii="宋体" w:hAnsi="宋体" w:cs="宋体" w:eastAsia="宋体" w:hint="default"/>
                <w:sz w:val="18"/>
                <w:szCs w:val="18"/>
              </w:rPr>
            </w:pPr>
            <w:r>
              <w:rPr>
                <w:rFonts w:ascii="宋体" w:hAnsi="宋体" w:cs="宋体" w:eastAsia="宋体" w:hint="default"/>
                <w:sz w:val="18"/>
                <w:szCs w:val="18"/>
              </w:rPr>
              <w:t>代</w:t>
            </w:r>
            <w:r>
              <w:rPr>
                <w:rFonts w:ascii="宋体" w:hAnsi="宋体" w:cs="宋体" w:eastAsia="宋体" w:hint="default"/>
                <w:spacing w:val="-35"/>
                <w:sz w:val="18"/>
                <w:szCs w:val="18"/>
              </w:rPr>
              <w:t> </w:t>
            </w:r>
            <w:r>
              <w:rPr>
                <w:rFonts w:ascii="宋体" w:hAnsi="宋体" w:cs="宋体" w:eastAsia="宋体" w:hint="default"/>
                <w:sz w:val="18"/>
                <w:szCs w:val="18"/>
              </w:rPr>
              <w:t>表</w:t>
            </w:r>
            <w:r>
              <w:rPr>
                <w:rFonts w:ascii="宋体" w:hAnsi="宋体" w:cs="宋体" w:eastAsia="宋体" w:hint="default"/>
                <w:spacing w:val="-33"/>
                <w:sz w:val="18"/>
                <w:szCs w:val="18"/>
              </w:rPr>
              <w:t> </w:t>
            </w:r>
            <w:r>
              <w:rPr>
                <w:rFonts w:ascii="宋体" w:hAnsi="宋体" w:cs="宋体" w:eastAsia="宋体" w:hint="default"/>
                <w:sz w:val="18"/>
                <w:szCs w:val="18"/>
              </w:rPr>
              <w:t>国</w:t>
            </w:r>
            <w:r>
              <w:rPr>
                <w:rFonts w:ascii="宋体" w:hAnsi="宋体" w:cs="宋体" w:eastAsia="宋体" w:hint="default"/>
                <w:spacing w:val="-33"/>
                <w:sz w:val="18"/>
                <w:szCs w:val="18"/>
              </w:rPr>
              <w:t> </w:t>
            </w:r>
            <w:r>
              <w:rPr>
                <w:rFonts w:ascii="宋体" w:hAnsi="宋体" w:cs="宋体" w:eastAsia="宋体" w:hint="default"/>
                <w:sz w:val="18"/>
                <w:szCs w:val="18"/>
              </w:rPr>
              <w:t>家</w:t>
            </w:r>
            <w:r>
              <w:rPr>
                <w:rFonts w:ascii="宋体" w:hAnsi="宋体" w:cs="宋体" w:eastAsia="宋体" w:hint="default"/>
                <w:sz w:val="18"/>
                <w:szCs w:val="18"/>
              </w:rPr>
              <w:t> 履</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40"/>
                <w:sz w:val="18"/>
                <w:szCs w:val="18"/>
              </w:rPr>
              <w:t> </w:t>
            </w:r>
            <w:r>
              <w:rPr>
                <w:rFonts w:ascii="宋体" w:hAnsi="宋体" w:cs="宋体" w:eastAsia="宋体" w:hint="default"/>
                <w:sz w:val="18"/>
                <w:szCs w:val="18"/>
              </w:rPr>
              <w:t>出</w:t>
            </w:r>
            <w:r>
              <w:rPr>
                <w:rFonts w:ascii="宋体" w:hAnsi="宋体" w:cs="宋体" w:eastAsia="宋体" w:hint="default"/>
                <w:spacing w:val="-42"/>
                <w:sz w:val="18"/>
                <w:szCs w:val="18"/>
              </w:rPr>
              <w:t> </w:t>
            </w:r>
            <w:r>
              <w:rPr>
                <w:rFonts w:ascii="宋体" w:hAnsi="宋体" w:cs="宋体" w:eastAsia="宋体" w:hint="default"/>
                <w:sz w:val="18"/>
                <w:szCs w:val="18"/>
              </w:rPr>
              <w:t>资</w:t>
            </w:r>
            <w:r>
              <w:rPr>
                <w:rFonts w:ascii="宋体" w:hAnsi="宋体" w:cs="宋体" w:eastAsia="宋体" w:hint="default"/>
                <w:sz w:val="18"/>
                <w:szCs w:val="18"/>
              </w:rPr>
              <w:t> 人职责</w:t>
            </w: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04"/>
              <w:ind w:left="4" w:right="209"/>
              <w:jc w:val="left"/>
              <w:rPr>
                <w:rFonts w:ascii="宋体" w:hAnsi="宋体" w:cs="宋体" w:eastAsia="宋体" w:hint="default"/>
                <w:sz w:val="18"/>
                <w:szCs w:val="18"/>
              </w:rPr>
            </w:pPr>
            <w:r>
              <w:rPr>
                <w:rFonts w:ascii="宋体" w:hAnsi="宋体" w:cs="宋体" w:eastAsia="宋体" w:hint="default"/>
                <w:sz w:val="18"/>
                <w:szCs w:val="18"/>
              </w:rPr>
              <w:t>本公司实 际控制人</w:t>
            </w:r>
          </w:p>
        </w:tc>
        <w:tc>
          <w:tcPr>
            <w:tcW w:w="9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机关法人</w:t>
            </w:r>
          </w:p>
        </w:tc>
        <w:tc>
          <w:tcPr>
            <w:tcW w:w="8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张晓莉</w:t>
            </w:r>
          </w:p>
        </w:tc>
      </w:tr>
    </w:tbl>
    <w:p>
      <w:pPr>
        <w:spacing w:line="240" w:lineRule="auto" w:before="11"/>
        <w:rPr>
          <w:rFonts w:ascii="宋体" w:hAnsi="宋体" w:cs="宋体" w:eastAsia="宋体" w:hint="default"/>
          <w:sz w:val="16"/>
          <w:szCs w:val="16"/>
        </w:rPr>
      </w:pPr>
    </w:p>
    <w:p>
      <w:pPr>
        <w:spacing w:before="36"/>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本企业的子公司情况</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基</w:t>
      </w:r>
      <w:r>
        <w:rPr>
          <w:rFonts w:ascii="宋体" w:hAnsi="宋体" w:cs="宋体" w:eastAsia="宋体" w:hint="default"/>
          <w:spacing w:val="-3"/>
          <w:w w:val="100"/>
          <w:sz w:val="21"/>
          <w:szCs w:val="21"/>
        </w:rPr>
        <w:t>本</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及</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见</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四</w:t>
      </w:r>
      <w:r>
        <w:rPr>
          <w:rFonts w:ascii="宋体" w:hAnsi="宋体" w:cs="宋体" w:eastAsia="宋体" w:hint="default"/>
          <w:spacing w:val="-3"/>
          <w:w w:val="100"/>
          <w:sz w:val="21"/>
          <w:szCs w:val="21"/>
        </w:rPr>
        <w:t>（</w:t>
      </w:r>
      <w:r>
        <w:rPr>
          <w:rFonts w:ascii="宋体" w:hAnsi="宋体" w:cs="宋体" w:eastAsia="宋体" w:hint="default"/>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after="0"/>
        <w:jc w:val="left"/>
        <w:rPr>
          <w:rFonts w:ascii="宋体" w:hAnsi="宋体" w:cs="宋体" w:eastAsia="宋体" w:hint="default"/>
          <w:sz w:val="21"/>
          <w:szCs w:val="21"/>
        </w:rPr>
        <w:sectPr>
          <w:pgSz w:w="11910" w:h="16840"/>
          <w:pgMar w:header="0" w:footer="897" w:top="1640" w:bottom="1080" w:left="1480" w:right="12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8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本企业的合营和联营企业情况</w:t>
      </w:r>
    </w:p>
    <w:p>
      <w:pPr>
        <w:spacing w:line="240" w:lineRule="auto" w:before="10"/>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930"/>
        <w:gridCol w:w="413"/>
        <w:gridCol w:w="358"/>
        <w:gridCol w:w="708"/>
        <w:gridCol w:w="1824"/>
        <w:gridCol w:w="1015"/>
        <w:gridCol w:w="878"/>
        <w:gridCol w:w="876"/>
        <w:gridCol w:w="1003"/>
        <w:gridCol w:w="922"/>
        <w:gridCol w:w="814"/>
        <w:gridCol w:w="854"/>
        <w:gridCol w:w="1150"/>
        <w:gridCol w:w="1260"/>
      </w:tblGrid>
      <w:tr>
        <w:trPr>
          <w:trHeight w:val="1128"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21" w:right="19"/>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97"/>
              <w:ind w:left="84" w:right="83"/>
              <w:jc w:val="both"/>
              <w:rPr>
                <w:rFonts w:ascii="宋体" w:hAnsi="宋体" w:cs="宋体" w:eastAsia="宋体" w:hint="default"/>
                <w:sz w:val="18"/>
                <w:szCs w:val="18"/>
              </w:rPr>
            </w:pPr>
            <w:r>
              <w:rPr>
                <w:rFonts w:ascii="宋体" w:hAnsi="宋体" w:cs="宋体" w:eastAsia="宋体" w:hint="default"/>
                <w:sz w:val="18"/>
                <w:szCs w:val="18"/>
              </w:rPr>
              <w:t>注 册 地</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168" w:right="168"/>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7" w:right="118" w:firstLine="316"/>
              <w:jc w:val="left"/>
              <w:rPr>
                <w:rFonts w:ascii="宋体" w:hAnsi="宋体" w:cs="宋体" w:eastAsia="宋体" w:hint="default"/>
                <w:sz w:val="18"/>
                <w:szCs w:val="18"/>
              </w:rPr>
            </w:pPr>
            <w:r>
              <w:rPr>
                <w:rFonts w:ascii="宋体" w:hAnsi="宋体" w:cs="宋体" w:eastAsia="宋体" w:hint="default"/>
                <w:sz w:val="18"/>
                <w:szCs w:val="18"/>
              </w:rPr>
              <w:t>注册 </w:t>
            </w:r>
            <w:r>
              <w:rPr>
                <w:rFonts w:ascii="宋体" w:hAnsi="宋体" w:cs="宋体" w:eastAsia="宋体" w:hint="default"/>
                <w:w w:val="95"/>
                <w:sz w:val="18"/>
                <w:szCs w:val="18"/>
              </w:rPr>
              <w:t>资本（</w:t>
            </w:r>
            <w:r>
              <w:rPr>
                <w:rFonts w:ascii="宋体" w:hAnsi="宋体" w:cs="宋体" w:eastAsia="宋体" w:hint="default"/>
                <w:spacing w:val="-75"/>
                <w:w w:val="95"/>
                <w:sz w:val="18"/>
                <w:szCs w:val="18"/>
              </w:rPr>
              <w:t> </w:t>
            </w:r>
            <w:r>
              <w:rPr>
                <w:rFonts w:ascii="宋体" w:hAnsi="宋体" w:cs="宋体" w:eastAsia="宋体" w:hint="default"/>
                <w:w w:val="95"/>
                <w:sz w:val="18"/>
                <w:szCs w:val="18"/>
              </w:rPr>
              <w:t>万</w:t>
            </w:r>
            <w:r>
              <w:rPr>
                <w:rFonts w:ascii="宋体" w:hAnsi="宋体" w:cs="宋体" w:eastAsia="宋体" w:hint="default"/>
                <w:spacing w:val="-75"/>
                <w:w w:val="95"/>
                <w:sz w:val="18"/>
                <w:szCs w:val="18"/>
              </w:rPr>
              <w:t> </w:t>
            </w:r>
            <w:r>
              <w:rPr>
                <w:rFonts w:ascii="宋体" w:hAnsi="宋体" w:cs="宋体" w:eastAsia="宋体" w:hint="default"/>
                <w:w w:val="95"/>
                <w:sz w:val="18"/>
                <w:szCs w:val="18"/>
              </w:rPr>
              <w:t>元</w:t>
            </w:r>
            <w:r>
              <w:rPr>
                <w:rFonts w:ascii="宋体" w:hAnsi="宋体" w:cs="宋体" w:eastAsia="宋体" w:hint="default"/>
                <w:sz w:val="18"/>
                <w:szCs w:val="18"/>
              </w:rPr>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本企业持</w:t>
            </w:r>
          </w:p>
          <w:p>
            <w:pPr>
              <w:pStyle w:val="TableParagraph"/>
              <w:spacing w:line="240" w:lineRule="auto" w:before="124"/>
              <w:ind w:left="-90" w:right="29"/>
              <w:jc w:val="center"/>
              <w:rPr>
                <w:rFonts w:ascii="Times New Roman" w:hAnsi="Times New Roman" w:cs="Times New Roman" w:eastAsia="Times New Roman" w:hint="default"/>
                <w:sz w:val="18"/>
                <w:szCs w:val="18"/>
              </w:rPr>
            </w:pPr>
            <w:r>
              <w:rPr>
                <w:rFonts w:ascii="宋体" w:hAnsi="宋体" w:cs="宋体" w:eastAsia="宋体" w:hint="default"/>
                <w:spacing w:val="-7"/>
                <w:w w:val="95"/>
                <w:sz w:val="18"/>
                <w:szCs w:val="18"/>
              </w:rPr>
              <w:t>）股比例</w:t>
            </w:r>
            <w:r>
              <w:rPr>
                <w:rFonts w:ascii="Times New Roman" w:hAnsi="Times New Roman" w:cs="Times New Roman" w:eastAsia="Times New Roman" w:hint="default"/>
                <w:spacing w:val="-7"/>
                <w:w w:val="95"/>
                <w:sz w:val="18"/>
                <w:szCs w:val="18"/>
              </w:rPr>
              <w:t>(%)</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7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 被投资单 位表决权 比例</w:t>
            </w:r>
            <w:r>
              <w:rPr>
                <w:rFonts w:ascii="Times New Roman" w:hAnsi="Times New Roman" w:cs="Times New Roman" w:eastAsia="Times New Roman" w:hint="default"/>
                <w:sz w:val="18"/>
                <w:szCs w:val="18"/>
              </w:rPr>
              <w:t>(%)</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2" w:right="-19" w:firstLine="136"/>
              <w:jc w:val="left"/>
              <w:rPr>
                <w:rFonts w:ascii="宋体" w:hAnsi="宋体" w:cs="宋体" w:eastAsia="宋体" w:hint="default"/>
                <w:sz w:val="18"/>
                <w:szCs w:val="18"/>
              </w:rPr>
            </w:pPr>
            <w:r>
              <w:rPr>
                <w:rFonts w:ascii="宋体" w:hAnsi="宋体" w:cs="宋体" w:eastAsia="宋体" w:hint="default"/>
                <w:sz w:val="18"/>
                <w:szCs w:val="18"/>
              </w:rPr>
              <w:t>期末资产 </w:t>
            </w:r>
            <w:r>
              <w:rPr>
                <w:rFonts w:ascii="宋体" w:hAnsi="宋体" w:cs="宋体" w:eastAsia="宋体" w:hint="default"/>
                <w:w w:val="95"/>
                <w:sz w:val="18"/>
                <w:szCs w:val="18"/>
              </w:rPr>
              <w:t>总额（</w:t>
            </w:r>
            <w:r>
              <w:rPr>
                <w:rFonts w:ascii="宋体" w:hAnsi="宋体" w:cs="宋体" w:eastAsia="宋体" w:hint="default"/>
                <w:spacing w:val="-73"/>
                <w:w w:val="95"/>
                <w:sz w:val="18"/>
                <w:szCs w:val="18"/>
              </w:rPr>
              <w:t> </w:t>
            </w:r>
            <w:r>
              <w:rPr>
                <w:rFonts w:ascii="宋体" w:hAnsi="宋体" w:cs="宋体" w:eastAsia="宋体" w:hint="default"/>
                <w:w w:val="95"/>
                <w:sz w:val="18"/>
                <w:szCs w:val="18"/>
              </w:rPr>
              <w:t>万</w:t>
            </w:r>
            <w:r>
              <w:rPr>
                <w:rFonts w:ascii="宋体" w:hAnsi="宋体" w:cs="宋体" w:eastAsia="宋体" w:hint="default"/>
                <w:spacing w:val="-73"/>
                <w:w w:val="95"/>
                <w:sz w:val="18"/>
                <w:szCs w:val="18"/>
              </w:rPr>
              <w:t> </w:t>
            </w:r>
            <w:r>
              <w:rPr>
                <w:rFonts w:ascii="宋体" w:hAnsi="宋体" w:cs="宋体" w:eastAsia="宋体" w:hint="default"/>
                <w:w w:val="95"/>
                <w:sz w:val="18"/>
                <w:szCs w:val="18"/>
              </w:rPr>
              <w:t>元</w:t>
            </w:r>
            <w:r>
              <w:rPr>
                <w:rFonts w:ascii="宋体" w:hAnsi="宋体" w:cs="宋体" w:eastAsia="宋体" w:hint="default"/>
                <w:spacing w:val="-73"/>
                <w:w w:val="95"/>
                <w:sz w:val="18"/>
                <w:szCs w:val="18"/>
              </w:rPr>
              <w:t> </w:t>
            </w:r>
            <w:r>
              <w:rPr>
                <w:rFonts w:ascii="宋体" w:hAnsi="宋体" w:cs="宋体" w:eastAsia="宋体" w:hint="default"/>
                <w:spacing w:val="-55"/>
                <w:w w:val="95"/>
                <w:sz w:val="18"/>
                <w:szCs w:val="18"/>
              </w:rPr>
              <w:t>）</w:t>
            </w:r>
            <w:r>
              <w:rPr>
                <w:rFonts w:ascii="宋体" w:hAnsi="宋体" w:cs="宋体" w:eastAsia="宋体" w:hint="default"/>
                <w:sz w:val="18"/>
                <w:szCs w:val="18"/>
              </w:rPr>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2" w:right="-5" w:firstLine="96"/>
              <w:jc w:val="left"/>
              <w:rPr>
                <w:rFonts w:ascii="宋体" w:hAnsi="宋体" w:cs="宋体" w:eastAsia="宋体" w:hint="default"/>
                <w:sz w:val="18"/>
                <w:szCs w:val="18"/>
              </w:rPr>
            </w:pPr>
            <w:r>
              <w:rPr>
                <w:rFonts w:ascii="宋体" w:hAnsi="宋体" w:cs="宋体" w:eastAsia="宋体" w:hint="default"/>
                <w:sz w:val="18"/>
                <w:szCs w:val="18"/>
              </w:rPr>
              <w:t>期末负债 </w:t>
            </w:r>
            <w:r>
              <w:rPr>
                <w:rFonts w:ascii="宋体" w:hAnsi="宋体" w:cs="宋体" w:eastAsia="宋体" w:hint="default"/>
                <w:w w:val="85"/>
                <w:sz w:val="18"/>
                <w:szCs w:val="18"/>
              </w:rPr>
              <w:t>总</w:t>
            </w:r>
            <w:r>
              <w:rPr>
                <w:rFonts w:ascii="宋体" w:hAnsi="宋体" w:cs="宋体" w:eastAsia="宋体" w:hint="default"/>
                <w:spacing w:val="-27"/>
                <w:w w:val="85"/>
                <w:sz w:val="18"/>
                <w:szCs w:val="18"/>
              </w:rPr>
              <w:t> </w:t>
            </w:r>
            <w:r>
              <w:rPr>
                <w:rFonts w:ascii="宋体" w:hAnsi="宋体" w:cs="宋体" w:eastAsia="宋体" w:hint="default"/>
                <w:spacing w:val="-11"/>
                <w:w w:val="85"/>
                <w:sz w:val="18"/>
                <w:szCs w:val="18"/>
              </w:rPr>
              <w:t>额（万元）</w:t>
            </w:r>
            <w:r>
              <w:rPr>
                <w:rFonts w:ascii="宋体" w:hAnsi="宋体" w:cs="宋体" w:eastAsia="宋体" w:hint="default"/>
                <w:spacing w:val="-11"/>
                <w:sz w:val="18"/>
                <w:szCs w:val="18"/>
              </w:rPr>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97"/>
              <w:ind w:left="132" w:right="38" w:hanging="89"/>
              <w:jc w:val="left"/>
              <w:rPr>
                <w:rFonts w:ascii="宋体" w:hAnsi="宋体" w:cs="宋体" w:eastAsia="宋体" w:hint="default"/>
                <w:sz w:val="18"/>
                <w:szCs w:val="18"/>
              </w:rPr>
            </w:pPr>
            <w:r>
              <w:rPr>
                <w:rFonts w:ascii="宋体" w:hAnsi="宋体" w:cs="宋体" w:eastAsia="宋体" w:hint="default"/>
                <w:sz w:val="18"/>
                <w:szCs w:val="18"/>
              </w:rPr>
              <w:t>期末净资 产总额</w:t>
            </w:r>
          </w:p>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97"/>
              <w:ind w:left="62" w:right="60"/>
              <w:jc w:val="left"/>
              <w:rPr>
                <w:rFonts w:ascii="宋体" w:hAnsi="宋体" w:cs="宋体" w:eastAsia="宋体" w:hint="default"/>
                <w:sz w:val="18"/>
                <w:szCs w:val="18"/>
              </w:rPr>
            </w:pPr>
            <w:r>
              <w:rPr>
                <w:rFonts w:ascii="宋体" w:hAnsi="宋体" w:cs="宋体" w:eastAsia="宋体" w:hint="default"/>
                <w:sz w:val="18"/>
                <w:szCs w:val="18"/>
              </w:rPr>
              <w:t>本期营业 收入总额</w:t>
            </w:r>
          </w:p>
          <w:p>
            <w:pPr>
              <w:pStyle w:val="TableParagraph"/>
              <w:spacing w:line="240" w:lineRule="auto" w:before="29"/>
              <w:ind w:left="6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right="-3" w:firstLine="388"/>
              <w:jc w:val="left"/>
              <w:rPr>
                <w:rFonts w:ascii="宋体" w:hAnsi="宋体" w:cs="宋体" w:eastAsia="宋体" w:hint="default"/>
                <w:sz w:val="18"/>
                <w:szCs w:val="18"/>
              </w:rPr>
            </w:pPr>
            <w:r>
              <w:rPr>
                <w:rFonts w:ascii="宋体" w:hAnsi="宋体" w:cs="宋体" w:eastAsia="宋体" w:hint="default"/>
                <w:sz w:val="18"/>
                <w:szCs w:val="18"/>
              </w:rPr>
              <w:t>本期 </w:t>
            </w:r>
            <w:r>
              <w:rPr>
                <w:rFonts w:ascii="宋体" w:hAnsi="宋体" w:cs="宋体" w:eastAsia="宋体" w:hint="default"/>
                <w:w w:val="90"/>
                <w:sz w:val="18"/>
                <w:szCs w:val="18"/>
              </w:rPr>
              <w:t>净利润（万元）</w:t>
            </w:r>
            <w:r>
              <w:rPr>
                <w:rFonts w:ascii="宋体" w:hAnsi="宋体" w:cs="宋体" w:eastAsia="宋体" w:hint="default"/>
                <w:sz w:val="18"/>
                <w:szCs w:val="18"/>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72"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413" w:type="dxa"/>
            <w:tcBorders>
              <w:top w:val="single" w:sz="4" w:space="0" w:color="000008"/>
              <w:left w:val="single" w:sz="4" w:space="0" w:color="000008"/>
              <w:bottom w:val="single" w:sz="4" w:space="0" w:color="000008"/>
              <w:right w:val="single" w:sz="4" w:space="0" w:color="000008"/>
            </w:tcBorders>
          </w:tcPr>
          <w:p>
            <w:pPr/>
          </w:p>
        </w:tc>
        <w:tc>
          <w:tcPr>
            <w:tcW w:w="358" w:type="dxa"/>
            <w:tcBorders>
              <w:top w:val="single" w:sz="4" w:space="0" w:color="000008"/>
              <w:left w:val="single" w:sz="4" w:space="0" w:color="000008"/>
              <w:bottom w:val="single" w:sz="4" w:space="0" w:color="000008"/>
              <w:right w:val="single" w:sz="4" w:space="0" w:color="000008"/>
            </w:tcBorders>
          </w:tcPr>
          <w:p>
            <w:pPr/>
          </w:p>
        </w:tc>
        <w:tc>
          <w:tcPr>
            <w:tcW w:w="708" w:type="dxa"/>
            <w:tcBorders>
              <w:top w:val="single" w:sz="4" w:space="0" w:color="000008"/>
              <w:left w:val="single" w:sz="4" w:space="0" w:color="000008"/>
              <w:bottom w:val="single" w:sz="4" w:space="0" w:color="000008"/>
              <w:right w:val="single" w:sz="4" w:space="0" w:color="000008"/>
            </w:tcBorders>
          </w:tcPr>
          <w:p>
            <w:pPr/>
          </w:p>
        </w:tc>
        <w:tc>
          <w:tcPr>
            <w:tcW w:w="1824" w:type="dxa"/>
            <w:tcBorders>
              <w:top w:val="single" w:sz="4" w:space="0" w:color="000008"/>
              <w:left w:val="single" w:sz="4" w:space="0" w:color="000008"/>
              <w:bottom w:val="single" w:sz="4" w:space="0" w:color="000008"/>
              <w:right w:val="single" w:sz="4" w:space="0" w:color="000008"/>
            </w:tcBorders>
          </w:tcPr>
          <w:p>
            <w:pPr/>
          </w:p>
        </w:tc>
        <w:tc>
          <w:tcPr>
            <w:tcW w:w="1015"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876" w:type="dxa"/>
            <w:tcBorders>
              <w:top w:val="single" w:sz="4" w:space="0" w:color="000008"/>
              <w:left w:val="single" w:sz="4" w:space="0" w:color="000008"/>
              <w:bottom w:val="single" w:sz="4" w:space="0" w:color="000008"/>
              <w:right w:val="single" w:sz="4" w:space="0" w:color="000008"/>
            </w:tcBorders>
          </w:tcPr>
          <w:p>
            <w:pPr/>
          </w:p>
        </w:tc>
        <w:tc>
          <w:tcPr>
            <w:tcW w:w="1003" w:type="dxa"/>
            <w:tcBorders>
              <w:top w:val="single" w:sz="4" w:space="0" w:color="000008"/>
              <w:left w:val="single" w:sz="4" w:space="0" w:color="000008"/>
              <w:bottom w:val="single" w:sz="4" w:space="0" w:color="000008"/>
              <w:right w:val="single" w:sz="4" w:space="0" w:color="000008"/>
            </w:tcBorders>
          </w:tcPr>
          <w:p>
            <w:pPr/>
          </w:p>
        </w:tc>
        <w:tc>
          <w:tcPr>
            <w:tcW w:w="922" w:type="dxa"/>
            <w:tcBorders>
              <w:top w:val="single" w:sz="4" w:space="0" w:color="000008"/>
              <w:left w:val="single" w:sz="4" w:space="0" w:color="000008"/>
              <w:bottom w:val="single" w:sz="4" w:space="0" w:color="000008"/>
              <w:right w:val="single" w:sz="4" w:space="0" w:color="000008"/>
            </w:tcBorders>
          </w:tcPr>
          <w:p>
            <w:pPr/>
          </w:p>
        </w:tc>
        <w:tc>
          <w:tcPr>
            <w:tcW w:w="814" w:type="dxa"/>
            <w:tcBorders>
              <w:top w:val="single" w:sz="4" w:space="0" w:color="000008"/>
              <w:left w:val="single" w:sz="4" w:space="0" w:color="000008"/>
              <w:bottom w:val="single" w:sz="4" w:space="0" w:color="000008"/>
              <w:right w:val="single" w:sz="4" w:space="0" w:color="000008"/>
            </w:tcBorders>
          </w:tcPr>
          <w:p>
            <w:pPr/>
          </w:p>
        </w:tc>
        <w:tc>
          <w:tcPr>
            <w:tcW w:w="854" w:type="dxa"/>
            <w:tcBorders>
              <w:top w:val="single" w:sz="4" w:space="0" w:color="000008"/>
              <w:left w:val="single" w:sz="4" w:space="0" w:color="000008"/>
              <w:bottom w:val="single" w:sz="4" w:space="0" w:color="000008"/>
              <w:right w:val="single" w:sz="4" w:space="0" w:color="000008"/>
            </w:tcBorders>
          </w:tcPr>
          <w:p>
            <w:pPr/>
          </w:p>
        </w:tc>
        <w:tc>
          <w:tcPr>
            <w:tcW w:w="115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r>
      <w:tr>
        <w:trPr>
          <w:trHeight w:val="610"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1" w:right="19"/>
              <w:jc w:val="left"/>
              <w:rPr>
                <w:rFonts w:ascii="宋体" w:hAnsi="宋体" w:cs="宋体" w:eastAsia="宋体" w:hint="default"/>
                <w:sz w:val="18"/>
                <w:szCs w:val="18"/>
              </w:rPr>
            </w:pPr>
            <w:r>
              <w:rPr>
                <w:rFonts w:ascii="宋体" w:hAnsi="宋体" w:cs="宋体" w:eastAsia="宋体" w:hint="default"/>
                <w:sz w:val="18"/>
                <w:szCs w:val="18"/>
              </w:rPr>
              <w:t>外商 合资</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29"/>
              <w:ind w:left="84" w:right="83"/>
              <w:jc w:val="left"/>
              <w:rPr>
                <w:rFonts w:ascii="宋体" w:hAnsi="宋体" w:cs="宋体" w:eastAsia="宋体" w:hint="default"/>
                <w:sz w:val="18"/>
                <w:szCs w:val="18"/>
              </w:rPr>
            </w:pPr>
            <w:r>
              <w:rPr>
                <w:rFonts w:ascii="宋体" w:hAnsi="宋体" w:cs="宋体" w:eastAsia="宋体" w:hint="default"/>
                <w:sz w:val="18"/>
                <w:szCs w:val="18"/>
              </w:rPr>
              <w:t>深 圳</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何骏</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集贸市场服务与管理</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1" w:right="-2"/>
              <w:jc w:val="left"/>
              <w:rPr>
                <w:rFonts w:ascii="Times New Roman" w:hAnsi="Times New Roman" w:cs="Times New Roman" w:eastAsia="Times New Roman" w:hint="default"/>
                <w:sz w:val="18"/>
                <w:szCs w:val="18"/>
              </w:rPr>
            </w:pPr>
            <w:r>
              <w:rPr>
                <w:rFonts w:ascii="Times New Roman"/>
                <w:sz w:val="18"/>
              </w:rPr>
              <w:t>3122.526</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6,565.74</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1,009.89</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55,555.85</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2,702.32</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596.60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70844959-1</w:t>
            </w:r>
          </w:p>
        </w:tc>
      </w:tr>
      <w:tr>
        <w:trPr>
          <w:trHeight w:val="370"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413" w:type="dxa"/>
            <w:tcBorders>
              <w:top w:val="single" w:sz="4" w:space="0" w:color="000008"/>
              <w:left w:val="single" w:sz="4" w:space="0" w:color="000008"/>
              <w:bottom w:val="single" w:sz="4" w:space="0" w:color="000008"/>
              <w:right w:val="single" w:sz="4" w:space="0" w:color="000008"/>
            </w:tcBorders>
          </w:tcPr>
          <w:p>
            <w:pPr/>
          </w:p>
        </w:tc>
        <w:tc>
          <w:tcPr>
            <w:tcW w:w="358" w:type="dxa"/>
            <w:tcBorders>
              <w:top w:val="single" w:sz="4" w:space="0" w:color="000008"/>
              <w:left w:val="single" w:sz="4" w:space="0" w:color="000008"/>
              <w:bottom w:val="single" w:sz="4" w:space="0" w:color="000008"/>
              <w:right w:val="single" w:sz="4" w:space="0" w:color="000008"/>
            </w:tcBorders>
          </w:tcPr>
          <w:p>
            <w:pPr/>
          </w:p>
        </w:tc>
        <w:tc>
          <w:tcPr>
            <w:tcW w:w="708" w:type="dxa"/>
            <w:tcBorders>
              <w:top w:val="single" w:sz="4" w:space="0" w:color="000008"/>
              <w:left w:val="single" w:sz="4" w:space="0" w:color="000008"/>
              <w:bottom w:val="single" w:sz="4" w:space="0" w:color="000008"/>
              <w:right w:val="single" w:sz="4" w:space="0" w:color="000008"/>
            </w:tcBorders>
          </w:tcPr>
          <w:p>
            <w:pPr/>
          </w:p>
        </w:tc>
        <w:tc>
          <w:tcPr>
            <w:tcW w:w="1824" w:type="dxa"/>
            <w:tcBorders>
              <w:top w:val="single" w:sz="4" w:space="0" w:color="000008"/>
              <w:left w:val="single" w:sz="4" w:space="0" w:color="000008"/>
              <w:bottom w:val="single" w:sz="4" w:space="0" w:color="000008"/>
              <w:right w:val="single" w:sz="4" w:space="0" w:color="000008"/>
            </w:tcBorders>
          </w:tcPr>
          <w:p>
            <w:pPr/>
          </w:p>
        </w:tc>
        <w:tc>
          <w:tcPr>
            <w:tcW w:w="1015"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876" w:type="dxa"/>
            <w:tcBorders>
              <w:top w:val="single" w:sz="4" w:space="0" w:color="000008"/>
              <w:left w:val="single" w:sz="4" w:space="0" w:color="000008"/>
              <w:bottom w:val="single" w:sz="4" w:space="0" w:color="000008"/>
              <w:right w:val="single" w:sz="4" w:space="0" w:color="000008"/>
            </w:tcBorders>
          </w:tcPr>
          <w:p>
            <w:pPr/>
          </w:p>
        </w:tc>
        <w:tc>
          <w:tcPr>
            <w:tcW w:w="1003" w:type="dxa"/>
            <w:tcBorders>
              <w:top w:val="single" w:sz="4" w:space="0" w:color="000008"/>
              <w:left w:val="single" w:sz="4" w:space="0" w:color="000008"/>
              <w:bottom w:val="single" w:sz="4" w:space="0" w:color="000008"/>
              <w:right w:val="single" w:sz="4" w:space="0" w:color="000008"/>
            </w:tcBorders>
          </w:tcPr>
          <w:p>
            <w:pPr/>
          </w:p>
        </w:tc>
        <w:tc>
          <w:tcPr>
            <w:tcW w:w="922" w:type="dxa"/>
            <w:tcBorders>
              <w:top w:val="single" w:sz="4" w:space="0" w:color="000008"/>
              <w:left w:val="single" w:sz="4" w:space="0" w:color="000008"/>
              <w:bottom w:val="single" w:sz="4" w:space="0" w:color="000008"/>
              <w:right w:val="single" w:sz="4" w:space="0" w:color="000008"/>
            </w:tcBorders>
          </w:tcPr>
          <w:p>
            <w:pPr/>
          </w:p>
        </w:tc>
        <w:tc>
          <w:tcPr>
            <w:tcW w:w="814" w:type="dxa"/>
            <w:tcBorders>
              <w:top w:val="single" w:sz="4" w:space="0" w:color="000008"/>
              <w:left w:val="single" w:sz="4" w:space="0" w:color="000008"/>
              <w:bottom w:val="single" w:sz="4" w:space="0" w:color="000008"/>
              <w:right w:val="single" w:sz="4" w:space="0" w:color="000008"/>
            </w:tcBorders>
          </w:tcPr>
          <w:p>
            <w:pPr/>
          </w:p>
        </w:tc>
        <w:tc>
          <w:tcPr>
            <w:tcW w:w="854" w:type="dxa"/>
            <w:tcBorders>
              <w:top w:val="single" w:sz="4" w:space="0" w:color="000008"/>
              <w:left w:val="single" w:sz="4" w:space="0" w:color="000008"/>
              <w:bottom w:val="single" w:sz="4" w:space="0" w:color="000008"/>
              <w:right w:val="single" w:sz="4" w:space="0" w:color="000008"/>
            </w:tcBorders>
          </w:tcPr>
          <w:p>
            <w:pPr/>
          </w:p>
        </w:tc>
        <w:tc>
          <w:tcPr>
            <w:tcW w:w="115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r>
      <w:tr>
        <w:trPr>
          <w:trHeight w:val="569"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left="2"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1" w:right="19"/>
              <w:jc w:val="left"/>
              <w:rPr>
                <w:rFonts w:ascii="宋体" w:hAnsi="宋体" w:cs="宋体" w:eastAsia="宋体" w:hint="default"/>
                <w:sz w:val="18"/>
                <w:szCs w:val="18"/>
              </w:rPr>
            </w:pPr>
            <w:r>
              <w:rPr>
                <w:rFonts w:ascii="宋体" w:hAnsi="宋体" w:cs="宋体" w:eastAsia="宋体" w:hint="default"/>
                <w:sz w:val="18"/>
                <w:szCs w:val="18"/>
              </w:rPr>
              <w:t>上市 公司</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84" w:right="83"/>
              <w:jc w:val="left"/>
              <w:rPr>
                <w:rFonts w:ascii="宋体" w:hAnsi="宋体" w:cs="宋体" w:eastAsia="宋体" w:hint="default"/>
                <w:sz w:val="18"/>
                <w:szCs w:val="18"/>
              </w:rPr>
            </w:pPr>
            <w:r>
              <w:rPr>
                <w:rFonts w:ascii="宋体" w:hAnsi="宋体" w:cs="宋体" w:eastAsia="宋体" w:hint="default"/>
                <w:sz w:val="18"/>
                <w:szCs w:val="18"/>
              </w:rPr>
              <w:t>深 圳</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郑煜曦</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left="278" w:right="0"/>
              <w:jc w:val="left"/>
              <w:rPr>
                <w:rFonts w:ascii="宋体" w:hAnsi="宋体" w:cs="宋体" w:eastAsia="宋体" w:hint="default"/>
                <w:sz w:val="18"/>
                <w:szCs w:val="18"/>
              </w:rPr>
            </w:pPr>
            <w:r>
              <w:rPr>
                <w:rFonts w:ascii="宋体" w:hAnsi="宋体" w:cs="宋体" w:eastAsia="宋体" w:hint="default"/>
                <w:sz w:val="18"/>
                <w:szCs w:val="18"/>
              </w:rPr>
              <w:t>食品、饮料生产</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18192.31</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27.84</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27.84</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62,335.68</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25,801.63</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36,534.04</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18,414.22</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-986.52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192180754</w:t>
            </w:r>
          </w:p>
        </w:tc>
      </w:tr>
      <w:tr>
        <w:trPr>
          <w:trHeight w:val="612"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合肥周谷堆农产品市场有限公司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1" w:right="19"/>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84" w:right="83"/>
              <w:jc w:val="left"/>
              <w:rPr>
                <w:rFonts w:ascii="宋体" w:hAnsi="宋体" w:cs="宋体" w:eastAsia="宋体" w:hint="default"/>
                <w:sz w:val="18"/>
                <w:szCs w:val="18"/>
              </w:rPr>
            </w:pPr>
            <w:r>
              <w:rPr>
                <w:rFonts w:ascii="宋体" w:hAnsi="宋体" w:cs="宋体" w:eastAsia="宋体" w:hint="default"/>
                <w:sz w:val="18"/>
                <w:szCs w:val="18"/>
              </w:rPr>
              <w:t>合 肥</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赵文武</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32"/>
              <w:ind w:left="727" w:right="139" w:hanging="675"/>
              <w:jc w:val="left"/>
              <w:rPr>
                <w:rFonts w:ascii="宋体" w:hAnsi="宋体" w:cs="宋体" w:eastAsia="宋体" w:hint="default"/>
                <w:sz w:val="18"/>
                <w:szCs w:val="18"/>
              </w:rPr>
            </w:pPr>
            <w:r>
              <w:rPr>
                <w:rFonts w:ascii="宋体" w:hAnsi="宋体" w:cs="宋体" w:eastAsia="宋体" w:hint="default"/>
                <w:sz w:val="18"/>
                <w:szCs w:val="18"/>
              </w:rPr>
              <w:t>农副食品销售、冷藏 配送</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23" w:lineRule="exact" w:before="32"/>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4" w:lineRule="exact"/>
              <w:ind w:left="324" w:right="0"/>
              <w:jc w:val="left"/>
              <w:rPr>
                <w:rFonts w:ascii="Times New Roman" w:hAnsi="Times New Roman" w:cs="Times New Roman" w:eastAsia="Times New Roman" w:hint="default"/>
                <w:sz w:val="18"/>
                <w:szCs w:val="18"/>
              </w:rPr>
            </w:pPr>
            <w:r>
              <w:rPr>
                <w:rFonts w:ascii="Times New Roman"/>
                <w:sz w:val="18"/>
              </w:rPr>
              <w:t>4000</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44.68</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44.68</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18,596.51</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7,955.40</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
                <w:sz w:val="18"/>
              </w:rPr>
              <w:t>10,641.11</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10,930.79</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4,170.71</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705048741</w:t>
            </w:r>
          </w:p>
        </w:tc>
      </w:tr>
      <w:tr>
        <w:trPr>
          <w:trHeight w:val="569"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2"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1" w:right="19"/>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84" w:right="83"/>
              <w:jc w:val="left"/>
              <w:rPr>
                <w:rFonts w:ascii="宋体" w:hAnsi="宋体" w:cs="宋体" w:eastAsia="宋体" w:hint="default"/>
                <w:sz w:val="18"/>
                <w:szCs w:val="18"/>
              </w:rPr>
            </w:pPr>
            <w:r>
              <w:rPr>
                <w:rFonts w:ascii="宋体" w:hAnsi="宋体" w:cs="宋体" w:eastAsia="宋体" w:hint="default"/>
                <w:sz w:val="18"/>
                <w:szCs w:val="18"/>
              </w:rPr>
              <w:t>柳 州</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齐志平</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367" w:right="0"/>
              <w:jc w:val="left"/>
              <w:rPr>
                <w:rFonts w:ascii="宋体" w:hAnsi="宋体" w:cs="宋体" w:eastAsia="宋体" w:hint="default"/>
                <w:sz w:val="18"/>
                <w:szCs w:val="18"/>
              </w:rPr>
            </w:pPr>
            <w:r>
              <w:rPr>
                <w:rFonts w:ascii="宋体" w:hAnsi="宋体" w:cs="宋体" w:eastAsia="宋体" w:hint="default"/>
                <w:sz w:val="18"/>
                <w:szCs w:val="18"/>
              </w:rPr>
              <w:t>食糖网上交易</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1000</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205,901.53</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196,537.69</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9,363.84</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23,069.90</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
                <w:sz w:val="18"/>
              </w:rPr>
              <w:t>7,112.72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498600555</w:t>
            </w:r>
          </w:p>
        </w:tc>
      </w:tr>
      <w:tr>
        <w:trPr>
          <w:trHeight w:val="571"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left="2" w:right="0"/>
              <w:jc w:val="left"/>
              <w:rPr>
                <w:rFonts w:ascii="宋体" w:hAnsi="宋体" w:cs="宋体" w:eastAsia="宋体" w:hint="default"/>
                <w:sz w:val="18"/>
                <w:szCs w:val="18"/>
              </w:rPr>
            </w:pPr>
            <w:r>
              <w:rPr>
                <w:rFonts w:ascii="宋体" w:hAnsi="宋体" w:cs="宋体" w:eastAsia="宋体" w:hint="default"/>
                <w:sz w:val="18"/>
                <w:szCs w:val="18"/>
              </w:rPr>
              <w:t>广西大宗食糖交易中心有限公司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1" w:right="19"/>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84" w:right="83"/>
              <w:jc w:val="left"/>
              <w:rPr>
                <w:rFonts w:ascii="宋体" w:hAnsi="宋体" w:cs="宋体" w:eastAsia="宋体" w:hint="default"/>
                <w:sz w:val="18"/>
                <w:szCs w:val="18"/>
              </w:rPr>
            </w:pPr>
            <w:r>
              <w:rPr>
                <w:rFonts w:ascii="宋体" w:hAnsi="宋体" w:cs="宋体" w:eastAsia="宋体" w:hint="default"/>
                <w:sz w:val="18"/>
                <w:szCs w:val="18"/>
              </w:rPr>
              <w:t>南 宁</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刘文锐</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left="367" w:right="0"/>
              <w:jc w:val="left"/>
              <w:rPr>
                <w:rFonts w:ascii="宋体" w:hAnsi="宋体" w:cs="宋体" w:eastAsia="宋体" w:hint="default"/>
                <w:sz w:val="18"/>
                <w:szCs w:val="18"/>
              </w:rPr>
            </w:pPr>
            <w:r>
              <w:rPr>
                <w:rFonts w:ascii="宋体" w:hAnsi="宋体" w:cs="宋体" w:eastAsia="宋体" w:hint="default"/>
                <w:sz w:val="18"/>
                <w:szCs w:val="18"/>
              </w:rPr>
              <w:t>食糖网上交易</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1000</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5,208.41</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4,607.00</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-257.18</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-257.18</w:t>
            </w:r>
          </w:p>
        </w:tc>
        <w:tc>
          <w:tcPr>
            <w:tcW w:w="1260" w:type="dxa"/>
            <w:tcBorders>
              <w:top w:val="single" w:sz="4" w:space="0" w:color="000008"/>
              <w:left w:val="single" w:sz="4" w:space="0" w:color="000008"/>
              <w:bottom w:val="single" w:sz="4" w:space="0" w:color="000008"/>
              <w:right w:val="single" w:sz="4" w:space="0" w:color="000008"/>
            </w:tcBorders>
          </w:tcPr>
          <w:p>
            <w:pPr/>
          </w:p>
        </w:tc>
      </w:tr>
      <w:tr>
        <w:trPr>
          <w:trHeight w:val="569"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2"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1" w:right="19"/>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84" w:right="83"/>
              <w:jc w:val="left"/>
              <w:rPr>
                <w:rFonts w:ascii="宋体" w:hAnsi="宋体" w:cs="宋体" w:eastAsia="宋体" w:hint="default"/>
                <w:sz w:val="18"/>
                <w:szCs w:val="18"/>
              </w:rPr>
            </w:pPr>
            <w:r>
              <w:rPr>
                <w:rFonts w:ascii="宋体" w:hAnsi="宋体" w:cs="宋体" w:eastAsia="宋体" w:hint="default"/>
                <w:sz w:val="18"/>
                <w:szCs w:val="18"/>
              </w:rPr>
              <w:t>青 岛</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黄兆军</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547" w:right="0"/>
              <w:jc w:val="left"/>
              <w:rPr>
                <w:rFonts w:ascii="宋体" w:hAnsi="宋体" w:cs="宋体" w:eastAsia="宋体" w:hint="default"/>
                <w:sz w:val="18"/>
                <w:szCs w:val="18"/>
              </w:rPr>
            </w:pPr>
            <w:r>
              <w:rPr>
                <w:rFonts w:ascii="宋体" w:hAnsi="宋体" w:cs="宋体" w:eastAsia="宋体" w:hint="default"/>
                <w:sz w:val="18"/>
                <w:szCs w:val="18"/>
              </w:rPr>
              <w:t>冷冻食品</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2938</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33.98</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33.98</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9,130.03</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13,619.54</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-4,489.51</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484.82</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-1,317.72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713725343</w:t>
            </w:r>
          </w:p>
        </w:tc>
      </w:tr>
      <w:tr>
        <w:trPr>
          <w:trHeight w:val="571"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left="2"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深圳市博丽雅设计装饰工程有限公司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1" w:right="19"/>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84" w:right="83"/>
              <w:jc w:val="left"/>
              <w:rPr>
                <w:rFonts w:ascii="宋体" w:hAnsi="宋体" w:cs="宋体" w:eastAsia="宋体" w:hint="default"/>
                <w:sz w:val="18"/>
                <w:szCs w:val="18"/>
              </w:rPr>
            </w:pPr>
            <w:r>
              <w:rPr>
                <w:rFonts w:ascii="宋体" w:hAnsi="宋体" w:cs="宋体" w:eastAsia="宋体" w:hint="default"/>
                <w:sz w:val="18"/>
                <w:szCs w:val="18"/>
              </w:rPr>
              <w:t>深 圳</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林瑞和</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left="547" w:right="0"/>
              <w:jc w:val="left"/>
              <w:rPr>
                <w:rFonts w:ascii="宋体" w:hAnsi="宋体" w:cs="宋体" w:eastAsia="宋体" w:hint="default"/>
                <w:sz w:val="18"/>
                <w:szCs w:val="18"/>
              </w:rPr>
            </w:pPr>
            <w:r>
              <w:rPr>
                <w:rFonts w:ascii="宋体" w:hAnsi="宋体" w:cs="宋体" w:eastAsia="宋体" w:hint="default"/>
                <w:sz w:val="18"/>
                <w:szCs w:val="18"/>
              </w:rPr>
              <w:t>装饰工程</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1000</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1,543.13</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564.39</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978.74</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762.79</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-153.75</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192267788</w:t>
            </w:r>
          </w:p>
        </w:tc>
      </w:tr>
      <w:tr>
        <w:trPr>
          <w:trHeight w:val="569"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2"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1" w:right="19"/>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84" w:right="83"/>
              <w:jc w:val="left"/>
              <w:rPr>
                <w:rFonts w:ascii="宋体" w:hAnsi="宋体" w:cs="宋体" w:eastAsia="宋体" w:hint="default"/>
                <w:sz w:val="18"/>
                <w:szCs w:val="18"/>
              </w:rPr>
            </w:pPr>
            <w:r>
              <w:rPr>
                <w:rFonts w:ascii="宋体" w:hAnsi="宋体" w:cs="宋体" w:eastAsia="宋体" w:hint="default"/>
                <w:sz w:val="18"/>
                <w:szCs w:val="18"/>
              </w:rPr>
              <w:t>深 圳</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陈少群</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98" w:right="0"/>
              <w:jc w:val="left"/>
              <w:rPr>
                <w:rFonts w:ascii="宋体" w:hAnsi="宋体" w:cs="宋体" w:eastAsia="宋体" w:hint="default"/>
                <w:sz w:val="18"/>
                <w:szCs w:val="18"/>
              </w:rPr>
            </w:pPr>
            <w:r>
              <w:rPr>
                <w:rFonts w:ascii="宋体" w:hAnsi="宋体" w:cs="宋体" w:eastAsia="宋体" w:hint="default"/>
                <w:sz w:val="18"/>
                <w:szCs w:val="18"/>
              </w:rPr>
              <w:t>担保业务及配套服务</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2500</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2,476.51</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16.81</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2,459.69</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9.53</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-40.31</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692535945</w:t>
            </w:r>
          </w:p>
        </w:tc>
      </w:tr>
      <w:tr>
        <w:trPr>
          <w:trHeight w:val="571"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left="2" w:right="0"/>
              <w:jc w:val="left"/>
              <w:rPr>
                <w:rFonts w:ascii="宋体" w:hAnsi="宋体" w:cs="宋体" w:eastAsia="宋体" w:hint="default"/>
                <w:sz w:val="18"/>
                <w:szCs w:val="18"/>
              </w:rPr>
            </w:pPr>
            <w:r>
              <w:rPr>
                <w:rFonts w:ascii="宋体" w:hAnsi="宋体" w:cs="宋体" w:eastAsia="宋体" w:hint="default"/>
                <w:sz w:val="18"/>
                <w:szCs w:val="18"/>
              </w:rPr>
              <w:t>广州昆商商贸有限公司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1" w:right="19"/>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84" w:right="83"/>
              <w:jc w:val="left"/>
              <w:rPr>
                <w:rFonts w:ascii="宋体" w:hAnsi="宋体" w:cs="宋体" w:eastAsia="宋体" w:hint="default"/>
                <w:sz w:val="18"/>
                <w:szCs w:val="18"/>
              </w:rPr>
            </w:pPr>
            <w:r>
              <w:rPr>
                <w:rFonts w:ascii="宋体" w:hAnsi="宋体" w:cs="宋体" w:eastAsia="宋体" w:hint="default"/>
                <w:sz w:val="18"/>
                <w:szCs w:val="18"/>
              </w:rPr>
              <w:t>广 州</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高文</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1"/>
              <w:ind w:left="547" w:right="0"/>
              <w:jc w:val="left"/>
              <w:rPr>
                <w:rFonts w:ascii="宋体" w:hAnsi="宋体" w:cs="宋体" w:eastAsia="宋体" w:hint="default"/>
                <w:sz w:val="18"/>
                <w:szCs w:val="18"/>
              </w:rPr>
            </w:pPr>
            <w:r>
              <w:rPr>
                <w:rFonts w:ascii="宋体" w:hAnsi="宋体" w:cs="宋体" w:eastAsia="宋体" w:hint="default"/>
                <w:sz w:val="18"/>
                <w:szCs w:val="18"/>
              </w:rPr>
              <w:t>国内贸易</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659.84</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566.24</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93.58</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66.51</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30.04</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66812919-7</w:t>
            </w:r>
          </w:p>
        </w:tc>
      </w:tr>
      <w:tr>
        <w:trPr>
          <w:trHeight w:val="370"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北京市大红门京深海鲜批发市场公司</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84" w:right="0"/>
              <w:jc w:val="left"/>
              <w:rPr>
                <w:rFonts w:ascii="宋体" w:hAnsi="宋体" w:cs="宋体" w:eastAsia="宋体" w:hint="default"/>
                <w:sz w:val="18"/>
                <w:szCs w:val="18"/>
              </w:rPr>
            </w:pPr>
            <w:r>
              <w:rPr>
                <w:rFonts w:ascii="宋体" w:hAnsi="宋体" w:cs="宋体" w:eastAsia="宋体" w:hint="default"/>
                <w:sz w:val="18"/>
                <w:szCs w:val="18"/>
              </w:rPr>
              <w:t>北</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刘海</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水产批发市场经营管理</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324" w:right="0"/>
              <w:jc w:val="left"/>
              <w:rPr>
                <w:rFonts w:ascii="Times New Roman" w:hAnsi="Times New Roman" w:cs="Times New Roman" w:eastAsia="Times New Roman" w:hint="default"/>
                <w:sz w:val="18"/>
                <w:szCs w:val="18"/>
              </w:rPr>
            </w:pPr>
            <w:r>
              <w:rPr>
                <w:rFonts w:ascii="Times New Roman"/>
                <w:sz w:val="18"/>
              </w:rPr>
              <w:t>1000</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42</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42</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pacing w:val="-2"/>
                <w:sz w:val="18"/>
              </w:rPr>
              <w:t>11,289.30</w:t>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8,168.52</w:t>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
              <w:jc w:val="right"/>
              <w:rPr>
                <w:rFonts w:ascii="Times New Roman" w:hAnsi="Times New Roman" w:cs="Times New Roman" w:eastAsia="Times New Roman" w:hint="default"/>
                <w:sz w:val="18"/>
                <w:szCs w:val="18"/>
              </w:rPr>
            </w:pPr>
            <w:r>
              <w:rPr>
                <w:rFonts w:ascii="Times New Roman"/>
                <w:spacing w:val="-1"/>
                <w:sz w:val="18"/>
              </w:rPr>
              <w:t>3,120.78</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3,881.71</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1,040.38</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75673427-4</w:t>
            </w:r>
          </w:p>
        </w:tc>
      </w:tr>
    </w:tbl>
    <w:p>
      <w:pPr>
        <w:spacing w:after="0" w:line="240" w:lineRule="auto"/>
        <w:jc w:val="right"/>
        <w:rPr>
          <w:rFonts w:ascii="Times New Roman" w:hAnsi="Times New Roman" w:cs="Times New Roman" w:eastAsia="Times New Roman" w:hint="default"/>
          <w:sz w:val="18"/>
          <w:szCs w:val="18"/>
        </w:rPr>
        <w:sectPr>
          <w:headerReference w:type="default" r:id="rId172"/>
          <w:footerReference w:type="default" r:id="rId173"/>
          <w:pgSz w:w="16840" w:h="11910" w:orient="landscape"/>
          <w:pgMar w:header="943" w:footer="896" w:top="1640" w:bottom="1080" w:left="980" w:right="620"/>
          <w:pgNumType w:start="183"/>
        </w:sectPr>
      </w:pPr>
    </w:p>
    <w:p>
      <w:pPr>
        <w:spacing w:line="240" w:lineRule="auto" w:before="2"/>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2930"/>
        <w:gridCol w:w="413"/>
        <w:gridCol w:w="358"/>
        <w:gridCol w:w="708"/>
        <w:gridCol w:w="1824"/>
        <w:gridCol w:w="1015"/>
        <w:gridCol w:w="878"/>
        <w:gridCol w:w="876"/>
        <w:gridCol w:w="1003"/>
        <w:gridCol w:w="922"/>
        <w:gridCol w:w="814"/>
        <w:gridCol w:w="854"/>
        <w:gridCol w:w="1150"/>
        <w:gridCol w:w="1260"/>
      </w:tblGrid>
      <w:tr>
        <w:trPr>
          <w:trHeight w:val="1130" w:hRule="exact"/>
        </w:trPr>
        <w:tc>
          <w:tcPr>
            <w:tcW w:w="29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67" w:lineRule="auto"/>
              <w:ind w:left="21" w:right="19"/>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99"/>
              <w:ind w:left="84" w:right="83"/>
              <w:jc w:val="both"/>
              <w:rPr>
                <w:rFonts w:ascii="宋体" w:hAnsi="宋体" w:cs="宋体" w:eastAsia="宋体" w:hint="default"/>
                <w:sz w:val="18"/>
                <w:szCs w:val="18"/>
              </w:rPr>
            </w:pPr>
            <w:r>
              <w:rPr>
                <w:rFonts w:ascii="宋体" w:hAnsi="宋体" w:cs="宋体" w:eastAsia="宋体" w:hint="default"/>
                <w:sz w:val="18"/>
                <w:szCs w:val="18"/>
              </w:rPr>
              <w:t>注 册 地</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67" w:lineRule="auto"/>
              <w:ind w:left="168" w:right="168"/>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67" w:lineRule="auto"/>
              <w:ind w:left="7" w:right="118" w:firstLine="316"/>
              <w:jc w:val="left"/>
              <w:rPr>
                <w:rFonts w:ascii="宋体" w:hAnsi="宋体" w:cs="宋体" w:eastAsia="宋体" w:hint="default"/>
                <w:sz w:val="18"/>
                <w:szCs w:val="18"/>
              </w:rPr>
            </w:pPr>
            <w:r>
              <w:rPr>
                <w:rFonts w:ascii="宋体" w:hAnsi="宋体" w:cs="宋体" w:eastAsia="宋体" w:hint="default"/>
                <w:sz w:val="18"/>
                <w:szCs w:val="18"/>
              </w:rPr>
              <w:t>注册 </w:t>
            </w:r>
            <w:r>
              <w:rPr>
                <w:rFonts w:ascii="宋体" w:hAnsi="宋体" w:cs="宋体" w:eastAsia="宋体" w:hint="default"/>
                <w:w w:val="95"/>
                <w:sz w:val="18"/>
                <w:szCs w:val="18"/>
              </w:rPr>
              <w:t>资本（</w:t>
            </w:r>
            <w:r>
              <w:rPr>
                <w:rFonts w:ascii="宋体" w:hAnsi="宋体" w:cs="宋体" w:eastAsia="宋体" w:hint="default"/>
                <w:spacing w:val="-75"/>
                <w:w w:val="95"/>
                <w:sz w:val="18"/>
                <w:szCs w:val="18"/>
              </w:rPr>
              <w:t> </w:t>
            </w:r>
            <w:r>
              <w:rPr>
                <w:rFonts w:ascii="宋体" w:hAnsi="宋体" w:cs="宋体" w:eastAsia="宋体" w:hint="default"/>
                <w:w w:val="95"/>
                <w:sz w:val="18"/>
                <w:szCs w:val="18"/>
              </w:rPr>
              <w:t>万</w:t>
            </w:r>
            <w:r>
              <w:rPr>
                <w:rFonts w:ascii="宋体" w:hAnsi="宋体" w:cs="宋体" w:eastAsia="宋体" w:hint="default"/>
                <w:spacing w:val="-75"/>
                <w:w w:val="95"/>
                <w:sz w:val="18"/>
                <w:szCs w:val="18"/>
              </w:rPr>
              <w:t> </w:t>
            </w:r>
            <w:r>
              <w:rPr>
                <w:rFonts w:ascii="宋体" w:hAnsi="宋体" w:cs="宋体" w:eastAsia="宋体" w:hint="default"/>
                <w:w w:val="95"/>
                <w:sz w:val="18"/>
                <w:szCs w:val="18"/>
              </w:rPr>
              <w:t>元</w:t>
            </w:r>
            <w:r>
              <w:rPr>
                <w:rFonts w:ascii="宋体" w:hAnsi="宋体" w:cs="宋体" w:eastAsia="宋体" w:hint="default"/>
                <w:sz w:val="18"/>
                <w:szCs w:val="18"/>
              </w:rPr>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本企业持</w:t>
            </w:r>
          </w:p>
          <w:p>
            <w:pPr>
              <w:pStyle w:val="TableParagraph"/>
              <w:spacing w:line="240" w:lineRule="auto" w:before="124"/>
              <w:ind w:left="-90" w:right="29"/>
              <w:jc w:val="center"/>
              <w:rPr>
                <w:rFonts w:ascii="Times New Roman" w:hAnsi="Times New Roman" w:cs="Times New Roman" w:eastAsia="Times New Roman" w:hint="default"/>
                <w:sz w:val="18"/>
                <w:szCs w:val="18"/>
              </w:rPr>
            </w:pPr>
            <w:r>
              <w:rPr>
                <w:rFonts w:ascii="宋体" w:hAnsi="宋体" w:cs="宋体" w:eastAsia="宋体" w:hint="default"/>
                <w:spacing w:val="-7"/>
                <w:w w:val="95"/>
                <w:sz w:val="18"/>
                <w:szCs w:val="18"/>
              </w:rPr>
              <w:t>）股比例</w:t>
            </w:r>
            <w:r>
              <w:rPr>
                <w:rFonts w:ascii="Times New Roman" w:hAnsi="Times New Roman" w:cs="Times New Roman" w:eastAsia="Times New Roman" w:hint="default"/>
                <w:spacing w:val="-7"/>
                <w:w w:val="95"/>
                <w:sz w:val="18"/>
                <w:szCs w:val="18"/>
              </w:rPr>
              <w:t>(%)</w:t>
            </w:r>
          </w:p>
        </w:tc>
        <w:tc>
          <w:tcPr>
            <w:tcW w:w="87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7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 被投资单 位表决权 比例</w:t>
            </w:r>
            <w:r>
              <w:rPr>
                <w:rFonts w:ascii="Times New Roman" w:hAnsi="Times New Roman" w:cs="Times New Roman" w:eastAsia="Times New Roman" w:hint="default"/>
                <w:sz w:val="18"/>
                <w:szCs w:val="18"/>
              </w:rPr>
              <w:t>(%)</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67" w:lineRule="auto"/>
              <w:ind w:left="2" w:right="-19" w:firstLine="136"/>
              <w:jc w:val="left"/>
              <w:rPr>
                <w:rFonts w:ascii="宋体" w:hAnsi="宋体" w:cs="宋体" w:eastAsia="宋体" w:hint="default"/>
                <w:sz w:val="18"/>
                <w:szCs w:val="18"/>
              </w:rPr>
            </w:pPr>
            <w:r>
              <w:rPr>
                <w:rFonts w:ascii="宋体" w:hAnsi="宋体" w:cs="宋体" w:eastAsia="宋体" w:hint="default"/>
                <w:sz w:val="18"/>
                <w:szCs w:val="18"/>
              </w:rPr>
              <w:t>期末资产 </w:t>
            </w:r>
            <w:r>
              <w:rPr>
                <w:rFonts w:ascii="宋体" w:hAnsi="宋体" w:cs="宋体" w:eastAsia="宋体" w:hint="default"/>
                <w:w w:val="95"/>
                <w:sz w:val="18"/>
                <w:szCs w:val="18"/>
              </w:rPr>
              <w:t>总额（</w:t>
            </w:r>
            <w:r>
              <w:rPr>
                <w:rFonts w:ascii="宋体" w:hAnsi="宋体" w:cs="宋体" w:eastAsia="宋体" w:hint="default"/>
                <w:spacing w:val="-73"/>
                <w:w w:val="95"/>
                <w:sz w:val="18"/>
                <w:szCs w:val="18"/>
              </w:rPr>
              <w:t> </w:t>
            </w:r>
            <w:r>
              <w:rPr>
                <w:rFonts w:ascii="宋体" w:hAnsi="宋体" w:cs="宋体" w:eastAsia="宋体" w:hint="default"/>
                <w:w w:val="95"/>
                <w:sz w:val="18"/>
                <w:szCs w:val="18"/>
              </w:rPr>
              <w:t>万</w:t>
            </w:r>
            <w:r>
              <w:rPr>
                <w:rFonts w:ascii="宋体" w:hAnsi="宋体" w:cs="宋体" w:eastAsia="宋体" w:hint="default"/>
                <w:spacing w:val="-73"/>
                <w:w w:val="95"/>
                <w:sz w:val="18"/>
                <w:szCs w:val="18"/>
              </w:rPr>
              <w:t> </w:t>
            </w:r>
            <w:r>
              <w:rPr>
                <w:rFonts w:ascii="宋体" w:hAnsi="宋体" w:cs="宋体" w:eastAsia="宋体" w:hint="default"/>
                <w:w w:val="95"/>
                <w:sz w:val="18"/>
                <w:szCs w:val="18"/>
              </w:rPr>
              <w:t>元</w:t>
            </w:r>
            <w:r>
              <w:rPr>
                <w:rFonts w:ascii="宋体" w:hAnsi="宋体" w:cs="宋体" w:eastAsia="宋体" w:hint="default"/>
                <w:spacing w:val="-73"/>
                <w:w w:val="95"/>
                <w:sz w:val="18"/>
                <w:szCs w:val="18"/>
              </w:rPr>
              <w:t> </w:t>
            </w:r>
            <w:r>
              <w:rPr>
                <w:rFonts w:ascii="宋体" w:hAnsi="宋体" w:cs="宋体" w:eastAsia="宋体" w:hint="default"/>
                <w:spacing w:val="-55"/>
                <w:w w:val="95"/>
                <w:sz w:val="18"/>
                <w:szCs w:val="18"/>
              </w:rPr>
              <w:t>）</w:t>
            </w:r>
            <w:r>
              <w:rPr>
                <w:rFonts w:ascii="宋体" w:hAnsi="宋体" w:cs="宋体" w:eastAsia="宋体" w:hint="default"/>
                <w:sz w:val="18"/>
                <w:szCs w:val="18"/>
              </w:rPr>
            </w:r>
          </w:p>
        </w:tc>
        <w:tc>
          <w:tcPr>
            <w:tcW w:w="9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67" w:lineRule="auto"/>
              <w:ind w:left="2" w:right="-5" w:firstLine="96"/>
              <w:jc w:val="left"/>
              <w:rPr>
                <w:rFonts w:ascii="宋体" w:hAnsi="宋体" w:cs="宋体" w:eastAsia="宋体" w:hint="default"/>
                <w:sz w:val="18"/>
                <w:szCs w:val="18"/>
              </w:rPr>
            </w:pPr>
            <w:r>
              <w:rPr>
                <w:rFonts w:ascii="宋体" w:hAnsi="宋体" w:cs="宋体" w:eastAsia="宋体" w:hint="default"/>
                <w:sz w:val="18"/>
                <w:szCs w:val="18"/>
              </w:rPr>
              <w:t>期末负债 </w:t>
            </w:r>
            <w:r>
              <w:rPr>
                <w:rFonts w:ascii="宋体" w:hAnsi="宋体" w:cs="宋体" w:eastAsia="宋体" w:hint="default"/>
                <w:w w:val="85"/>
                <w:sz w:val="18"/>
                <w:szCs w:val="18"/>
              </w:rPr>
              <w:t>总</w:t>
            </w:r>
            <w:r>
              <w:rPr>
                <w:rFonts w:ascii="宋体" w:hAnsi="宋体" w:cs="宋体" w:eastAsia="宋体" w:hint="default"/>
                <w:spacing w:val="-27"/>
                <w:w w:val="85"/>
                <w:sz w:val="18"/>
                <w:szCs w:val="18"/>
              </w:rPr>
              <w:t> </w:t>
            </w:r>
            <w:r>
              <w:rPr>
                <w:rFonts w:ascii="宋体" w:hAnsi="宋体" w:cs="宋体" w:eastAsia="宋体" w:hint="default"/>
                <w:spacing w:val="-11"/>
                <w:w w:val="85"/>
                <w:sz w:val="18"/>
                <w:szCs w:val="18"/>
              </w:rPr>
              <w:t>额（万元）</w:t>
            </w:r>
            <w:r>
              <w:rPr>
                <w:rFonts w:ascii="宋体" w:hAnsi="宋体" w:cs="宋体" w:eastAsia="宋体" w:hint="default"/>
                <w:spacing w:val="-11"/>
                <w:sz w:val="18"/>
                <w:szCs w:val="18"/>
              </w:rPr>
            </w:r>
          </w:p>
        </w:tc>
        <w:tc>
          <w:tcPr>
            <w:tcW w:w="814"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99"/>
              <w:ind w:left="132" w:right="38" w:hanging="89"/>
              <w:jc w:val="left"/>
              <w:rPr>
                <w:rFonts w:ascii="宋体" w:hAnsi="宋体" w:cs="宋体" w:eastAsia="宋体" w:hint="default"/>
                <w:sz w:val="18"/>
                <w:szCs w:val="18"/>
              </w:rPr>
            </w:pPr>
            <w:r>
              <w:rPr>
                <w:rFonts w:ascii="宋体" w:hAnsi="宋体" w:cs="宋体" w:eastAsia="宋体" w:hint="default"/>
                <w:sz w:val="18"/>
                <w:szCs w:val="18"/>
              </w:rPr>
              <w:t>期末净资 产总额</w:t>
            </w:r>
          </w:p>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4" w:type="dxa"/>
            <w:tcBorders>
              <w:top w:val="single" w:sz="4" w:space="0" w:color="000008"/>
              <w:left w:val="single" w:sz="4" w:space="0" w:color="000008"/>
              <w:bottom w:val="single" w:sz="4" w:space="0" w:color="000008"/>
              <w:right w:val="single" w:sz="4" w:space="0" w:color="000008"/>
            </w:tcBorders>
          </w:tcPr>
          <w:p>
            <w:pPr>
              <w:pStyle w:val="TableParagraph"/>
              <w:spacing w:line="367" w:lineRule="auto" w:before="99"/>
              <w:ind w:left="62" w:right="60"/>
              <w:jc w:val="left"/>
              <w:rPr>
                <w:rFonts w:ascii="宋体" w:hAnsi="宋体" w:cs="宋体" w:eastAsia="宋体" w:hint="default"/>
                <w:sz w:val="18"/>
                <w:szCs w:val="18"/>
              </w:rPr>
            </w:pPr>
            <w:r>
              <w:rPr>
                <w:rFonts w:ascii="宋体" w:hAnsi="宋体" w:cs="宋体" w:eastAsia="宋体" w:hint="default"/>
                <w:sz w:val="18"/>
                <w:szCs w:val="18"/>
              </w:rPr>
              <w:t>本期营业 收入总额</w:t>
            </w:r>
          </w:p>
          <w:p>
            <w:pPr>
              <w:pStyle w:val="TableParagraph"/>
              <w:spacing w:line="240" w:lineRule="auto" w:before="29"/>
              <w:ind w:left="6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67" w:lineRule="auto"/>
              <w:ind w:right="-3" w:firstLine="388"/>
              <w:jc w:val="left"/>
              <w:rPr>
                <w:rFonts w:ascii="宋体" w:hAnsi="宋体" w:cs="宋体" w:eastAsia="宋体" w:hint="default"/>
                <w:sz w:val="18"/>
                <w:szCs w:val="18"/>
              </w:rPr>
            </w:pPr>
            <w:r>
              <w:rPr>
                <w:rFonts w:ascii="宋体" w:hAnsi="宋体" w:cs="宋体" w:eastAsia="宋体" w:hint="default"/>
                <w:sz w:val="18"/>
                <w:szCs w:val="18"/>
              </w:rPr>
              <w:t>本期 </w:t>
            </w:r>
            <w:r>
              <w:rPr>
                <w:rFonts w:ascii="宋体" w:hAnsi="宋体" w:cs="宋体" w:eastAsia="宋体" w:hint="default"/>
                <w:w w:val="90"/>
                <w:sz w:val="18"/>
                <w:szCs w:val="18"/>
              </w:rPr>
              <w:t>净利润（万元）</w:t>
            </w:r>
            <w:r>
              <w:rPr>
                <w:rFonts w:ascii="宋体" w:hAnsi="宋体" w:cs="宋体" w:eastAsia="宋体" w:hint="default"/>
                <w:sz w:val="18"/>
                <w:szCs w:val="18"/>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288" w:hRule="exact"/>
        </w:trPr>
        <w:tc>
          <w:tcPr>
            <w:tcW w:w="2930" w:type="dxa"/>
            <w:tcBorders>
              <w:top w:val="single" w:sz="4" w:space="0" w:color="000008"/>
              <w:left w:val="single" w:sz="4" w:space="0" w:color="000008"/>
              <w:bottom w:val="single" w:sz="4" w:space="0" w:color="000008"/>
              <w:right w:val="single" w:sz="4" w:space="0" w:color="000008"/>
            </w:tcBorders>
          </w:tcPr>
          <w:p>
            <w:pPr/>
          </w:p>
        </w:tc>
        <w:tc>
          <w:tcPr>
            <w:tcW w:w="4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3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84" w:right="0"/>
              <w:jc w:val="left"/>
              <w:rPr>
                <w:rFonts w:ascii="宋体" w:hAnsi="宋体" w:cs="宋体" w:eastAsia="宋体" w:hint="default"/>
                <w:sz w:val="18"/>
                <w:szCs w:val="18"/>
              </w:rPr>
            </w:pPr>
            <w:r>
              <w:rPr>
                <w:rFonts w:ascii="宋体" w:hAnsi="宋体" w:cs="宋体" w:eastAsia="宋体" w:hint="default"/>
                <w:sz w:val="18"/>
                <w:szCs w:val="18"/>
              </w:rPr>
              <w:t>京</w:t>
            </w:r>
          </w:p>
        </w:tc>
        <w:tc>
          <w:tcPr>
            <w:tcW w:w="708" w:type="dxa"/>
            <w:tcBorders>
              <w:top w:val="single" w:sz="4" w:space="0" w:color="000008"/>
              <w:left w:val="single" w:sz="4" w:space="0" w:color="000008"/>
              <w:bottom w:val="single" w:sz="4" w:space="0" w:color="000008"/>
              <w:right w:val="single" w:sz="4" w:space="0" w:color="000008"/>
            </w:tcBorders>
          </w:tcPr>
          <w:p>
            <w:pPr/>
          </w:p>
        </w:tc>
        <w:tc>
          <w:tcPr>
            <w:tcW w:w="1824" w:type="dxa"/>
            <w:tcBorders>
              <w:top w:val="single" w:sz="4" w:space="0" w:color="000008"/>
              <w:left w:val="single" w:sz="4" w:space="0" w:color="000008"/>
              <w:bottom w:val="single" w:sz="4" w:space="0" w:color="000008"/>
              <w:right w:val="single" w:sz="4" w:space="0" w:color="000008"/>
            </w:tcBorders>
          </w:tcPr>
          <w:p>
            <w:pPr/>
          </w:p>
        </w:tc>
        <w:tc>
          <w:tcPr>
            <w:tcW w:w="1015"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876" w:type="dxa"/>
            <w:tcBorders>
              <w:top w:val="single" w:sz="4" w:space="0" w:color="000008"/>
              <w:left w:val="single" w:sz="4" w:space="0" w:color="000008"/>
              <w:bottom w:val="single" w:sz="4" w:space="0" w:color="000008"/>
              <w:right w:val="single" w:sz="4" w:space="0" w:color="000008"/>
            </w:tcBorders>
          </w:tcPr>
          <w:p>
            <w:pPr/>
          </w:p>
        </w:tc>
        <w:tc>
          <w:tcPr>
            <w:tcW w:w="1003" w:type="dxa"/>
            <w:tcBorders>
              <w:top w:val="single" w:sz="4" w:space="0" w:color="000008"/>
              <w:left w:val="single" w:sz="4" w:space="0" w:color="000008"/>
              <w:bottom w:val="single" w:sz="4" w:space="0" w:color="000008"/>
              <w:right w:val="single" w:sz="4" w:space="0" w:color="000008"/>
            </w:tcBorders>
          </w:tcPr>
          <w:p>
            <w:pPr/>
          </w:p>
        </w:tc>
        <w:tc>
          <w:tcPr>
            <w:tcW w:w="922" w:type="dxa"/>
            <w:tcBorders>
              <w:top w:val="single" w:sz="4" w:space="0" w:color="000008"/>
              <w:left w:val="single" w:sz="4" w:space="0" w:color="000008"/>
              <w:bottom w:val="single" w:sz="4" w:space="0" w:color="000008"/>
              <w:right w:val="single" w:sz="4" w:space="0" w:color="000008"/>
            </w:tcBorders>
          </w:tcPr>
          <w:p>
            <w:pPr/>
          </w:p>
        </w:tc>
        <w:tc>
          <w:tcPr>
            <w:tcW w:w="814" w:type="dxa"/>
            <w:tcBorders>
              <w:top w:val="single" w:sz="4" w:space="0" w:color="000008"/>
              <w:left w:val="single" w:sz="4" w:space="0" w:color="000008"/>
              <w:bottom w:val="single" w:sz="4" w:space="0" w:color="000008"/>
              <w:right w:val="single" w:sz="4" w:space="0" w:color="000008"/>
            </w:tcBorders>
          </w:tcPr>
          <w:p>
            <w:pPr/>
          </w:p>
        </w:tc>
        <w:tc>
          <w:tcPr>
            <w:tcW w:w="854" w:type="dxa"/>
            <w:tcBorders>
              <w:top w:val="single" w:sz="4" w:space="0" w:color="000008"/>
              <w:left w:val="single" w:sz="4" w:space="0" w:color="000008"/>
              <w:bottom w:val="single" w:sz="4" w:space="0" w:color="000008"/>
              <w:right w:val="single" w:sz="4" w:space="0" w:color="000008"/>
            </w:tcBorders>
          </w:tcPr>
          <w:p>
            <w:pPr/>
          </w:p>
        </w:tc>
        <w:tc>
          <w:tcPr>
            <w:tcW w:w="115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r>
    </w:tbl>
    <w:p>
      <w:pPr>
        <w:spacing w:after="0"/>
        <w:sectPr>
          <w:pgSz w:w="16840" w:h="11910" w:orient="landscape"/>
          <w:pgMar w:header="943" w:footer="896" w:top="1640" w:bottom="1080" w:left="980" w:right="6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before="36"/>
        <w:ind w:left="6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本企业的其他关联方情况</w:t>
      </w:r>
    </w:p>
    <w:p>
      <w:pPr>
        <w:spacing w:line="240" w:lineRule="auto" w:before="10"/>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343"/>
        <w:gridCol w:w="2645"/>
        <w:gridCol w:w="2575"/>
      </w:tblGrid>
      <w:tr>
        <w:trPr>
          <w:trHeight w:val="449" w:hRule="exact"/>
        </w:trPr>
        <w:tc>
          <w:tcPr>
            <w:tcW w:w="33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5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51" w:hRule="exact"/>
        </w:trPr>
        <w:tc>
          <w:tcPr>
            <w:tcW w:w="33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深圳市投资控股公司</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同一控制人</w:t>
            </w:r>
          </w:p>
        </w:tc>
        <w:tc>
          <w:tcPr>
            <w:tcW w:w="25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76756642-1</w:t>
            </w:r>
          </w:p>
        </w:tc>
      </w:tr>
      <w:tr>
        <w:trPr>
          <w:trHeight w:val="449" w:hRule="exact"/>
        </w:trPr>
        <w:tc>
          <w:tcPr>
            <w:tcW w:w="33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深圳市民润农产品配送连锁公司</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27943041-0</w:t>
            </w:r>
          </w:p>
        </w:tc>
      </w:tr>
      <w:tr>
        <w:trPr>
          <w:trHeight w:val="451" w:hRule="exact"/>
        </w:trPr>
        <w:tc>
          <w:tcPr>
            <w:tcW w:w="33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76758091-x</w:t>
            </w:r>
          </w:p>
        </w:tc>
      </w:tr>
      <w:tr>
        <w:trPr>
          <w:trHeight w:val="449" w:hRule="exact"/>
        </w:trPr>
        <w:tc>
          <w:tcPr>
            <w:tcW w:w="33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深圳市海农食品有限责任公司</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19229895-5</w:t>
            </w:r>
          </w:p>
        </w:tc>
      </w:tr>
      <w:tr>
        <w:trPr>
          <w:trHeight w:val="451" w:hRule="exact"/>
        </w:trPr>
        <w:tc>
          <w:tcPr>
            <w:tcW w:w="33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75" w:type="dxa"/>
            <w:tcBorders>
              <w:top w:val="single" w:sz="4" w:space="0" w:color="000008"/>
              <w:left w:val="single" w:sz="4" w:space="0" w:color="000008"/>
              <w:bottom w:val="single" w:sz="4" w:space="0" w:color="000008"/>
              <w:right w:val="single" w:sz="4" w:space="0" w:color="000008"/>
            </w:tcBorders>
          </w:tcPr>
          <w:p>
            <w:pPr/>
          </w:p>
        </w:tc>
      </w:tr>
      <w:tr>
        <w:trPr>
          <w:trHeight w:val="449" w:hRule="exact"/>
        </w:trPr>
        <w:tc>
          <w:tcPr>
            <w:tcW w:w="33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深圳市农产品丰湖投资有限公司</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73884857-7</w:t>
            </w:r>
          </w:p>
        </w:tc>
      </w:tr>
      <w:tr>
        <w:trPr>
          <w:trHeight w:val="451" w:hRule="exact"/>
        </w:trPr>
        <w:tc>
          <w:tcPr>
            <w:tcW w:w="33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5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27928473-2</w:t>
            </w:r>
          </w:p>
        </w:tc>
      </w:tr>
      <w:tr>
        <w:trPr>
          <w:trHeight w:val="449" w:hRule="exact"/>
        </w:trPr>
        <w:tc>
          <w:tcPr>
            <w:tcW w:w="33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云南云深饲料厂</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子公司其他投资单位</w:t>
            </w:r>
          </w:p>
        </w:tc>
        <w:tc>
          <w:tcPr>
            <w:tcW w:w="2575"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5"/>
        <w:rPr>
          <w:rFonts w:ascii="宋体" w:hAnsi="宋体" w:cs="宋体" w:eastAsia="宋体" w:hint="default"/>
          <w:sz w:val="19"/>
          <w:szCs w:val="19"/>
        </w:rPr>
      </w:pPr>
    </w:p>
    <w:p>
      <w:pPr>
        <w:spacing w:before="0"/>
        <w:ind w:left="6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f)</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关联交易情况</w:t>
      </w:r>
    </w:p>
    <w:p>
      <w:pPr>
        <w:spacing w:line="240" w:lineRule="auto" w:before="2"/>
        <w:rPr>
          <w:rFonts w:ascii="宋体" w:hAnsi="宋体" w:cs="宋体" w:eastAsia="宋体" w:hint="default"/>
          <w:sz w:val="22"/>
          <w:szCs w:val="22"/>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）购销商品、提供和接受劳务的关联交易</w:t>
      </w:r>
    </w:p>
    <w:p>
      <w:pPr>
        <w:spacing w:line="240" w:lineRule="auto" w:before="7"/>
        <w:rPr>
          <w:rFonts w:ascii="宋体" w:hAnsi="宋体" w:cs="宋体" w:eastAsia="宋体" w:hint="default"/>
          <w:sz w:val="11"/>
          <w:szCs w:val="11"/>
        </w:rPr>
      </w:pPr>
    </w:p>
    <w:tbl>
      <w:tblPr>
        <w:tblW w:w="0" w:type="auto"/>
        <w:jc w:val="left"/>
        <w:tblInd w:w="225" w:type="dxa"/>
        <w:tblLayout w:type="fixed"/>
        <w:tblCellMar>
          <w:top w:w="0" w:type="dxa"/>
          <w:left w:w="0" w:type="dxa"/>
          <w:bottom w:w="0" w:type="dxa"/>
          <w:right w:w="0" w:type="dxa"/>
        </w:tblCellMar>
        <w:tblLook w:val="01E0"/>
      </w:tblPr>
      <w:tblGrid>
        <w:gridCol w:w="1656"/>
        <w:gridCol w:w="802"/>
        <w:gridCol w:w="960"/>
        <w:gridCol w:w="1080"/>
        <w:gridCol w:w="1094"/>
        <w:gridCol w:w="790"/>
        <w:gridCol w:w="1003"/>
        <w:gridCol w:w="960"/>
      </w:tblGrid>
      <w:tr>
        <w:trPr>
          <w:trHeight w:val="370" w:hRule="exact"/>
        </w:trPr>
        <w:tc>
          <w:tcPr>
            <w:tcW w:w="1656"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80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67"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6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67" w:lineRule="auto"/>
              <w:ind w:left="206" w:right="203"/>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1080"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367" w:lineRule="auto"/>
              <w:ind w:left="86" w:right="83"/>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1884"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6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092" w:hRule="exact"/>
        </w:trPr>
        <w:tc>
          <w:tcPr>
            <w:tcW w:w="1656" w:type="dxa"/>
            <w:vMerge/>
            <w:tcBorders>
              <w:left w:val="single" w:sz="4" w:space="0" w:color="000008"/>
              <w:bottom w:val="single" w:sz="4" w:space="0" w:color="000008"/>
              <w:right w:val="single" w:sz="4" w:space="0" w:color="000008"/>
            </w:tcBorders>
          </w:tcPr>
          <w:p>
            <w:pPr/>
          </w:p>
        </w:tc>
        <w:tc>
          <w:tcPr>
            <w:tcW w:w="802" w:type="dxa"/>
            <w:vMerge/>
            <w:tcBorders>
              <w:left w:val="single" w:sz="4" w:space="0" w:color="000008"/>
              <w:bottom w:val="single" w:sz="4" w:space="0" w:color="000008"/>
              <w:right w:val="single" w:sz="4" w:space="0" w:color="000008"/>
            </w:tcBorders>
          </w:tcPr>
          <w:p>
            <w:pPr/>
          </w:p>
        </w:tc>
        <w:tc>
          <w:tcPr>
            <w:tcW w:w="960" w:type="dxa"/>
            <w:vMerge/>
            <w:tcBorders>
              <w:left w:val="single" w:sz="4" w:space="0" w:color="000008"/>
              <w:bottom w:val="single" w:sz="4" w:space="0" w:color="000008"/>
              <w:right w:val="single" w:sz="4" w:space="0" w:color="000008"/>
            </w:tcBorders>
          </w:tcPr>
          <w:p>
            <w:pPr/>
          </w:p>
        </w:tc>
        <w:tc>
          <w:tcPr>
            <w:tcW w:w="1080" w:type="dxa"/>
            <w:vMerge/>
            <w:tcBorders>
              <w:left w:val="single" w:sz="4" w:space="0" w:color="000008"/>
              <w:bottom w:val="single" w:sz="4" w:space="0" w:color="000008"/>
              <w:right w:val="single" w:sz="4" w:space="0" w:color="000008"/>
            </w:tcBorders>
          </w:tcPr>
          <w:p>
            <w:pP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7"/>
              <w:ind w:left="26" w:right="19" w:firstLine="2"/>
              <w:jc w:val="both"/>
              <w:rPr>
                <w:rFonts w:ascii="宋体" w:hAnsi="宋体" w:cs="宋体" w:eastAsia="宋体" w:hint="default"/>
                <w:sz w:val="18"/>
                <w:szCs w:val="18"/>
              </w:rPr>
            </w:pPr>
            <w:r>
              <w:rPr>
                <w:rFonts w:ascii="宋体" w:hAnsi="宋体" w:cs="宋体" w:eastAsia="宋体" w:hint="default"/>
                <w:sz w:val="18"/>
                <w:szCs w:val="18"/>
              </w:rPr>
              <w:t>占同类交 易金额的 </w:t>
            </w:r>
            <w:r>
              <w:rPr>
                <w:rFonts w:ascii="宋体" w:hAnsi="宋体" w:cs="宋体" w:eastAsia="宋体" w:hint="default"/>
                <w:w w:val="85"/>
                <w:sz w:val="18"/>
                <w:szCs w:val="18"/>
              </w:rPr>
              <w:t>比</w:t>
            </w:r>
            <w:r>
              <w:rPr>
                <w:rFonts w:ascii="宋体" w:hAnsi="宋体" w:cs="宋体" w:eastAsia="宋体" w:hint="default"/>
                <w:spacing w:val="-64"/>
                <w:w w:val="85"/>
                <w:sz w:val="18"/>
                <w:szCs w:val="18"/>
              </w:rPr>
              <w:t> </w:t>
            </w:r>
            <w:r>
              <w:rPr>
                <w:rFonts w:ascii="宋体" w:hAnsi="宋体" w:cs="宋体" w:eastAsia="宋体" w:hint="default"/>
                <w:spacing w:val="-18"/>
                <w:w w:val="85"/>
                <w:sz w:val="18"/>
                <w:szCs w:val="18"/>
              </w:rPr>
              <w:t>例（</w:t>
            </w:r>
            <w:r>
              <w:rPr>
                <w:rFonts w:ascii="宋体" w:hAnsi="宋体" w:cs="宋体" w:eastAsia="宋体" w:hint="default"/>
                <w:spacing w:val="-64"/>
                <w:w w:val="85"/>
                <w:sz w:val="18"/>
                <w:szCs w:val="18"/>
              </w:rPr>
              <w:t> </w:t>
            </w:r>
            <w:r>
              <w:rPr>
                <w:rFonts w:ascii="Times New Roman" w:hAnsi="Times New Roman" w:cs="Times New Roman" w:eastAsia="Times New Roman" w:hint="default"/>
                <w:w w:val="85"/>
                <w:sz w:val="18"/>
                <w:szCs w:val="18"/>
              </w:rPr>
              <w:t>%</w:t>
            </w:r>
            <w:r>
              <w:rPr>
                <w:rFonts w:ascii="宋体" w:hAnsi="宋体" w:cs="宋体" w:eastAsia="宋体" w:hint="default"/>
                <w:w w:val="85"/>
                <w:sz w:val="18"/>
                <w:szCs w:val="18"/>
              </w:rPr>
              <w:t>）</w:t>
            </w:r>
            <w:r>
              <w:rPr>
                <w:rFonts w:ascii="宋体" w:hAnsi="宋体" w:cs="宋体" w:eastAsia="宋体" w:hint="default"/>
                <w:sz w:val="18"/>
                <w:szCs w:val="18"/>
              </w:rPr>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7"/>
              <w:ind w:left="40" w:right="38" w:firstLine="74"/>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850" w:hRule="exact"/>
        </w:trPr>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both"/>
              <w:rPr>
                <w:rFonts w:ascii="宋体" w:hAnsi="宋体" w:cs="宋体" w:eastAsia="宋体" w:hint="default"/>
                <w:sz w:val="18"/>
                <w:szCs w:val="18"/>
              </w:rPr>
            </w:pPr>
            <w:r>
              <w:rPr>
                <w:rFonts w:ascii="宋体" w:hAnsi="宋体" w:cs="宋体" w:eastAsia="宋体" w:hint="default"/>
                <w:spacing w:val="18"/>
                <w:sz w:val="18"/>
                <w:szCs w:val="18"/>
              </w:rPr>
              <w:t>深圳市民润农产品</w:t>
            </w:r>
            <w:r>
              <w:rPr>
                <w:rFonts w:ascii="宋体" w:hAnsi="宋体" w:cs="宋体" w:eastAsia="宋体" w:hint="default"/>
                <w:sz w:val="18"/>
                <w:szCs w:val="18"/>
              </w:rPr>
              <w:t> </w:t>
            </w:r>
            <w:r>
              <w:rPr>
                <w:rFonts w:ascii="宋体" w:hAnsi="宋体" w:cs="宋体" w:eastAsia="宋体" w:hint="default"/>
                <w:spacing w:val="18"/>
                <w:sz w:val="18"/>
                <w:szCs w:val="18"/>
              </w:rPr>
              <w:t>配送连锁商业有限</w:t>
            </w:r>
            <w:r>
              <w:rPr>
                <w:rFonts w:ascii="宋体" w:hAnsi="宋体" w:cs="宋体" w:eastAsia="宋体" w:hint="default"/>
                <w:sz w:val="18"/>
                <w:szCs w:val="18"/>
              </w:rPr>
              <w:t> 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48"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商品批发</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20,156,057.29</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3.64</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5,146,389.74</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0.85</w:t>
            </w:r>
          </w:p>
        </w:tc>
      </w:tr>
      <w:tr>
        <w:trPr>
          <w:trHeight w:val="569" w:hRule="exact"/>
        </w:trPr>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left"/>
              <w:rPr>
                <w:rFonts w:ascii="宋体" w:hAnsi="宋体" w:cs="宋体" w:eastAsia="宋体" w:hint="default"/>
                <w:sz w:val="18"/>
                <w:szCs w:val="18"/>
              </w:rPr>
            </w:pPr>
            <w:r>
              <w:rPr>
                <w:rFonts w:ascii="宋体" w:hAnsi="宋体" w:cs="宋体" w:eastAsia="宋体" w:hint="default"/>
                <w:spacing w:val="18"/>
                <w:sz w:val="18"/>
                <w:szCs w:val="18"/>
              </w:rPr>
              <w:t>深圳市农产品肉类</w:t>
            </w:r>
            <w:r>
              <w:rPr>
                <w:rFonts w:ascii="宋体" w:hAnsi="宋体" w:cs="宋体" w:eastAsia="宋体" w:hint="default"/>
                <w:sz w:val="18"/>
                <w:szCs w:val="18"/>
              </w:rPr>
              <w:t> 配送有限公司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48"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商品批发</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837,932.20</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0.14</w:t>
            </w:r>
          </w:p>
        </w:tc>
      </w:tr>
      <w:tr>
        <w:trPr>
          <w:trHeight w:val="850" w:hRule="exact"/>
        </w:trPr>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both"/>
              <w:rPr>
                <w:rFonts w:ascii="宋体" w:hAnsi="宋体" w:cs="宋体" w:eastAsia="宋体" w:hint="default"/>
                <w:sz w:val="18"/>
                <w:szCs w:val="18"/>
              </w:rPr>
            </w:pPr>
            <w:r>
              <w:rPr>
                <w:rFonts w:ascii="宋体" w:hAnsi="宋体" w:cs="宋体" w:eastAsia="宋体" w:hint="default"/>
                <w:spacing w:val="18"/>
                <w:sz w:val="18"/>
                <w:szCs w:val="18"/>
              </w:rPr>
              <w:t>深圳市民润农产品</w:t>
            </w:r>
            <w:r>
              <w:rPr>
                <w:rFonts w:ascii="宋体" w:hAnsi="宋体" w:cs="宋体" w:eastAsia="宋体" w:hint="default"/>
                <w:sz w:val="18"/>
                <w:szCs w:val="18"/>
              </w:rPr>
              <w:t> </w:t>
            </w:r>
            <w:r>
              <w:rPr>
                <w:rFonts w:ascii="宋体" w:hAnsi="宋体" w:cs="宋体" w:eastAsia="宋体" w:hint="default"/>
                <w:spacing w:val="18"/>
                <w:sz w:val="18"/>
                <w:szCs w:val="18"/>
              </w:rPr>
              <w:t>配送连锁商业有限</w:t>
            </w:r>
            <w:r>
              <w:rPr>
                <w:rFonts w:ascii="宋体" w:hAnsi="宋体" w:cs="宋体" w:eastAsia="宋体" w:hint="default"/>
                <w:sz w:val="18"/>
                <w:szCs w:val="18"/>
              </w:rPr>
              <w:t> 公司</w:t>
            </w:r>
          </w:p>
        </w:tc>
        <w:tc>
          <w:tcPr>
            <w:tcW w:w="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48"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15" w:right="0"/>
              <w:jc w:val="left"/>
              <w:rPr>
                <w:rFonts w:ascii="宋体" w:hAnsi="宋体" w:cs="宋体" w:eastAsia="宋体" w:hint="default"/>
                <w:sz w:val="18"/>
                <w:szCs w:val="18"/>
              </w:rPr>
            </w:pPr>
            <w:r>
              <w:rPr>
                <w:rFonts w:ascii="宋体" w:hAnsi="宋体" w:cs="宋体" w:eastAsia="宋体" w:hint="default"/>
                <w:sz w:val="18"/>
                <w:szCs w:val="18"/>
              </w:rPr>
              <w:t>装饰工程</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z w:val="18"/>
              </w:rPr>
              <w:t>--</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381,266.00</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4.46</w:t>
            </w:r>
          </w:p>
        </w:tc>
      </w:tr>
    </w:tbl>
    <w:p>
      <w:pPr>
        <w:spacing w:line="240" w:lineRule="auto" w:before="8"/>
        <w:rPr>
          <w:rFonts w:ascii="宋体" w:hAnsi="宋体" w:cs="宋体" w:eastAsia="宋体" w:hint="default"/>
          <w:sz w:val="19"/>
          <w:szCs w:val="19"/>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）关联承包情况</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989"/>
        <w:gridCol w:w="967"/>
        <w:gridCol w:w="1296"/>
        <w:gridCol w:w="782"/>
        <w:gridCol w:w="780"/>
        <w:gridCol w:w="900"/>
        <w:gridCol w:w="1085"/>
        <w:gridCol w:w="823"/>
        <w:gridCol w:w="1241"/>
      </w:tblGrid>
      <w:tr>
        <w:trPr>
          <w:trHeight w:val="811" w:hRule="exact"/>
        </w:trPr>
        <w:tc>
          <w:tcPr>
            <w:tcW w:w="9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出包方名称</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承包方名称</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承包资产情况</w:t>
            </w:r>
          </w:p>
        </w:tc>
        <w:tc>
          <w:tcPr>
            <w:tcW w:w="782"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26" w:right="24"/>
              <w:jc w:val="left"/>
              <w:rPr>
                <w:rFonts w:ascii="宋体" w:hAnsi="宋体" w:cs="宋体" w:eastAsia="宋体" w:hint="default"/>
                <w:sz w:val="18"/>
                <w:szCs w:val="18"/>
              </w:rPr>
            </w:pPr>
            <w:r>
              <w:rPr>
                <w:rFonts w:ascii="宋体" w:hAnsi="宋体" w:cs="宋体" w:eastAsia="宋体" w:hint="default"/>
                <w:sz w:val="18"/>
                <w:szCs w:val="18"/>
              </w:rPr>
              <w:t>承包资产 涉及金额</w:t>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115" w:right="113" w:firstLine="91"/>
              <w:jc w:val="left"/>
              <w:rPr>
                <w:rFonts w:ascii="宋体" w:hAnsi="宋体" w:cs="宋体" w:eastAsia="宋体" w:hint="default"/>
                <w:sz w:val="18"/>
                <w:szCs w:val="18"/>
              </w:rPr>
            </w:pPr>
            <w:r>
              <w:rPr>
                <w:rFonts w:ascii="宋体" w:hAnsi="宋体" w:cs="宋体" w:eastAsia="宋体" w:hint="default"/>
                <w:sz w:val="18"/>
                <w:szCs w:val="18"/>
              </w:rPr>
              <w:t>承包 起始日</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175" w:right="173" w:firstLine="91"/>
              <w:jc w:val="left"/>
              <w:rPr>
                <w:rFonts w:ascii="宋体" w:hAnsi="宋体" w:cs="宋体" w:eastAsia="宋体" w:hint="default"/>
                <w:sz w:val="18"/>
                <w:szCs w:val="18"/>
              </w:rPr>
            </w:pPr>
            <w:r>
              <w:rPr>
                <w:rFonts w:ascii="宋体" w:hAnsi="宋体" w:cs="宋体" w:eastAsia="宋体" w:hint="default"/>
                <w:sz w:val="18"/>
                <w:szCs w:val="18"/>
              </w:rPr>
              <w:t>承包 终止日</w:t>
            </w:r>
          </w:p>
        </w:tc>
        <w:tc>
          <w:tcPr>
            <w:tcW w:w="10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承包收益</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48" w:right="43"/>
              <w:jc w:val="left"/>
              <w:rPr>
                <w:rFonts w:ascii="宋体" w:hAnsi="宋体" w:cs="宋体" w:eastAsia="宋体" w:hint="default"/>
                <w:sz w:val="18"/>
                <w:szCs w:val="18"/>
              </w:rPr>
            </w:pPr>
            <w:r>
              <w:rPr>
                <w:rFonts w:ascii="宋体" w:hAnsi="宋体" w:cs="宋体" w:eastAsia="宋体" w:hint="default"/>
                <w:sz w:val="18"/>
                <w:szCs w:val="18"/>
              </w:rPr>
              <w:t>承包收益 确定依据</w:t>
            </w:r>
          </w:p>
        </w:tc>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165" w:right="163" w:firstLine="88"/>
              <w:jc w:val="left"/>
              <w:rPr>
                <w:rFonts w:ascii="宋体" w:hAnsi="宋体" w:cs="宋体" w:eastAsia="宋体" w:hint="default"/>
                <w:sz w:val="18"/>
                <w:szCs w:val="18"/>
              </w:rPr>
            </w:pPr>
            <w:r>
              <w:rPr>
                <w:rFonts w:ascii="宋体" w:hAnsi="宋体" w:cs="宋体" w:eastAsia="宋体" w:hint="default"/>
                <w:sz w:val="18"/>
                <w:szCs w:val="18"/>
              </w:rPr>
              <w:t>承包收益 对公司影响</w:t>
            </w:r>
          </w:p>
        </w:tc>
      </w:tr>
      <w:tr>
        <w:trPr>
          <w:trHeight w:val="330" w:hRule="exact"/>
        </w:trPr>
        <w:tc>
          <w:tcPr>
            <w:tcW w:w="989"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pacing w:val="4"/>
                <w:sz w:val="18"/>
                <w:szCs w:val="18"/>
              </w:rPr>
              <w:t>深圳市农产</w:t>
            </w:r>
          </w:p>
        </w:tc>
        <w:tc>
          <w:tcPr>
            <w:tcW w:w="967" w:type="dxa"/>
            <w:tcBorders>
              <w:top w:val="single" w:sz="4" w:space="0" w:color="000008"/>
              <w:left w:val="single" w:sz="4" w:space="0" w:color="000008"/>
              <w:bottom w:val="nil" w:sz="6" w:space="0" w:color="auto"/>
              <w:right w:val="single" w:sz="4" w:space="0" w:color="000008"/>
            </w:tcBorders>
          </w:tcPr>
          <w:p>
            <w:pPr/>
          </w:p>
        </w:tc>
        <w:tc>
          <w:tcPr>
            <w:tcW w:w="1296" w:type="dxa"/>
            <w:tcBorders>
              <w:top w:val="single" w:sz="4" w:space="0" w:color="000008"/>
              <w:left w:val="single" w:sz="4" w:space="0" w:color="000008"/>
              <w:bottom w:val="nil" w:sz="6" w:space="0" w:color="auto"/>
              <w:right w:val="single" w:sz="4" w:space="0" w:color="000008"/>
            </w:tcBorders>
          </w:tcPr>
          <w:p>
            <w:pPr/>
          </w:p>
        </w:tc>
        <w:tc>
          <w:tcPr>
            <w:tcW w:w="782" w:type="dxa"/>
            <w:tcBorders>
              <w:top w:val="single" w:sz="4" w:space="0" w:color="000008"/>
              <w:left w:val="single" w:sz="4" w:space="0" w:color="000008"/>
              <w:bottom w:val="nil" w:sz="6" w:space="0" w:color="auto"/>
              <w:right w:val="single" w:sz="4" w:space="0" w:color="000008"/>
            </w:tcBorders>
          </w:tcPr>
          <w:p>
            <w:pPr/>
          </w:p>
        </w:tc>
        <w:tc>
          <w:tcPr>
            <w:tcW w:w="780" w:type="dxa"/>
            <w:tcBorders>
              <w:top w:val="single" w:sz="4" w:space="0" w:color="000008"/>
              <w:left w:val="single" w:sz="4" w:space="0" w:color="000008"/>
              <w:bottom w:val="nil" w:sz="6" w:space="0" w:color="auto"/>
              <w:right w:val="single" w:sz="4" w:space="0" w:color="000008"/>
            </w:tcBorders>
          </w:tcPr>
          <w:p>
            <w:pPr/>
          </w:p>
        </w:tc>
        <w:tc>
          <w:tcPr>
            <w:tcW w:w="900" w:type="dxa"/>
            <w:tcBorders>
              <w:top w:val="single" w:sz="4" w:space="0" w:color="000008"/>
              <w:left w:val="single" w:sz="4" w:space="0" w:color="000008"/>
              <w:bottom w:val="nil" w:sz="6" w:space="0" w:color="auto"/>
              <w:right w:val="single" w:sz="4" w:space="0" w:color="000008"/>
            </w:tcBorders>
          </w:tcPr>
          <w:p>
            <w:pPr/>
          </w:p>
        </w:tc>
        <w:tc>
          <w:tcPr>
            <w:tcW w:w="1085" w:type="dxa"/>
            <w:tcBorders>
              <w:top w:val="single" w:sz="4" w:space="0" w:color="000008"/>
              <w:left w:val="single" w:sz="4" w:space="0" w:color="000008"/>
              <w:bottom w:val="nil" w:sz="6" w:space="0" w:color="auto"/>
              <w:right w:val="single" w:sz="4" w:space="0" w:color="000008"/>
            </w:tcBorders>
          </w:tcPr>
          <w:p>
            <w:pPr/>
          </w:p>
        </w:tc>
        <w:tc>
          <w:tcPr>
            <w:tcW w:w="823" w:type="dxa"/>
            <w:tcBorders>
              <w:top w:val="single" w:sz="4" w:space="0" w:color="000008"/>
              <w:left w:val="single" w:sz="4" w:space="0" w:color="000008"/>
              <w:bottom w:val="nil" w:sz="6" w:space="0" w:color="auto"/>
              <w:right w:val="single" w:sz="4" w:space="0" w:color="000008"/>
            </w:tcBorders>
          </w:tcPr>
          <w:p>
            <w:pPr/>
          </w:p>
        </w:tc>
        <w:tc>
          <w:tcPr>
            <w:tcW w:w="1241" w:type="dxa"/>
            <w:tcBorders>
              <w:top w:val="single" w:sz="4" w:space="0" w:color="000008"/>
              <w:left w:val="single" w:sz="4" w:space="0" w:color="000008"/>
              <w:bottom w:val="nil" w:sz="6" w:space="0" w:color="auto"/>
              <w:right w:val="single" w:sz="4" w:space="0" w:color="000008"/>
            </w:tcBorders>
          </w:tcPr>
          <w:p>
            <w:pPr/>
          </w:p>
        </w:tc>
      </w:tr>
      <w:tr>
        <w:trPr>
          <w:trHeight w:val="905" w:hRule="exact"/>
        </w:trPr>
        <w:tc>
          <w:tcPr>
            <w:tcW w:w="989" w:type="dxa"/>
            <w:tcBorders>
              <w:top w:val="nil" w:sz="6" w:space="0" w:color="auto"/>
              <w:left w:val="single" w:sz="4" w:space="0" w:color="000008"/>
              <w:bottom w:val="nil" w:sz="6" w:space="0" w:color="auto"/>
              <w:right w:val="single" w:sz="4" w:space="0" w:color="000008"/>
            </w:tcBorders>
          </w:tcPr>
          <w:p>
            <w:pPr>
              <w:pStyle w:val="TableParagraph"/>
              <w:spacing w:line="304" w:lineRule="auto" w:before="4"/>
              <w:ind w:left="26" w:right="29"/>
              <w:jc w:val="both"/>
              <w:rPr>
                <w:rFonts w:ascii="宋体" w:hAnsi="宋体" w:cs="宋体" w:eastAsia="宋体" w:hint="default"/>
                <w:sz w:val="18"/>
                <w:szCs w:val="18"/>
              </w:rPr>
            </w:pPr>
            <w:r>
              <w:rPr>
                <w:rFonts w:ascii="宋体" w:hAnsi="宋体" w:cs="宋体" w:eastAsia="宋体" w:hint="default"/>
                <w:spacing w:val="4"/>
                <w:sz w:val="18"/>
                <w:szCs w:val="18"/>
              </w:rPr>
              <w:t>品股份有限</w:t>
            </w:r>
            <w:r>
              <w:rPr>
                <w:rFonts w:ascii="宋体" w:hAnsi="宋体" w:cs="宋体" w:eastAsia="宋体" w:hint="default"/>
                <w:sz w:val="18"/>
                <w:szCs w:val="18"/>
              </w:rPr>
              <w:t> </w:t>
            </w:r>
            <w:r>
              <w:rPr>
                <w:rFonts w:ascii="宋体" w:hAnsi="宋体" w:cs="宋体" w:eastAsia="宋体" w:hint="default"/>
                <w:spacing w:val="4"/>
                <w:sz w:val="18"/>
                <w:szCs w:val="18"/>
              </w:rPr>
              <w:t>公司、深圳</w:t>
            </w:r>
            <w:r>
              <w:rPr>
                <w:rFonts w:ascii="宋体" w:hAnsi="宋体" w:cs="宋体" w:eastAsia="宋体" w:hint="default"/>
                <w:sz w:val="18"/>
                <w:szCs w:val="18"/>
              </w:rPr>
              <w:t> </w:t>
            </w:r>
            <w:r>
              <w:rPr>
                <w:rFonts w:ascii="宋体" w:hAnsi="宋体" w:cs="宋体" w:eastAsia="宋体" w:hint="default"/>
                <w:spacing w:val="4"/>
                <w:sz w:val="18"/>
                <w:szCs w:val="18"/>
              </w:rPr>
              <w:t>市南山肉联</w:t>
            </w:r>
          </w:p>
        </w:tc>
        <w:tc>
          <w:tcPr>
            <w:tcW w:w="967" w:type="dxa"/>
            <w:tcBorders>
              <w:top w:val="nil" w:sz="6" w:space="0" w:color="auto"/>
              <w:left w:val="single" w:sz="4" w:space="0" w:color="000008"/>
              <w:bottom w:val="nil" w:sz="6" w:space="0" w:color="auto"/>
              <w:right w:val="single" w:sz="4" w:space="0" w:color="000008"/>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奚永鹏</w:t>
            </w:r>
          </w:p>
        </w:tc>
        <w:tc>
          <w:tcPr>
            <w:tcW w:w="1296" w:type="dxa"/>
            <w:tcBorders>
              <w:top w:val="nil" w:sz="6" w:space="0" w:color="auto"/>
              <w:left w:val="single" w:sz="4" w:space="0" w:color="000008"/>
              <w:bottom w:val="nil" w:sz="6" w:space="0" w:color="auto"/>
              <w:right w:val="single" w:sz="4" w:space="0" w:color="000008"/>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肉类配送公司</w:t>
            </w:r>
          </w:p>
        </w:tc>
        <w:tc>
          <w:tcPr>
            <w:tcW w:w="782" w:type="dxa"/>
            <w:tcBorders>
              <w:top w:val="nil" w:sz="6" w:space="0" w:color="auto"/>
              <w:left w:val="single" w:sz="4" w:space="0" w:color="000008"/>
              <w:bottom w:val="nil" w:sz="6" w:space="0" w:color="auto"/>
              <w:right w:val="single" w:sz="4" w:space="0" w:color="000008"/>
            </w:tcBorders>
          </w:tcPr>
          <w:p>
            <w:pPr>
              <w:pStyle w:val="TableParagraph"/>
              <w:spacing w:line="304" w:lineRule="auto" w:before="155"/>
              <w:ind w:left="206" w:right="24" w:hanging="180"/>
              <w:jc w:val="left"/>
              <w:rPr>
                <w:rFonts w:ascii="宋体" w:hAnsi="宋体" w:cs="宋体" w:eastAsia="宋体" w:hint="default"/>
                <w:sz w:val="18"/>
                <w:szCs w:val="18"/>
              </w:rPr>
            </w:pPr>
            <w:r>
              <w:rPr>
                <w:rFonts w:ascii="宋体" w:hAnsi="宋体" w:cs="宋体" w:eastAsia="宋体" w:hint="default"/>
                <w:sz w:val="18"/>
                <w:szCs w:val="18"/>
              </w:rPr>
              <w:t>肉类配送 公司</w:t>
            </w:r>
          </w:p>
        </w:tc>
        <w:tc>
          <w:tcPr>
            <w:tcW w:w="780" w:type="dxa"/>
            <w:tcBorders>
              <w:top w:val="nil" w:sz="6" w:space="0" w:color="auto"/>
              <w:left w:val="single" w:sz="4" w:space="0" w:color="000008"/>
              <w:bottom w:val="nil" w:sz="6" w:space="0" w:color="auto"/>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2005-1-1</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2024-12-31</w:t>
            </w:r>
          </w:p>
        </w:tc>
        <w:tc>
          <w:tcPr>
            <w:tcW w:w="1085" w:type="dxa"/>
            <w:tcBorders>
              <w:top w:val="nil" w:sz="6" w:space="0" w:color="auto"/>
              <w:left w:val="single" w:sz="4" w:space="0" w:color="000008"/>
              <w:bottom w:val="nil" w:sz="6" w:space="0" w:color="auto"/>
              <w:right w:val="single" w:sz="4" w:space="0" w:color="000008"/>
            </w:tcBorders>
          </w:tcPr>
          <w:p>
            <w:pPr>
              <w:pStyle w:val="TableParagraph"/>
              <w:spacing w:line="297" w:lineRule="auto" w:before="4"/>
              <w:ind w:left="26" w:right="23"/>
              <w:jc w:val="both"/>
              <w:rPr>
                <w:rFonts w:ascii="宋体" w:hAnsi="宋体" w:cs="宋体" w:eastAsia="宋体" w:hint="default"/>
                <w:sz w:val="18"/>
                <w:szCs w:val="18"/>
              </w:rPr>
            </w:pPr>
            <w:r>
              <w:rPr>
                <w:rFonts w:ascii="宋体" w:hAnsi="宋体" w:cs="宋体" w:eastAsia="宋体" w:hint="default"/>
                <w:spacing w:val="3"/>
                <w:sz w:val="18"/>
                <w:szCs w:val="18"/>
              </w:rPr>
              <w:t>第一年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 </w:t>
            </w:r>
            <w:r>
              <w:rPr>
                <w:rFonts w:ascii="宋体" w:hAnsi="宋体" w:cs="宋体" w:eastAsia="宋体" w:hint="default"/>
                <w:w w:val="95"/>
                <w:sz w:val="18"/>
                <w:szCs w:val="18"/>
              </w:rPr>
              <w:t>元，以后每年</w:t>
            </w:r>
            <w:r>
              <w:rPr>
                <w:rFonts w:ascii="宋体" w:hAnsi="宋体" w:cs="宋体" w:eastAsia="宋体" w:hint="default"/>
                <w:sz w:val="18"/>
                <w:szCs w:val="18"/>
              </w:rPr>
              <w:t> 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递增</w:t>
            </w:r>
          </w:p>
        </w:tc>
        <w:tc>
          <w:tcPr>
            <w:tcW w:w="823" w:type="dxa"/>
            <w:tcBorders>
              <w:top w:val="nil" w:sz="6" w:space="0" w:color="auto"/>
              <w:left w:val="single" w:sz="4" w:space="0" w:color="000008"/>
              <w:bottom w:val="nil" w:sz="6" w:space="0" w:color="auto"/>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合同定价</w:t>
            </w:r>
          </w:p>
        </w:tc>
        <w:tc>
          <w:tcPr>
            <w:tcW w:w="1241" w:type="dxa"/>
            <w:tcBorders>
              <w:top w:val="nil" w:sz="6" w:space="0" w:color="auto"/>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3"/>
              <w:jc w:val="right"/>
              <w:rPr>
                <w:rFonts w:ascii="Times New Roman" w:hAnsi="Times New Roman" w:cs="Times New Roman" w:eastAsia="Times New Roman" w:hint="default"/>
                <w:sz w:val="18"/>
                <w:szCs w:val="18"/>
              </w:rPr>
            </w:pPr>
            <w:r>
              <w:rPr>
                <w:rFonts w:ascii="Times New Roman"/>
                <w:sz w:val="18"/>
              </w:rPr>
              <w:t>0</w:t>
            </w:r>
          </w:p>
        </w:tc>
      </w:tr>
      <w:tr>
        <w:trPr>
          <w:trHeight w:val="275" w:hRule="exact"/>
        </w:trPr>
        <w:tc>
          <w:tcPr>
            <w:tcW w:w="989" w:type="dxa"/>
            <w:tcBorders>
              <w:top w:val="nil" w:sz="6" w:space="0" w:color="auto"/>
              <w:left w:val="single" w:sz="4" w:space="0" w:color="000008"/>
              <w:bottom w:val="single" w:sz="4" w:space="0" w:color="000008"/>
              <w:right w:val="single" w:sz="4" w:space="0" w:color="000008"/>
            </w:tcBorders>
          </w:tcPr>
          <w:p>
            <w:pPr>
              <w:pStyle w:val="TableParagraph"/>
              <w:spacing w:line="249"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w:t>
            </w:r>
            <w:r>
              <w:rPr>
                <w:rFonts w:ascii="Times New Roman" w:hAnsi="Times New Roman" w:cs="Times New Roman" w:eastAsia="Times New Roman" w:hint="default"/>
                <w:sz w:val="18"/>
                <w:szCs w:val="18"/>
              </w:rPr>
              <w:t>*</w:t>
            </w:r>
          </w:p>
        </w:tc>
        <w:tc>
          <w:tcPr>
            <w:tcW w:w="967" w:type="dxa"/>
            <w:tcBorders>
              <w:top w:val="nil" w:sz="6" w:space="0" w:color="auto"/>
              <w:left w:val="single" w:sz="4" w:space="0" w:color="000008"/>
              <w:bottom w:val="single" w:sz="4" w:space="0" w:color="000008"/>
              <w:right w:val="single" w:sz="4" w:space="0" w:color="000008"/>
            </w:tcBorders>
          </w:tcPr>
          <w:p>
            <w:pPr/>
          </w:p>
        </w:tc>
        <w:tc>
          <w:tcPr>
            <w:tcW w:w="1296" w:type="dxa"/>
            <w:tcBorders>
              <w:top w:val="nil" w:sz="6" w:space="0" w:color="auto"/>
              <w:left w:val="single" w:sz="4" w:space="0" w:color="000008"/>
              <w:bottom w:val="single" w:sz="4" w:space="0" w:color="000008"/>
              <w:right w:val="single" w:sz="4" w:space="0" w:color="000008"/>
            </w:tcBorders>
          </w:tcPr>
          <w:p>
            <w:pPr/>
          </w:p>
        </w:tc>
        <w:tc>
          <w:tcPr>
            <w:tcW w:w="782" w:type="dxa"/>
            <w:tcBorders>
              <w:top w:val="nil" w:sz="6" w:space="0" w:color="auto"/>
              <w:left w:val="single" w:sz="4" w:space="0" w:color="000008"/>
              <w:bottom w:val="single" w:sz="4" w:space="0" w:color="000008"/>
              <w:right w:val="single" w:sz="4" w:space="0" w:color="000008"/>
            </w:tcBorders>
          </w:tcPr>
          <w:p>
            <w:pPr/>
          </w:p>
        </w:tc>
        <w:tc>
          <w:tcPr>
            <w:tcW w:w="780" w:type="dxa"/>
            <w:tcBorders>
              <w:top w:val="nil" w:sz="6" w:space="0" w:color="auto"/>
              <w:left w:val="single" w:sz="4" w:space="0" w:color="000008"/>
              <w:bottom w:val="single" w:sz="4" w:space="0" w:color="000008"/>
              <w:right w:val="single" w:sz="4" w:space="0" w:color="000008"/>
            </w:tcBorders>
          </w:tcPr>
          <w:p>
            <w:pPr/>
          </w:p>
        </w:tc>
        <w:tc>
          <w:tcPr>
            <w:tcW w:w="900" w:type="dxa"/>
            <w:tcBorders>
              <w:top w:val="nil" w:sz="6" w:space="0" w:color="auto"/>
              <w:left w:val="single" w:sz="4" w:space="0" w:color="000008"/>
              <w:bottom w:val="single" w:sz="4" w:space="0" w:color="000008"/>
              <w:right w:val="single" w:sz="4" w:space="0" w:color="000008"/>
            </w:tcBorders>
          </w:tcPr>
          <w:p>
            <w:pPr/>
          </w:p>
        </w:tc>
        <w:tc>
          <w:tcPr>
            <w:tcW w:w="1085" w:type="dxa"/>
            <w:tcBorders>
              <w:top w:val="nil" w:sz="6" w:space="0" w:color="auto"/>
              <w:left w:val="single" w:sz="4" w:space="0" w:color="000008"/>
              <w:bottom w:val="single" w:sz="4" w:space="0" w:color="000008"/>
              <w:right w:val="single" w:sz="4" w:space="0" w:color="000008"/>
            </w:tcBorders>
          </w:tcPr>
          <w:p>
            <w:pPr/>
          </w:p>
        </w:tc>
        <w:tc>
          <w:tcPr>
            <w:tcW w:w="823" w:type="dxa"/>
            <w:tcBorders>
              <w:top w:val="nil" w:sz="6" w:space="0" w:color="auto"/>
              <w:left w:val="single" w:sz="4" w:space="0" w:color="000008"/>
              <w:bottom w:val="single" w:sz="4" w:space="0" w:color="000008"/>
              <w:right w:val="single" w:sz="4" w:space="0" w:color="000008"/>
            </w:tcBorders>
          </w:tcPr>
          <w:p>
            <w:pPr/>
          </w:p>
        </w:tc>
        <w:tc>
          <w:tcPr>
            <w:tcW w:w="1241" w:type="dxa"/>
            <w:tcBorders>
              <w:top w:val="nil" w:sz="6" w:space="0" w:color="auto"/>
              <w:left w:val="single" w:sz="4" w:space="0" w:color="000008"/>
              <w:bottom w:val="single" w:sz="4" w:space="0" w:color="000008"/>
              <w:right w:val="single" w:sz="4" w:space="0" w:color="000008"/>
            </w:tcBorders>
          </w:tcPr>
          <w:p>
            <w:pPr/>
          </w:p>
        </w:tc>
      </w:tr>
      <w:tr>
        <w:trPr>
          <w:trHeight w:val="410" w:hRule="exact"/>
        </w:trPr>
        <w:tc>
          <w:tcPr>
            <w:tcW w:w="9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pacing w:val="4"/>
                <w:sz w:val="18"/>
                <w:szCs w:val="18"/>
              </w:rPr>
              <w:t>深圳市布吉</w:t>
            </w:r>
          </w:p>
        </w:tc>
        <w:tc>
          <w:tcPr>
            <w:tcW w:w="9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深圳市隆峰</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深圳市合盈实</w:t>
            </w:r>
          </w:p>
        </w:tc>
        <w:tc>
          <w:tcPr>
            <w:tcW w:w="7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合盈公司</w:t>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2008-1-1</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3" w:right="0"/>
              <w:jc w:val="center"/>
              <w:rPr>
                <w:rFonts w:ascii="Times New Roman" w:hAnsi="Times New Roman" w:cs="Times New Roman" w:eastAsia="Times New Roman" w:hint="default"/>
                <w:sz w:val="18"/>
                <w:szCs w:val="18"/>
              </w:rPr>
            </w:pPr>
            <w:r>
              <w:rPr>
                <w:rFonts w:ascii="Times New Roman"/>
                <w:sz w:val="18"/>
              </w:rPr>
              <w:t>2017-12-31</w:t>
            </w:r>
          </w:p>
        </w:tc>
        <w:tc>
          <w:tcPr>
            <w:tcW w:w="10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80" w:right="0"/>
              <w:jc w:val="center"/>
              <w:rPr>
                <w:rFonts w:ascii="Times New Roman" w:hAnsi="Times New Roman" w:cs="Times New Roman" w:eastAsia="Times New Roman" w:hint="default"/>
                <w:sz w:val="18"/>
                <w:szCs w:val="18"/>
              </w:rPr>
            </w:pPr>
            <w:r>
              <w:rPr>
                <w:rFonts w:ascii="Times New Roman"/>
                <w:sz w:val="18"/>
              </w:rPr>
              <w:t>3,025,728.00</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合同定价</w:t>
            </w:r>
          </w:p>
        </w:tc>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1,543,121.28</w:t>
            </w:r>
          </w:p>
        </w:tc>
      </w:tr>
    </w:tbl>
    <w:p>
      <w:pPr>
        <w:spacing w:after="0" w:line="240" w:lineRule="auto"/>
        <w:jc w:val="right"/>
        <w:rPr>
          <w:rFonts w:ascii="Times New Roman" w:hAnsi="Times New Roman" w:cs="Times New Roman" w:eastAsia="Times New Roman" w:hint="default"/>
          <w:sz w:val="18"/>
          <w:szCs w:val="18"/>
        </w:rPr>
        <w:sectPr>
          <w:headerReference w:type="default" r:id="rId174"/>
          <w:footerReference w:type="default" r:id="rId175"/>
          <w:pgSz w:w="11910" w:h="16840"/>
          <w:pgMar w:header="943" w:footer="897" w:top="1640" w:bottom="1080" w:left="1440" w:right="1360"/>
          <w:pgNumType w:start="185"/>
        </w:sectPr>
      </w:pPr>
    </w:p>
    <w:p>
      <w:pPr>
        <w:spacing w:line="240" w:lineRule="auto" w:before="13"/>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989"/>
        <w:gridCol w:w="967"/>
        <w:gridCol w:w="1296"/>
        <w:gridCol w:w="782"/>
        <w:gridCol w:w="780"/>
        <w:gridCol w:w="900"/>
        <w:gridCol w:w="1085"/>
        <w:gridCol w:w="821"/>
        <w:gridCol w:w="1243"/>
      </w:tblGrid>
      <w:tr>
        <w:trPr>
          <w:trHeight w:val="360" w:hRule="exact"/>
        </w:trPr>
        <w:tc>
          <w:tcPr>
            <w:tcW w:w="989"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pacing w:val="4"/>
                <w:sz w:val="18"/>
                <w:szCs w:val="18"/>
              </w:rPr>
              <w:t>海鲜批发市</w:t>
            </w:r>
          </w:p>
        </w:tc>
        <w:tc>
          <w:tcPr>
            <w:tcW w:w="967"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实业有限公</w:t>
            </w:r>
          </w:p>
        </w:tc>
        <w:tc>
          <w:tcPr>
            <w:tcW w:w="1296"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782" w:type="dxa"/>
            <w:tcBorders>
              <w:top w:val="single" w:sz="4" w:space="0" w:color="000008"/>
              <w:left w:val="single" w:sz="4" w:space="0" w:color="000008"/>
              <w:bottom w:val="nil" w:sz="6" w:space="0" w:color="auto"/>
              <w:right w:val="single" w:sz="4" w:space="0" w:color="000008"/>
            </w:tcBorders>
          </w:tcPr>
          <w:p>
            <w:pPr/>
          </w:p>
        </w:tc>
        <w:tc>
          <w:tcPr>
            <w:tcW w:w="780" w:type="dxa"/>
            <w:vMerge w:val="restart"/>
            <w:tcBorders>
              <w:top w:val="single" w:sz="4" w:space="0" w:color="000008"/>
              <w:left w:val="single" w:sz="4" w:space="0" w:color="000008"/>
              <w:right w:val="single" w:sz="4" w:space="0" w:color="000008"/>
            </w:tcBorders>
          </w:tcPr>
          <w:p>
            <w:pPr/>
          </w:p>
        </w:tc>
        <w:tc>
          <w:tcPr>
            <w:tcW w:w="900" w:type="dxa"/>
            <w:vMerge w:val="restart"/>
            <w:tcBorders>
              <w:top w:val="single" w:sz="4" w:space="0" w:color="000008"/>
              <w:left w:val="single" w:sz="4" w:space="0" w:color="000008"/>
              <w:right w:val="single" w:sz="4" w:space="0" w:color="000008"/>
            </w:tcBorders>
          </w:tcPr>
          <w:p>
            <w:pPr/>
          </w:p>
        </w:tc>
        <w:tc>
          <w:tcPr>
            <w:tcW w:w="1085" w:type="dxa"/>
            <w:vMerge w:val="restart"/>
            <w:tcBorders>
              <w:top w:val="single" w:sz="4" w:space="0" w:color="000008"/>
              <w:left w:val="single" w:sz="4" w:space="0" w:color="000008"/>
              <w:right w:val="single" w:sz="4" w:space="0" w:color="000008"/>
            </w:tcBorders>
          </w:tcPr>
          <w:p>
            <w:pPr/>
          </w:p>
        </w:tc>
        <w:tc>
          <w:tcPr>
            <w:tcW w:w="821" w:type="dxa"/>
            <w:vMerge w:val="restart"/>
            <w:tcBorders>
              <w:top w:val="single" w:sz="4" w:space="0" w:color="000008"/>
              <w:left w:val="single" w:sz="4" w:space="0" w:color="000008"/>
              <w:right w:val="single" w:sz="4" w:space="0" w:color="000008"/>
            </w:tcBorders>
          </w:tcPr>
          <w:p>
            <w:pPr/>
          </w:p>
        </w:tc>
        <w:tc>
          <w:tcPr>
            <w:tcW w:w="1243" w:type="dxa"/>
            <w:vMerge w:val="restart"/>
            <w:tcBorders>
              <w:top w:val="single" w:sz="4" w:space="0" w:color="000008"/>
              <w:left w:val="single" w:sz="4" w:space="0" w:color="000008"/>
              <w:right w:val="single" w:sz="4" w:space="0" w:color="000008"/>
            </w:tcBorders>
          </w:tcPr>
          <w:p>
            <w:pPr/>
          </w:p>
        </w:tc>
      </w:tr>
      <w:tr>
        <w:trPr>
          <w:trHeight w:val="205" w:hRule="exact"/>
        </w:trPr>
        <w:tc>
          <w:tcPr>
            <w:tcW w:w="989" w:type="dxa"/>
            <w:tcBorders>
              <w:top w:val="nil" w:sz="6" w:space="0" w:color="auto"/>
              <w:left w:val="single" w:sz="4" w:space="0" w:color="000008"/>
              <w:bottom w:val="nil" w:sz="6" w:space="0" w:color="auto"/>
              <w:right w:val="single" w:sz="4" w:space="0" w:color="000008"/>
            </w:tcBorders>
          </w:tcPr>
          <w:p>
            <w:pPr/>
          </w:p>
        </w:tc>
        <w:tc>
          <w:tcPr>
            <w:tcW w:w="967" w:type="dxa"/>
            <w:tcBorders>
              <w:top w:val="nil" w:sz="6" w:space="0" w:color="auto"/>
              <w:left w:val="single" w:sz="4" w:space="0" w:color="000008"/>
              <w:bottom w:val="nil" w:sz="6" w:space="0" w:color="auto"/>
              <w:right w:val="single" w:sz="4" w:space="0" w:color="000008"/>
            </w:tcBorders>
          </w:tcPr>
          <w:p>
            <w:pPr/>
          </w:p>
        </w:tc>
        <w:tc>
          <w:tcPr>
            <w:tcW w:w="1296" w:type="dxa"/>
            <w:tcBorders>
              <w:top w:val="nil" w:sz="6" w:space="0" w:color="auto"/>
              <w:left w:val="single" w:sz="4" w:space="0" w:color="000008"/>
              <w:bottom w:val="nil" w:sz="6" w:space="0" w:color="auto"/>
              <w:right w:val="single" w:sz="4" w:space="0" w:color="000008"/>
            </w:tcBorders>
          </w:tcPr>
          <w:p>
            <w:pPr/>
          </w:p>
        </w:tc>
        <w:tc>
          <w:tcPr>
            <w:tcW w:w="782" w:type="dxa"/>
            <w:tcBorders>
              <w:top w:val="nil" w:sz="6" w:space="0" w:color="auto"/>
              <w:left w:val="single" w:sz="4" w:space="0" w:color="000008"/>
              <w:bottom w:val="nil" w:sz="6" w:space="0" w:color="auto"/>
              <w:right w:val="single" w:sz="4" w:space="0" w:color="000008"/>
            </w:tcBorders>
          </w:tcPr>
          <w:p>
            <w:pPr>
              <w:pStyle w:val="TableParagraph"/>
              <w:spacing w:line="204" w:lineRule="exact"/>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780" w:type="dxa"/>
            <w:vMerge/>
            <w:tcBorders>
              <w:left w:val="single" w:sz="4" w:space="0" w:color="000008"/>
              <w:right w:val="single" w:sz="4" w:space="0" w:color="000008"/>
            </w:tcBorders>
          </w:tcPr>
          <w:p>
            <w:pPr/>
          </w:p>
        </w:tc>
        <w:tc>
          <w:tcPr>
            <w:tcW w:w="900" w:type="dxa"/>
            <w:vMerge/>
            <w:tcBorders>
              <w:left w:val="single" w:sz="4" w:space="0" w:color="000008"/>
              <w:right w:val="single" w:sz="4" w:space="0" w:color="000008"/>
            </w:tcBorders>
          </w:tcPr>
          <w:p>
            <w:pPr/>
          </w:p>
        </w:tc>
        <w:tc>
          <w:tcPr>
            <w:tcW w:w="1085" w:type="dxa"/>
            <w:vMerge/>
            <w:tcBorders>
              <w:left w:val="single" w:sz="4" w:space="0" w:color="000008"/>
              <w:right w:val="single" w:sz="4" w:space="0" w:color="000008"/>
            </w:tcBorders>
          </w:tcPr>
          <w:p>
            <w:pPr/>
          </w:p>
        </w:tc>
        <w:tc>
          <w:tcPr>
            <w:tcW w:w="821" w:type="dxa"/>
            <w:vMerge/>
            <w:tcBorders>
              <w:left w:val="single" w:sz="4" w:space="0" w:color="000008"/>
              <w:right w:val="single" w:sz="4" w:space="0" w:color="000008"/>
            </w:tcBorders>
          </w:tcPr>
          <w:p>
            <w:pPr/>
          </w:p>
        </w:tc>
        <w:tc>
          <w:tcPr>
            <w:tcW w:w="1243" w:type="dxa"/>
            <w:vMerge/>
            <w:tcBorders>
              <w:left w:val="single" w:sz="4" w:space="0" w:color="000008"/>
              <w:right w:val="single" w:sz="4" w:space="0" w:color="000008"/>
            </w:tcBorders>
          </w:tcPr>
          <w:p>
            <w:pPr/>
          </w:p>
        </w:tc>
      </w:tr>
      <w:tr>
        <w:trPr>
          <w:trHeight w:val="243" w:hRule="exact"/>
        </w:trPr>
        <w:tc>
          <w:tcPr>
            <w:tcW w:w="989" w:type="dxa"/>
            <w:tcBorders>
              <w:top w:val="nil" w:sz="6" w:space="0" w:color="auto"/>
              <w:left w:val="single" w:sz="4" w:space="0" w:color="000008"/>
              <w:bottom w:val="single" w:sz="4" w:space="0" w:color="000008"/>
              <w:right w:val="single" w:sz="4" w:space="0" w:color="000008"/>
            </w:tcBorders>
          </w:tcPr>
          <w:p>
            <w:pPr>
              <w:pStyle w:val="TableParagraph"/>
              <w:spacing w:line="185" w:lineRule="exact"/>
              <w:ind w:right="24"/>
              <w:jc w:val="center"/>
              <w:rPr>
                <w:rFonts w:ascii="宋体" w:hAnsi="宋体" w:cs="宋体" w:eastAsia="宋体" w:hint="default"/>
                <w:sz w:val="18"/>
                <w:szCs w:val="18"/>
              </w:rPr>
            </w:pPr>
            <w:r>
              <w:rPr>
                <w:rFonts w:ascii="宋体" w:hAnsi="宋体" w:cs="宋体" w:eastAsia="宋体" w:hint="default"/>
                <w:sz w:val="18"/>
                <w:szCs w:val="18"/>
              </w:rPr>
              <w:t>场有限公司</w:t>
            </w:r>
          </w:p>
        </w:tc>
        <w:tc>
          <w:tcPr>
            <w:tcW w:w="967" w:type="dxa"/>
            <w:tcBorders>
              <w:top w:val="nil" w:sz="6" w:space="0" w:color="auto"/>
              <w:left w:val="single" w:sz="4" w:space="0" w:color="000008"/>
              <w:bottom w:val="single" w:sz="4" w:space="0" w:color="000008"/>
              <w:right w:val="single" w:sz="4" w:space="0" w:color="000008"/>
            </w:tcBorders>
          </w:tcPr>
          <w:p>
            <w:pPr>
              <w:pStyle w:val="TableParagraph"/>
              <w:spacing w:line="185"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96" w:type="dxa"/>
            <w:tcBorders>
              <w:top w:val="nil" w:sz="6" w:space="0" w:color="auto"/>
              <w:left w:val="single" w:sz="4" w:space="0" w:color="000008"/>
              <w:bottom w:val="single" w:sz="4" w:space="0" w:color="000008"/>
              <w:right w:val="single" w:sz="4" w:space="0" w:color="000008"/>
            </w:tcBorders>
          </w:tcPr>
          <w:p>
            <w:pPr>
              <w:pStyle w:val="TableParagraph"/>
              <w:spacing w:line="198"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782" w:type="dxa"/>
            <w:tcBorders>
              <w:top w:val="nil" w:sz="6" w:space="0" w:color="auto"/>
              <w:left w:val="single" w:sz="4" w:space="0" w:color="000008"/>
              <w:bottom w:val="single" w:sz="4" w:space="0" w:color="000008"/>
              <w:right w:val="single" w:sz="4" w:space="0" w:color="000008"/>
            </w:tcBorders>
          </w:tcPr>
          <w:p>
            <w:pPr/>
          </w:p>
        </w:tc>
        <w:tc>
          <w:tcPr>
            <w:tcW w:w="780" w:type="dxa"/>
            <w:vMerge/>
            <w:tcBorders>
              <w:left w:val="single" w:sz="4" w:space="0" w:color="000008"/>
              <w:bottom w:val="single" w:sz="4" w:space="0" w:color="000008"/>
              <w:right w:val="single" w:sz="4" w:space="0" w:color="000008"/>
            </w:tcBorders>
          </w:tcPr>
          <w:p>
            <w:pPr/>
          </w:p>
        </w:tc>
        <w:tc>
          <w:tcPr>
            <w:tcW w:w="900" w:type="dxa"/>
            <w:vMerge/>
            <w:tcBorders>
              <w:left w:val="single" w:sz="4" w:space="0" w:color="000008"/>
              <w:bottom w:val="single" w:sz="4" w:space="0" w:color="000008"/>
              <w:right w:val="single" w:sz="4" w:space="0" w:color="000008"/>
            </w:tcBorders>
          </w:tcPr>
          <w:p>
            <w:pPr/>
          </w:p>
        </w:tc>
        <w:tc>
          <w:tcPr>
            <w:tcW w:w="1085" w:type="dxa"/>
            <w:vMerge/>
            <w:tcBorders>
              <w:left w:val="single" w:sz="4" w:space="0" w:color="000008"/>
              <w:bottom w:val="single" w:sz="4" w:space="0" w:color="000008"/>
              <w:right w:val="single" w:sz="4" w:space="0" w:color="000008"/>
            </w:tcBorders>
          </w:tcPr>
          <w:p>
            <w:pPr/>
          </w:p>
        </w:tc>
        <w:tc>
          <w:tcPr>
            <w:tcW w:w="821" w:type="dxa"/>
            <w:vMerge/>
            <w:tcBorders>
              <w:left w:val="single" w:sz="4" w:space="0" w:color="000008"/>
              <w:bottom w:val="single" w:sz="4" w:space="0" w:color="000008"/>
              <w:right w:val="single" w:sz="4" w:space="0" w:color="000008"/>
            </w:tcBorders>
          </w:tcPr>
          <w:p>
            <w:pPr/>
          </w:p>
        </w:tc>
        <w:tc>
          <w:tcPr>
            <w:tcW w:w="1243" w:type="dxa"/>
            <w:vMerge/>
            <w:tcBorders>
              <w:left w:val="single" w:sz="4" w:space="0" w:color="000008"/>
              <w:bottom w:val="single" w:sz="4" w:space="0" w:color="000008"/>
              <w:right w:val="single" w:sz="4" w:space="0" w:color="000008"/>
            </w:tcBorders>
          </w:tcPr>
          <w:p>
            <w:pPr/>
          </w:p>
        </w:tc>
      </w:tr>
    </w:tbl>
    <w:p>
      <w:pPr>
        <w:spacing w:line="240" w:lineRule="auto" w:before="11"/>
        <w:rPr>
          <w:rFonts w:ascii="宋体" w:hAnsi="宋体" w:cs="宋体" w:eastAsia="宋体" w:hint="default"/>
          <w:sz w:val="16"/>
          <w:szCs w:val="16"/>
        </w:rPr>
      </w:pPr>
    </w:p>
    <w:p>
      <w:pPr>
        <w:spacing w:before="36"/>
        <w:ind w:left="6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经营连续亏损，承包金回收困难，本期未将承包金列入当期损益。</w:t>
      </w:r>
    </w:p>
    <w:p>
      <w:pPr>
        <w:spacing w:line="240" w:lineRule="auto" w:before="13"/>
        <w:rPr>
          <w:rFonts w:ascii="宋体" w:hAnsi="宋体" w:cs="宋体" w:eastAsia="宋体" w:hint="default"/>
          <w:sz w:val="21"/>
          <w:szCs w:val="21"/>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）关联担保情况</w:t>
      </w:r>
    </w:p>
    <w:p>
      <w:pPr>
        <w:spacing w:line="240" w:lineRule="auto" w:before="7"/>
        <w:rPr>
          <w:rFonts w:ascii="宋体" w:hAnsi="宋体" w:cs="宋体" w:eastAsia="宋体" w:hint="default"/>
          <w:sz w:val="11"/>
          <w:szCs w:val="11"/>
        </w:rPr>
      </w:pPr>
    </w:p>
    <w:tbl>
      <w:tblPr>
        <w:tblW w:w="0" w:type="auto"/>
        <w:jc w:val="left"/>
        <w:tblInd w:w="225" w:type="dxa"/>
        <w:tblLayout w:type="fixed"/>
        <w:tblCellMar>
          <w:top w:w="0" w:type="dxa"/>
          <w:left w:w="0" w:type="dxa"/>
          <w:bottom w:w="0" w:type="dxa"/>
          <w:right w:w="0" w:type="dxa"/>
        </w:tblCellMar>
        <w:tblLook w:val="01E0"/>
      </w:tblPr>
      <w:tblGrid>
        <w:gridCol w:w="1418"/>
        <w:gridCol w:w="2160"/>
        <w:gridCol w:w="989"/>
        <w:gridCol w:w="1080"/>
        <w:gridCol w:w="1080"/>
        <w:gridCol w:w="1901"/>
      </w:tblGrid>
      <w:tr>
        <w:trPr>
          <w:trHeight w:val="451"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9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890"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36"/>
              <w:ind w:left="26" w:right="31"/>
              <w:jc w:val="left"/>
              <w:rPr>
                <w:rFonts w:ascii="宋体" w:hAnsi="宋体" w:cs="宋体" w:eastAsia="宋体" w:hint="default"/>
                <w:sz w:val="18"/>
                <w:szCs w:val="18"/>
              </w:rPr>
            </w:pPr>
            <w:r>
              <w:rPr>
                <w:rFonts w:ascii="宋体" w:hAnsi="宋体" w:cs="宋体" w:eastAsia="宋体" w:hint="default"/>
                <w:spacing w:val="12"/>
                <w:sz w:val="18"/>
                <w:szCs w:val="18"/>
              </w:rPr>
              <w:t>深圳市农产品股</w:t>
            </w:r>
            <w:r>
              <w:rPr>
                <w:rFonts w:ascii="宋体" w:hAnsi="宋体" w:cs="宋体" w:eastAsia="宋体" w:hint="default"/>
                <w:sz w:val="18"/>
                <w:szCs w:val="18"/>
              </w:rPr>
              <w:t> 份有限公司</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36"/>
              <w:ind w:left="26" w:right="26"/>
              <w:jc w:val="left"/>
              <w:rPr>
                <w:rFonts w:ascii="宋体" w:hAnsi="宋体" w:cs="宋体" w:eastAsia="宋体" w:hint="default"/>
                <w:sz w:val="18"/>
                <w:szCs w:val="18"/>
              </w:rPr>
            </w:pPr>
            <w:r>
              <w:rPr>
                <w:rFonts w:ascii="宋体" w:hAnsi="宋体" w:cs="宋体" w:eastAsia="宋体" w:hint="default"/>
                <w:spacing w:val="10"/>
                <w:sz w:val="18"/>
                <w:szCs w:val="18"/>
              </w:rPr>
              <w:t>深圳市民润农产品配送连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锁商业有限公司</w:t>
            </w:r>
          </w:p>
        </w:tc>
        <w:tc>
          <w:tcPr>
            <w:tcW w:w="9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2009.11.30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2010.5.30</w:t>
            </w:r>
          </w:p>
        </w:tc>
        <w:tc>
          <w:tcPr>
            <w:tcW w:w="19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90"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37"/>
              <w:ind w:left="26" w:right="31"/>
              <w:jc w:val="left"/>
              <w:rPr>
                <w:rFonts w:ascii="宋体" w:hAnsi="宋体" w:cs="宋体" w:eastAsia="宋体" w:hint="default"/>
                <w:sz w:val="18"/>
                <w:szCs w:val="18"/>
              </w:rPr>
            </w:pPr>
            <w:r>
              <w:rPr>
                <w:rFonts w:ascii="宋体" w:hAnsi="宋体" w:cs="宋体" w:eastAsia="宋体" w:hint="default"/>
                <w:spacing w:val="12"/>
                <w:sz w:val="18"/>
                <w:szCs w:val="18"/>
              </w:rPr>
              <w:t>深圳市农产品股</w:t>
            </w:r>
            <w:r>
              <w:rPr>
                <w:rFonts w:ascii="宋体" w:hAnsi="宋体" w:cs="宋体" w:eastAsia="宋体" w:hint="default"/>
                <w:sz w:val="18"/>
                <w:szCs w:val="18"/>
              </w:rPr>
              <w:t> 份有限公司</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37"/>
              <w:ind w:left="26" w:right="26"/>
              <w:jc w:val="left"/>
              <w:rPr>
                <w:rFonts w:ascii="宋体" w:hAnsi="宋体" w:cs="宋体" w:eastAsia="宋体" w:hint="default"/>
                <w:sz w:val="18"/>
                <w:szCs w:val="18"/>
              </w:rPr>
            </w:pPr>
            <w:r>
              <w:rPr>
                <w:rFonts w:ascii="宋体" w:hAnsi="宋体" w:cs="宋体" w:eastAsia="宋体" w:hint="default"/>
                <w:spacing w:val="10"/>
                <w:sz w:val="18"/>
                <w:szCs w:val="18"/>
              </w:rPr>
              <w:t>深圳市民润农产品配送连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锁商业有限公司</w:t>
            </w:r>
          </w:p>
        </w:tc>
        <w:tc>
          <w:tcPr>
            <w:tcW w:w="9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2010.1.29</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2010.8.28</w:t>
            </w:r>
          </w:p>
        </w:tc>
        <w:tc>
          <w:tcPr>
            <w:tcW w:w="19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9"/>
          <w:szCs w:val="19"/>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）关联方资金拆借</w:t>
      </w:r>
    </w:p>
    <w:p>
      <w:pPr>
        <w:spacing w:line="240" w:lineRule="auto" w:before="10"/>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745"/>
        <w:gridCol w:w="1745"/>
        <w:gridCol w:w="1745"/>
        <w:gridCol w:w="1742"/>
        <w:gridCol w:w="1591"/>
      </w:tblGrid>
      <w:tr>
        <w:trPr>
          <w:trHeight w:val="449"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51" w:hRule="exact"/>
        </w:trPr>
        <w:tc>
          <w:tcPr>
            <w:tcW w:w="8568"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888"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442" w:lineRule="exact" w:before="33"/>
              <w:ind w:left="105" w:right="108"/>
              <w:jc w:val="left"/>
              <w:rPr>
                <w:rFonts w:ascii="宋体" w:hAnsi="宋体" w:cs="宋体" w:eastAsia="宋体" w:hint="default"/>
                <w:sz w:val="18"/>
                <w:szCs w:val="18"/>
              </w:rPr>
            </w:pPr>
            <w:r>
              <w:rPr>
                <w:rFonts w:ascii="宋体" w:hAnsi="宋体" w:cs="宋体" w:eastAsia="宋体" w:hint="default"/>
                <w:spacing w:val="9"/>
                <w:sz w:val="18"/>
                <w:szCs w:val="18"/>
              </w:rPr>
              <w:t>深圳市龙江生猪批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发市场有限公司</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2009.1</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提供资金周转</w:t>
            </w:r>
          </w:p>
        </w:tc>
      </w:tr>
      <w:tr>
        <w:trPr>
          <w:trHeight w:val="890"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440" w:lineRule="exact" w:before="39"/>
              <w:ind w:left="105" w:right="108"/>
              <w:jc w:val="left"/>
              <w:rPr>
                <w:rFonts w:ascii="宋体" w:hAnsi="宋体" w:cs="宋体" w:eastAsia="宋体" w:hint="default"/>
                <w:sz w:val="18"/>
                <w:szCs w:val="18"/>
              </w:rPr>
            </w:pPr>
            <w:r>
              <w:rPr>
                <w:rFonts w:ascii="宋体" w:hAnsi="宋体" w:cs="宋体" w:eastAsia="宋体" w:hint="default"/>
                <w:spacing w:val="9"/>
                <w:sz w:val="18"/>
                <w:szCs w:val="18"/>
              </w:rPr>
              <w:t>深圳市南方农产品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物流有限公司</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2009.9</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2010.9</w:t>
            </w:r>
          </w:p>
        </w:tc>
        <w:tc>
          <w:tcPr>
            <w:tcW w:w="15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提供资金周转</w:t>
            </w:r>
          </w:p>
        </w:tc>
      </w:tr>
    </w:tbl>
    <w:p>
      <w:pPr>
        <w:spacing w:line="240" w:lineRule="auto" w:before="8"/>
        <w:rPr>
          <w:rFonts w:ascii="宋体" w:hAnsi="宋体" w:cs="宋体" w:eastAsia="宋体" w:hint="default"/>
          <w:sz w:val="19"/>
          <w:szCs w:val="19"/>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）关键管理人员报酬</w:t>
      </w:r>
    </w:p>
    <w:p>
      <w:pPr>
        <w:spacing w:line="240" w:lineRule="auto" w:before="13"/>
        <w:rPr>
          <w:rFonts w:ascii="宋体" w:hAnsi="宋体" w:cs="宋体" w:eastAsia="宋体" w:hint="default"/>
          <w:sz w:val="21"/>
          <w:szCs w:val="21"/>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年度的关联交易主要包括公司向高级管理人员支付薪酬，有关情况如下：</w:t>
      </w:r>
    </w:p>
    <w:p>
      <w:pPr>
        <w:spacing w:line="240" w:lineRule="auto" w:before="10"/>
        <w:rPr>
          <w:rFonts w:ascii="宋体" w:hAnsi="宋体" w:cs="宋体" w:eastAsia="宋体" w:hint="default"/>
          <w:sz w:val="11"/>
          <w:szCs w:val="11"/>
        </w:rPr>
      </w:pPr>
    </w:p>
    <w:tbl>
      <w:tblPr>
        <w:tblW w:w="0" w:type="auto"/>
        <w:jc w:val="left"/>
        <w:tblInd w:w="249" w:type="dxa"/>
        <w:tblLayout w:type="fixed"/>
        <w:tblCellMar>
          <w:top w:w="0" w:type="dxa"/>
          <w:left w:w="0" w:type="dxa"/>
          <w:bottom w:w="0" w:type="dxa"/>
          <w:right w:w="0" w:type="dxa"/>
        </w:tblCellMar>
        <w:tblLook w:val="01E0"/>
      </w:tblPr>
      <w:tblGrid>
        <w:gridCol w:w="4330"/>
        <w:gridCol w:w="2066"/>
        <w:gridCol w:w="2119"/>
      </w:tblGrid>
      <w:tr>
        <w:trPr>
          <w:trHeight w:val="449" w:hRule="exact"/>
        </w:trPr>
        <w:tc>
          <w:tcPr>
            <w:tcW w:w="43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1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1" w:hRule="exact"/>
        </w:trPr>
        <w:tc>
          <w:tcPr>
            <w:tcW w:w="43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向关键管理人员支付报酬总额</w:t>
            </w:r>
          </w:p>
        </w:tc>
        <w:tc>
          <w:tcPr>
            <w:tcW w:w="20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604.38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1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610.93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49" w:hRule="exact"/>
        </w:trPr>
        <w:tc>
          <w:tcPr>
            <w:tcW w:w="43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支付报酬前三名合计</w:t>
            </w:r>
          </w:p>
        </w:tc>
        <w:tc>
          <w:tcPr>
            <w:tcW w:w="20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165.68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1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185.39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after="0" w:line="240" w:lineRule="auto"/>
        <w:jc w:val="right"/>
        <w:rPr>
          <w:rFonts w:ascii="宋体" w:hAnsi="宋体" w:cs="宋体" w:eastAsia="宋体" w:hint="default"/>
          <w:sz w:val="18"/>
          <w:szCs w:val="18"/>
        </w:rPr>
        <w:sectPr>
          <w:pgSz w:w="11910" w:h="16840"/>
          <w:pgMar w:header="943" w:footer="897" w:top="1640" w:bottom="1080" w:left="144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36"/>
        <w:ind w:left="561"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关联方应收应付款项</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428"/>
        <w:gridCol w:w="1428"/>
        <w:gridCol w:w="1430"/>
        <w:gridCol w:w="1426"/>
        <w:gridCol w:w="1428"/>
        <w:gridCol w:w="1426"/>
      </w:tblGrid>
      <w:tr>
        <w:trPr>
          <w:trHeight w:val="370" w:hRule="exact"/>
        </w:trPr>
        <w:tc>
          <w:tcPr>
            <w:tcW w:w="1428"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28"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85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2009-12-31</w:t>
            </w:r>
          </w:p>
        </w:tc>
        <w:tc>
          <w:tcPr>
            <w:tcW w:w="2854"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372" w:hRule="exact"/>
        </w:trPr>
        <w:tc>
          <w:tcPr>
            <w:tcW w:w="1428" w:type="dxa"/>
            <w:vMerge/>
            <w:tcBorders>
              <w:left w:val="single" w:sz="4" w:space="0" w:color="000008"/>
              <w:bottom w:val="single" w:sz="4" w:space="0" w:color="000008"/>
              <w:right w:val="single" w:sz="4" w:space="0" w:color="000008"/>
            </w:tcBorders>
          </w:tcPr>
          <w:p>
            <w:pPr/>
          </w:p>
        </w:tc>
        <w:tc>
          <w:tcPr>
            <w:tcW w:w="1428" w:type="dxa"/>
            <w:vMerge/>
            <w:tcBorders>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27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27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0" w:hRule="exact"/>
        </w:trPr>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应收账款</w:t>
            </w:r>
            <w:r>
              <w:rPr>
                <w:rFonts w:ascii="Microsoft JhengHei" w:hAnsi="Microsoft JhengHei" w:cs="Microsoft JhengHei" w:eastAsia="Microsoft JhengHei" w:hint="default"/>
                <w:sz w:val="18"/>
                <w:szCs w:val="18"/>
              </w:rPr>
            </w:r>
          </w:p>
        </w:tc>
        <w:tc>
          <w:tcPr>
            <w:tcW w:w="1428"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
        </w:tc>
      </w:tr>
      <w:tr>
        <w:trPr>
          <w:trHeight w:val="569"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left"/>
              <w:rPr>
                <w:rFonts w:ascii="宋体" w:hAnsi="宋体" w:cs="宋体" w:eastAsia="宋体" w:hint="default"/>
                <w:sz w:val="18"/>
                <w:szCs w:val="18"/>
              </w:rPr>
            </w:pPr>
            <w:r>
              <w:rPr>
                <w:rFonts w:ascii="宋体" w:hAnsi="宋体" w:cs="宋体" w:eastAsia="宋体" w:hint="default"/>
                <w:spacing w:val="13"/>
                <w:sz w:val="18"/>
                <w:szCs w:val="18"/>
              </w:rPr>
              <w:t>云南云深饲料有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pacing w:val="-1"/>
                <w:sz w:val="18"/>
              </w:rPr>
              <w:t>84,081.10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0.15</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pacing w:val="-1"/>
                <w:sz w:val="18"/>
              </w:rPr>
              <w:t>84,081.10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0.12</w:t>
            </w:r>
          </w:p>
        </w:tc>
      </w:tr>
      <w:tr>
        <w:trPr>
          <w:trHeight w:val="571"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left"/>
              <w:rPr>
                <w:rFonts w:ascii="宋体" w:hAnsi="宋体" w:cs="宋体" w:eastAsia="宋体" w:hint="default"/>
                <w:sz w:val="18"/>
                <w:szCs w:val="18"/>
              </w:rPr>
            </w:pPr>
            <w:r>
              <w:rPr>
                <w:rFonts w:ascii="宋体" w:hAnsi="宋体" w:cs="宋体" w:eastAsia="宋体" w:hint="default"/>
                <w:spacing w:val="13"/>
                <w:sz w:val="18"/>
                <w:szCs w:val="18"/>
              </w:rPr>
              <w:t>青岛青联股份有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450,000.00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0.82</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450,000.00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0.61</w:t>
            </w:r>
          </w:p>
        </w:tc>
      </w:tr>
      <w:tr>
        <w:trPr>
          <w:trHeight w:val="569"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left"/>
              <w:rPr>
                <w:rFonts w:ascii="宋体" w:hAnsi="宋体" w:cs="宋体" w:eastAsia="宋体" w:hint="default"/>
                <w:sz w:val="18"/>
                <w:szCs w:val="18"/>
              </w:rPr>
            </w:pPr>
            <w:r>
              <w:rPr>
                <w:rFonts w:ascii="宋体" w:hAnsi="宋体" w:cs="宋体" w:eastAsia="宋体" w:hint="default"/>
                <w:spacing w:val="13"/>
                <w:sz w:val="18"/>
                <w:szCs w:val="18"/>
              </w:rPr>
              <w:t>广西糖网食糖批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发市场有限公司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550,000.00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0.75</w:t>
            </w:r>
          </w:p>
        </w:tc>
      </w:tr>
      <w:tr>
        <w:trPr>
          <w:trHeight w:val="850"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both"/>
              <w:rPr>
                <w:rFonts w:ascii="宋体" w:hAnsi="宋体" w:cs="宋体" w:eastAsia="宋体" w:hint="default"/>
                <w:sz w:val="18"/>
                <w:szCs w:val="18"/>
              </w:rPr>
            </w:pPr>
            <w:r>
              <w:rPr>
                <w:rFonts w:ascii="宋体" w:hAnsi="宋体" w:cs="宋体" w:eastAsia="宋体" w:hint="default"/>
                <w:spacing w:val="13"/>
                <w:sz w:val="18"/>
                <w:szCs w:val="18"/>
              </w:rPr>
              <w:t>深圳市民润农产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品配送连锁商业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5"/>
              <w:jc w:val="right"/>
              <w:rPr>
                <w:rFonts w:ascii="Times New Roman" w:hAnsi="Times New Roman" w:cs="Times New Roman" w:eastAsia="Times New Roman" w:hint="default"/>
                <w:sz w:val="18"/>
                <w:szCs w:val="18"/>
              </w:rPr>
            </w:pPr>
            <w:r>
              <w:rPr>
                <w:rFonts w:ascii="Times New Roman"/>
                <w:spacing w:val="-1"/>
                <w:sz w:val="18"/>
              </w:rPr>
              <w:t>3,880,260.60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7.04</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5,476,513.53</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7.48</w:t>
            </w:r>
          </w:p>
        </w:tc>
      </w:tr>
      <w:tr>
        <w:trPr>
          <w:trHeight w:val="372" w:hRule="exact"/>
        </w:trPr>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其他应收款</w:t>
            </w:r>
            <w:r>
              <w:rPr>
                <w:rFonts w:ascii="Microsoft JhengHei" w:hAnsi="Microsoft JhengHei" w:cs="Microsoft JhengHei" w:eastAsia="Microsoft JhengHei" w:hint="default"/>
                <w:sz w:val="18"/>
                <w:szCs w:val="18"/>
              </w:rPr>
            </w:r>
          </w:p>
        </w:tc>
        <w:tc>
          <w:tcPr>
            <w:tcW w:w="1428"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
        </w:tc>
      </w:tr>
      <w:tr>
        <w:trPr>
          <w:trHeight w:val="850"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both"/>
              <w:rPr>
                <w:rFonts w:ascii="宋体" w:hAnsi="宋体" w:cs="宋体" w:eastAsia="宋体" w:hint="default"/>
                <w:sz w:val="18"/>
                <w:szCs w:val="18"/>
              </w:rPr>
            </w:pPr>
            <w:r>
              <w:rPr>
                <w:rFonts w:ascii="宋体" w:hAnsi="宋体" w:cs="宋体" w:eastAsia="宋体" w:hint="default"/>
                <w:spacing w:val="13"/>
                <w:sz w:val="18"/>
                <w:szCs w:val="18"/>
              </w:rPr>
              <w:t>深圳市龙江生猪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批发市场有限公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pacing w:val="-1"/>
                <w:sz w:val="18"/>
              </w:rPr>
              <w:t>1,680,000.00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0.52</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130,000.00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0.03</w:t>
            </w:r>
          </w:p>
        </w:tc>
      </w:tr>
      <w:tr>
        <w:trPr>
          <w:trHeight w:val="569"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left"/>
              <w:rPr>
                <w:rFonts w:ascii="宋体" w:hAnsi="宋体" w:cs="宋体" w:eastAsia="宋体" w:hint="default"/>
                <w:sz w:val="18"/>
                <w:szCs w:val="18"/>
              </w:rPr>
            </w:pPr>
            <w:r>
              <w:rPr>
                <w:rFonts w:ascii="宋体" w:hAnsi="宋体" w:cs="宋体" w:eastAsia="宋体" w:hint="default"/>
                <w:spacing w:val="13"/>
                <w:sz w:val="18"/>
                <w:szCs w:val="18"/>
              </w:rPr>
              <w:t>深圳市海农食品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pacing w:val="-1"/>
                <w:sz w:val="18"/>
              </w:rPr>
              <w:t>7,213,813.76</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2.22</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7,213,813.76</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1.86</w:t>
            </w:r>
          </w:p>
        </w:tc>
      </w:tr>
      <w:tr>
        <w:trPr>
          <w:trHeight w:val="850"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both"/>
              <w:rPr>
                <w:rFonts w:ascii="宋体" w:hAnsi="宋体" w:cs="宋体" w:eastAsia="宋体" w:hint="default"/>
                <w:sz w:val="18"/>
                <w:szCs w:val="18"/>
              </w:rPr>
            </w:pPr>
            <w:r>
              <w:rPr>
                <w:rFonts w:ascii="宋体" w:hAnsi="宋体" w:cs="宋体" w:eastAsia="宋体" w:hint="default"/>
                <w:spacing w:val="13"/>
                <w:sz w:val="18"/>
                <w:szCs w:val="18"/>
              </w:rPr>
              <w:t>深圳市博丽雅设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计装饰工程有限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5"/>
              <w:jc w:val="right"/>
              <w:rPr>
                <w:rFonts w:ascii="Times New Roman" w:hAnsi="Times New Roman" w:cs="Times New Roman" w:eastAsia="Times New Roman" w:hint="default"/>
                <w:sz w:val="18"/>
                <w:szCs w:val="18"/>
              </w:rPr>
            </w:pPr>
            <w:r>
              <w:rPr>
                <w:rFonts w:ascii="Times New Roman"/>
                <w:spacing w:val="-1"/>
                <w:sz w:val="18"/>
              </w:rPr>
              <w:t>1,440,684.89</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0.44</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z w:val="18"/>
              </w:rPr>
              <w:t>--</w:t>
            </w:r>
          </w:p>
        </w:tc>
      </w:tr>
      <w:tr>
        <w:trPr>
          <w:trHeight w:val="571"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left"/>
              <w:rPr>
                <w:rFonts w:ascii="宋体" w:hAnsi="宋体" w:cs="宋体" w:eastAsia="宋体" w:hint="default"/>
                <w:sz w:val="18"/>
                <w:szCs w:val="18"/>
              </w:rPr>
            </w:pPr>
            <w:r>
              <w:rPr>
                <w:rFonts w:ascii="宋体" w:hAnsi="宋体" w:cs="宋体" w:eastAsia="宋体" w:hint="default"/>
                <w:spacing w:val="13"/>
                <w:sz w:val="18"/>
                <w:szCs w:val="18"/>
              </w:rPr>
              <w:t>云南云深饲料有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992,258.50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0.31</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992,258.50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0.26</w:t>
            </w:r>
          </w:p>
        </w:tc>
      </w:tr>
      <w:tr>
        <w:trPr>
          <w:trHeight w:val="569"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left"/>
              <w:rPr>
                <w:rFonts w:ascii="宋体" w:hAnsi="宋体" w:cs="宋体" w:eastAsia="宋体" w:hint="default"/>
                <w:sz w:val="18"/>
                <w:szCs w:val="18"/>
              </w:rPr>
            </w:pPr>
            <w:r>
              <w:rPr>
                <w:rFonts w:ascii="宋体" w:hAnsi="宋体" w:cs="宋体" w:eastAsia="宋体" w:hint="default"/>
                <w:spacing w:val="13"/>
                <w:sz w:val="18"/>
                <w:szCs w:val="18"/>
              </w:rPr>
              <w:t>深圳市倜拓实业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347,500.00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0.09</w:t>
            </w:r>
          </w:p>
        </w:tc>
      </w:tr>
      <w:tr>
        <w:trPr>
          <w:trHeight w:val="571"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left"/>
              <w:rPr>
                <w:rFonts w:ascii="宋体" w:hAnsi="宋体" w:cs="宋体" w:eastAsia="宋体" w:hint="default"/>
                <w:sz w:val="18"/>
                <w:szCs w:val="18"/>
              </w:rPr>
            </w:pPr>
            <w:r>
              <w:rPr>
                <w:rFonts w:ascii="宋体" w:hAnsi="宋体" w:cs="宋体" w:eastAsia="宋体" w:hint="default"/>
                <w:spacing w:val="13"/>
                <w:sz w:val="18"/>
                <w:szCs w:val="18"/>
              </w:rPr>
              <w:t>深圳市合盈实业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5"/>
              <w:jc w:val="right"/>
              <w:rPr>
                <w:rFonts w:ascii="Times New Roman" w:hAnsi="Times New Roman" w:cs="Times New Roman" w:eastAsia="Times New Roman" w:hint="default"/>
                <w:sz w:val="18"/>
                <w:szCs w:val="18"/>
              </w:rPr>
            </w:pPr>
            <w:r>
              <w:rPr>
                <w:rFonts w:ascii="Times New Roman"/>
                <w:spacing w:val="-1"/>
                <w:sz w:val="18"/>
              </w:rPr>
              <w:t>3,025,728.00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0.93</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3,101,371.20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0.80</w:t>
            </w:r>
          </w:p>
        </w:tc>
      </w:tr>
      <w:tr>
        <w:trPr>
          <w:trHeight w:val="850"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both"/>
              <w:rPr>
                <w:rFonts w:ascii="宋体" w:hAnsi="宋体" w:cs="宋体" w:eastAsia="宋体" w:hint="default"/>
                <w:sz w:val="18"/>
                <w:szCs w:val="18"/>
              </w:rPr>
            </w:pPr>
            <w:r>
              <w:rPr>
                <w:rFonts w:ascii="宋体" w:hAnsi="宋体" w:cs="宋体" w:eastAsia="宋体" w:hint="default"/>
                <w:spacing w:val="13"/>
                <w:sz w:val="18"/>
                <w:szCs w:val="18"/>
              </w:rPr>
              <w:t>深圳市民润农产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品配送连锁商业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pacing w:val="-1"/>
                <w:sz w:val="18"/>
              </w:rPr>
              <w:t>142,741,972.95</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43.93</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153,561,396.91</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39.55</w:t>
            </w:r>
          </w:p>
        </w:tc>
      </w:tr>
      <w:tr>
        <w:trPr>
          <w:trHeight w:val="850"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both"/>
              <w:rPr>
                <w:rFonts w:ascii="宋体" w:hAnsi="宋体" w:cs="宋体" w:eastAsia="宋体" w:hint="default"/>
                <w:sz w:val="18"/>
                <w:szCs w:val="18"/>
              </w:rPr>
            </w:pPr>
            <w:r>
              <w:rPr>
                <w:rFonts w:ascii="宋体" w:hAnsi="宋体" w:cs="宋体" w:eastAsia="宋体" w:hint="default"/>
                <w:spacing w:val="13"/>
                <w:sz w:val="18"/>
                <w:szCs w:val="18"/>
              </w:rPr>
              <w:t>北京市大红门京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深海鲜批发市场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5"/>
              <w:jc w:val="right"/>
              <w:rPr>
                <w:rFonts w:ascii="Times New Roman" w:hAnsi="Times New Roman" w:cs="Times New Roman" w:eastAsia="Times New Roman" w:hint="default"/>
                <w:sz w:val="18"/>
                <w:szCs w:val="18"/>
              </w:rPr>
            </w:pPr>
            <w:r>
              <w:rPr>
                <w:rFonts w:ascii="Times New Roman"/>
                <w:spacing w:val="-1"/>
                <w:sz w:val="18"/>
              </w:rPr>
              <w:t>10,297,350.69</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3.17</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5"/>
              <w:jc w:val="right"/>
              <w:rPr>
                <w:rFonts w:ascii="Times New Roman" w:hAnsi="Times New Roman" w:cs="Times New Roman" w:eastAsia="Times New Roman" w:hint="default"/>
                <w:sz w:val="18"/>
                <w:szCs w:val="18"/>
              </w:rPr>
            </w:pPr>
            <w:r>
              <w:rPr>
                <w:rFonts w:ascii="Times New Roman"/>
                <w:spacing w:val="-1"/>
                <w:sz w:val="18"/>
              </w:rPr>
              <w:t>12,426,443.22</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3.20</w:t>
            </w:r>
          </w:p>
        </w:tc>
      </w:tr>
      <w:tr>
        <w:trPr>
          <w:trHeight w:val="571"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left"/>
              <w:rPr>
                <w:rFonts w:ascii="宋体" w:hAnsi="宋体" w:cs="宋体" w:eastAsia="宋体" w:hint="default"/>
                <w:sz w:val="18"/>
                <w:szCs w:val="18"/>
              </w:rPr>
            </w:pPr>
            <w:r>
              <w:rPr>
                <w:rFonts w:ascii="宋体" w:hAnsi="宋体" w:cs="宋体" w:eastAsia="宋体" w:hint="default"/>
                <w:spacing w:val="13"/>
                <w:sz w:val="18"/>
                <w:szCs w:val="18"/>
              </w:rPr>
              <w:t>青岛青联股份有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2"/>
                <w:sz w:val="18"/>
              </w:rPr>
              <w:t>26,481,211.20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8.15</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5"/>
              <w:jc w:val="right"/>
              <w:rPr>
                <w:rFonts w:ascii="Times New Roman" w:hAnsi="Times New Roman" w:cs="Times New Roman" w:eastAsia="Times New Roman" w:hint="default"/>
                <w:sz w:val="18"/>
                <w:szCs w:val="18"/>
              </w:rPr>
            </w:pPr>
            <w:r>
              <w:rPr>
                <w:rFonts w:ascii="Times New Roman"/>
                <w:spacing w:val="-1"/>
                <w:sz w:val="18"/>
              </w:rPr>
              <w:t>27,758,945.76</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7.15</w:t>
            </w:r>
          </w:p>
        </w:tc>
      </w:tr>
      <w:tr>
        <w:trPr>
          <w:trHeight w:val="569"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left"/>
              <w:rPr>
                <w:rFonts w:ascii="宋体" w:hAnsi="宋体" w:cs="宋体" w:eastAsia="宋体" w:hint="default"/>
                <w:sz w:val="18"/>
                <w:szCs w:val="18"/>
              </w:rPr>
            </w:pPr>
            <w:r>
              <w:rPr>
                <w:rFonts w:ascii="宋体" w:hAnsi="宋体" w:cs="宋体" w:eastAsia="宋体" w:hint="default"/>
                <w:spacing w:val="13"/>
                <w:sz w:val="18"/>
                <w:szCs w:val="18"/>
              </w:rPr>
              <w:t>深圳南方农产品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物流有限公司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pacing w:val="-1"/>
                <w:sz w:val="18"/>
              </w:rPr>
              <w:t>1,104,000.00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0.34</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pacing w:val="-1"/>
                <w:sz w:val="18"/>
              </w:rPr>
              <w:t>102,000.00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0.03</w:t>
            </w:r>
          </w:p>
        </w:tc>
      </w:tr>
      <w:tr>
        <w:trPr>
          <w:trHeight w:val="571"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left"/>
              <w:rPr>
                <w:rFonts w:ascii="宋体" w:hAnsi="宋体" w:cs="宋体" w:eastAsia="宋体" w:hint="default"/>
                <w:sz w:val="18"/>
                <w:szCs w:val="18"/>
              </w:rPr>
            </w:pPr>
            <w:r>
              <w:rPr>
                <w:rFonts w:ascii="宋体" w:hAnsi="宋体" w:cs="宋体" w:eastAsia="宋体" w:hint="default"/>
                <w:spacing w:val="13"/>
                <w:sz w:val="18"/>
                <w:szCs w:val="18"/>
              </w:rPr>
              <w:t>深圳市深宝实业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股份有限公司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168,970.50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0.04</w:t>
            </w:r>
          </w:p>
        </w:tc>
      </w:tr>
      <w:tr>
        <w:trPr>
          <w:trHeight w:val="370" w:hRule="exact"/>
        </w:trPr>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其他应付款</w:t>
            </w:r>
            <w:r>
              <w:rPr>
                <w:rFonts w:ascii="Microsoft JhengHei" w:hAnsi="Microsoft JhengHei" w:cs="Microsoft JhengHei" w:eastAsia="Microsoft JhengHei" w:hint="default"/>
                <w:sz w:val="18"/>
                <w:szCs w:val="18"/>
              </w:rPr>
            </w:r>
          </w:p>
        </w:tc>
        <w:tc>
          <w:tcPr>
            <w:tcW w:w="1428" w:type="dxa"/>
            <w:tcBorders>
              <w:top w:val="single" w:sz="4" w:space="0" w:color="000008"/>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26" w:type="dxa"/>
            <w:tcBorders>
              <w:top w:val="single" w:sz="4" w:space="0" w:color="000008"/>
              <w:left w:val="single" w:sz="4" w:space="0" w:color="000008"/>
              <w:bottom w:val="single" w:sz="4" w:space="0" w:color="000008"/>
              <w:right w:val="single" w:sz="4" w:space="0" w:color="000008"/>
            </w:tcBorders>
          </w:tcPr>
          <w:p>
            <w:pPr/>
          </w:p>
        </w:tc>
      </w:tr>
      <w:tr>
        <w:trPr>
          <w:trHeight w:val="569"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26" w:right="29"/>
              <w:jc w:val="left"/>
              <w:rPr>
                <w:rFonts w:ascii="宋体" w:hAnsi="宋体" w:cs="宋体" w:eastAsia="宋体" w:hint="default"/>
                <w:sz w:val="18"/>
                <w:szCs w:val="18"/>
              </w:rPr>
            </w:pPr>
            <w:r>
              <w:rPr>
                <w:rFonts w:ascii="宋体" w:hAnsi="宋体" w:cs="宋体" w:eastAsia="宋体" w:hint="default"/>
                <w:spacing w:val="13"/>
                <w:sz w:val="18"/>
                <w:szCs w:val="18"/>
              </w:rPr>
              <w:t>深圳市投资控股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5"/>
              <w:jc w:val="right"/>
              <w:rPr>
                <w:rFonts w:ascii="Times New Roman" w:hAnsi="Times New Roman" w:cs="Times New Roman" w:eastAsia="Times New Roman" w:hint="default"/>
                <w:sz w:val="18"/>
                <w:szCs w:val="18"/>
              </w:rPr>
            </w:pPr>
            <w:r>
              <w:rPr>
                <w:rFonts w:ascii="Times New Roman"/>
                <w:spacing w:val="-1"/>
                <w:sz w:val="18"/>
              </w:rPr>
              <w:t>1,057,462.50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0.10</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1,057,462.50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0.13</w:t>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640" w:bottom="1080" w:left="1560" w:right="1560"/>
        </w:sectPr>
      </w:pPr>
    </w:p>
    <w:p>
      <w:pPr>
        <w:spacing w:line="240" w:lineRule="auto" w:before="13"/>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428"/>
        <w:gridCol w:w="1428"/>
        <w:gridCol w:w="1430"/>
        <w:gridCol w:w="1426"/>
        <w:gridCol w:w="1428"/>
        <w:gridCol w:w="1426"/>
      </w:tblGrid>
      <w:tr>
        <w:trPr>
          <w:trHeight w:val="370" w:hRule="exact"/>
        </w:trPr>
        <w:tc>
          <w:tcPr>
            <w:tcW w:w="1428"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28"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85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2009-12-31</w:t>
            </w:r>
          </w:p>
        </w:tc>
        <w:tc>
          <w:tcPr>
            <w:tcW w:w="2854"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2008-12-31</w:t>
            </w:r>
          </w:p>
        </w:tc>
      </w:tr>
      <w:tr>
        <w:trPr>
          <w:trHeight w:val="370" w:hRule="exact"/>
        </w:trPr>
        <w:tc>
          <w:tcPr>
            <w:tcW w:w="1428" w:type="dxa"/>
            <w:vMerge/>
            <w:tcBorders>
              <w:left w:val="single" w:sz="4" w:space="0" w:color="000008"/>
              <w:bottom w:val="single" w:sz="4" w:space="0" w:color="000008"/>
              <w:right w:val="single" w:sz="4" w:space="0" w:color="000008"/>
            </w:tcBorders>
          </w:tcPr>
          <w:p>
            <w:pPr/>
          </w:p>
        </w:tc>
        <w:tc>
          <w:tcPr>
            <w:tcW w:w="1428" w:type="dxa"/>
            <w:vMerge/>
            <w:tcBorders>
              <w:left w:val="single" w:sz="4" w:space="0" w:color="000008"/>
              <w:bottom w:val="single" w:sz="4" w:space="0" w:color="000008"/>
              <w:right w:val="single" w:sz="4" w:space="0" w:color="000008"/>
            </w:tcBorders>
          </w:tcPr>
          <w:p>
            <w:pP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27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27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71" w:hRule="exact"/>
        </w:trPr>
        <w:tc>
          <w:tcPr>
            <w:tcW w:w="1428"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26" w:right="29"/>
              <w:jc w:val="left"/>
              <w:rPr>
                <w:rFonts w:ascii="宋体" w:hAnsi="宋体" w:cs="宋体" w:eastAsia="宋体" w:hint="default"/>
                <w:sz w:val="18"/>
                <w:szCs w:val="18"/>
              </w:rPr>
            </w:pPr>
            <w:r>
              <w:rPr>
                <w:rFonts w:ascii="宋体" w:hAnsi="宋体" w:cs="宋体" w:eastAsia="宋体" w:hint="default"/>
                <w:spacing w:val="13"/>
                <w:sz w:val="18"/>
                <w:szCs w:val="18"/>
              </w:rPr>
              <w:t>深圳市农产品丰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湖投资有限公司</w:t>
            </w:r>
          </w:p>
        </w:tc>
        <w:tc>
          <w:tcPr>
            <w:tcW w:w="14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448" w:right="0"/>
              <w:jc w:val="left"/>
              <w:rPr>
                <w:rFonts w:ascii="Times New Roman" w:hAnsi="Times New Roman" w:cs="Times New Roman" w:eastAsia="Times New Roman" w:hint="default"/>
                <w:sz w:val="18"/>
                <w:szCs w:val="18"/>
              </w:rPr>
            </w:pPr>
            <w:r>
              <w:rPr>
                <w:rFonts w:ascii="Times New Roman"/>
                <w:sz w:val="18"/>
              </w:rPr>
              <w:t>8,000,000.00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0.79</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448" w:right="0"/>
              <w:jc w:val="left"/>
              <w:rPr>
                <w:rFonts w:ascii="Times New Roman" w:hAnsi="Times New Roman" w:cs="Times New Roman" w:eastAsia="Times New Roman" w:hint="default"/>
                <w:sz w:val="18"/>
                <w:szCs w:val="18"/>
              </w:rPr>
            </w:pPr>
            <w:r>
              <w:rPr>
                <w:rFonts w:ascii="Times New Roman"/>
                <w:sz w:val="18"/>
              </w:rPr>
              <w:t>8,000,000.00</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tabs>
          <w:tab w:pos="1821" w:val="left" w:leader="none"/>
        </w:tabs>
        <w:spacing w:before="36"/>
        <w:ind w:left="561" w:right="0" w:firstLine="0"/>
        <w:jc w:val="left"/>
        <w:rPr>
          <w:rFonts w:ascii="宋体" w:hAnsi="宋体" w:cs="宋体" w:eastAsia="宋体" w:hint="default"/>
          <w:sz w:val="21"/>
          <w:szCs w:val="21"/>
        </w:rPr>
      </w:pPr>
      <w:r>
        <w:rPr>
          <w:rFonts w:ascii="宋体" w:hAnsi="宋体" w:cs="宋体" w:eastAsia="宋体" w:hint="default"/>
          <w:spacing w:val="-1"/>
          <w:sz w:val="21"/>
          <w:szCs w:val="21"/>
        </w:rPr>
        <w:t>附注七、</w:t>
        <w:tab/>
        <w:t>或有事项</w:t>
      </w:r>
    </w:p>
    <w:p>
      <w:pPr>
        <w:spacing w:line="240" w:lineRule="auto" w:before="3"/>
        <w:rPr>
          <w:rFonts w:ascii="宋体" w:hAnsi="宋体" w:cs="宋体" w:eastAsia="宋体" w:hint="default"/>
          <w:sz w:val="23"/>
          <w:szCs w:val="23"/>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未决诉讼仲裁形成的或有负债及其财务影响</w:t>
      </w:r>
    </w:p>
    <w:p>
      <w:pPr>
        <w:spacing w:line="240" w:lineRule="auto" w:before="2"/>
        <w:rPr>
          <w:rFonts w:ascii="宋体" w:hAnsi="宋体" w:cs="宋体" w:eastAsia="宋体" w:hint="default"/>
          <w:sz w:val="22"/>
          <w:szCs w:val="22"/>
        </w:rPr>
      </w:pPr>
    </w:p>
    <w:p>
      <w:pPr>
        <w:spacing w:line="328" w:lineRule="auto" w:before="0"/>
        <w:ind w:left="141"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）本公司下属农牧实业公司因深圳长江兴业发展有限公司（以下简称长江公司）拖欠</w:t>
      </w:r>
      <w:r>
        <w:rPr>
          <w:rFonts w:ascii="宋体" w:hAnsi="宋体" w:cs="宋体" w:eastAsia="宋体" w:hint="default"/>
          <w:w w:val="100"/>
          <w:sz w:val="21"/>
          <w:szCs w:val="21"/>
        </w:rPr>
        <w:t> </w:t>
      </w:r>
      <w:r>
        <w:rPr>
          <w:rFonts w:ascii="宋体" w:hAnsi="宋体" w:cs="宋体" w:eastAsia="宋体" w:hint="default"/>
          <w:spacing w:val="-4"/>
          <w:sz w:val="21"/>
          <w:szCs w:val="21"/>
        </w:rPr>
        <w:t>合作建房包销楼款，向深圳市中级人民法院提起诉讼，</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日收到深圳市中级人民</w:t>
      </w:r>
    </w:p>
    <w:p>
      <w:pPr>
        <w:spacing w:before="24"/>
        <w:ind w:left="141" w:right="0" w:firstLine="0"/>
        <w:jc w:val="left"/>
        <w:rPr>
          <w:rFonts w:ascii="宋体" w:hAnsi="宋体" w:cs="宋体" w:eastAsia="宋体" w:hint="default"/>
          <w:sz w:val="21"/>
          <w:szCs w:val="21"/>
        </w:rPr>
      </w:pPr>
      <w:r>
        <w:rPr>
          <w:rFonts w:ascii="宋体" w:hAnsi="宋体" w:cs="宋体" w:eastAsia="宋体" w:hint="default"/>
          <w:spacing w:val="-4"/>
          <w:sz w:val="21"/>
          <w:szCs w:val="21"/>
        </w:rPr>
        <w:t>法院（</w:t>
      </w:r>
      <w:r>
        <w:rPr>
          <w:rFonts w:ascii="Times New Roman" w:hAnsi="Times New Roman" w:cs="Times New Roman" w:eastAsia="Times New Roman" w:hint="default"/>
          <w:spacing w:val="-4"/>
          <w:sz w:val="21"/>
          <w:szCs w:val="21"/>
        </w:rPr>
        <w:t>2007</w:t>
      </w:r>
      <w:r>
        <w:rPr>
          <w:rFonts w:ascii="宋体" w:hAnsi="宋体" w:cs="宋体" w:eastAsia="宋体" w:hint="default"/>
          <w:spacing w:val="-4"/>
          <w:sz w:val="21"/>
          <w:szCs w:val="21"/>
        </w:rPr>
        <w:t>）深中法民五初字第 </w:t>
      </w:r>
      <w:r>
        <w:rPr>
          <w:rFonts w:ascii="Times New Roman" w:hAnsi="Times New Roman" w:cs="Times New Roman" w:eastAsia="Times New Roman" w:hint="default"/>
          <w:sz w:val="21"/>
          <w:szCs w:val="21"/>
        </w:rPr>
        <w:t>150</w:t>
      </w:r>
      <w:r>
        <w:rPr>
          <w:rFonts w:ascii="Times New Roman" w:hAnsi="Times New Roman" w:cs="Times New Roman" w:eastAsia="Times New Roman" w:hint="default"/>
          <w:spacing w:val="-29"/>
          <w:sz w:val="21"/>
          <w:szCs w:val="21"/>
        </w:rPr>
        <w:t> </w:t>
      </w:r>
      <w:r>
        <w:rPr>
          <w:rFonts w:ascii="宋体" w:hAnsi="宋体" w:cs="宋体" w:eastAsia="宋体" w:hint="default"/>
          <w:spacing w:val="-3"/>
          <w:sz w:val="21"/>
          <w:szCs w:val="21"/>
        </w:rPr>
        <w:t>号民事判决书，判决长江公司于判决生效之日起十日内向</w:t>
      </w:r>
    </w:p>
    <w:p>
      <w:pPr>
        <w:spacing w:line="338" w:lineRule="auto" w:before="110"/>
        <w:ind w:left="141" w:right="192" w:firstLine="0"/>
        <w:jc w:val="left"/>
        <w:rPr>
          <w:rFonts w:ascii="宋体" w:hAnsi="宋体" w:cs="宋体" w:eastAsia="宋体" w:hint="default"/>
          <w:sz w:val="21"/>
          <w:szCs w:val="21"/>
        </w:rPr>
      </w:pPr>
      <w:r>
        <w:rPr>
          <w:rFonts w:ascii="宋体" w:hAnsi="宋体" w:cs="宋体" w:eastAsia="宋体" w:hint="default"/>
          <w:spacing w:val="-2"/>
          <w:w w:val="100"/>
          <w:sz w:val="21"/>
          <w:szCs w:val="21"/>
        </w:rPr>
        <w:t>农牧公司支付包销楼款人民币</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12,449,287.90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
          <w:w w:val="100"/>
          <w:sz w:val="21"/>
          <w:szCs w:val="21"/>
        </w:rPr>
        <w:t>元以及利息</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2,968,377.31</w:t>
      </w:r>
      <w:r>
        <w:rPr>
          <w:rFonts w:ascii="Times New Roman" w:hAnsi="Times New Roman" w:cs="Times New Roman" w:eastAsia="Times New Roman" w:hint="default"/>
          <w:spacing w:val="-4"/>
          <w:w w:val="100"/>
          <w:sz w:val="21"/>
          <w:szCs w:val="21"/>
        </w:rPr>
        <w:t> </w:t>
      </w:r>
      <w:r>
        <w:rPr>
          <w:rFonts w:ascii="宋体" w:hAnsi="宋体" w:cs="宋体" w:eastAsia="宋体" w:hint="default"/>
          <w:w w:val="95"/>
          <w:sz w:val="21"/>
          <w:szCs w:val="21"/>
        </w:rPr>
        <w:t>元，若未按判决规定时间</w:t>
      </w:r>
      <w:r>
        <w:rPr>
          <w:rFonts w:ascii="宋体" w:hAnsi="宋体" w:cs="宋体" w:eastAsia="宋体" w:hint="default"/>
          <w:w w:val="100"/>
          <w:sz w:val="21"/>
          <w:szCs w:val="21"/>
        </w:rPr>
        <w:t> </w:t>
      </w:r>
      <w:r>
        <w:rPr>
          <w:rFonts w:ascii="宋体" w:hAnsi="宋体" w:cs="宋体" w:eastAsia="宋体" w:hint="default"/>
          <w:spacing w:val="2"/>
          <w:sz w:val="21"/>
          <w:szCs w:val="21"/>
        </w:rPr>
        <w:t>履行给付金钱义务的则应加倍支付延迟履行期间的债务利息。农牧公司账面应收长江公司</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Times New Roman" w:hAnsi="Times New Roman" w:cs="Times New Roman" w:eastAsia="Times New Roman" w:hint="default"/>
          <w:sz w:val="21"/>
          <w:szCs w:val="21"/>
        </w:rPr>
        <w:t>5,364,433.00</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元，已全额计提坏账准备。截止</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日，深圳市中级人民法院已依据</w:t>
      </w:r>
    </w:p>
    <w:p>
      <w:pPr>
        <w:spacing w:before="14"/>
        <w:ind w:left="105"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2008</w:t>
      </w:r>
      <w:r>
        <w:rPr>
          <w:rFonts w:ascii="宋体" w:hAnsi="宋体" w:cs="宋体" w:eastAsia="宋体" w:hint="default"/>
          <w:spacing w:val="-4"/>
          <w:sz w:val="21"/>
          <w:szCs w:val="21"/>
        </w:rPr>
        <w:t>）深中法执字第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号民事裁定书冻结了长江公司持有的深圳市长菲种养殖有限公司</w:t>
      </w:r>
    </w:p>
    <w:p>
      <w:pPr>
        <w:spacing w:before="107"/>
        <w:ind w:left="1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股权，冻结期限为一年，自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22"/>
          <w:szCs w:val="22"/>
        </w:rPr>
      </w:pPr>
    </w:p>
    <w:p>
      <w:pPr>
        <w:spacing w:line="333" w:lineRule="auto" w:before="0"/>
        <w:ind w:left="141" w:right="0" w:firstLine="38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）本公司子公司运输公司之被投资单位深圳市联福运输实业有限公司（以下简称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联福</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年与广州天泰设备管理有限公司（以下简称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天泰公司</w:t>
      </w:r>
      <w:r>
        <w:rPr>
          <w:rFonts w:ascii="Times New Roman" w:hAnsi="Times New Roman" w:cs="Times New Roman" w:eastAsia="Times New Roman" w:hint="default"/>
          <w:sz w:val="21"/>
          <w:szCs w:val="21"/>
        </w:rPr>
        <w:t>”</w:t>
      </w:r>
      <w:r>
        <w:rPr>
          <w:rFonts w:ascii="宋体" w:hAnsi="宋体" w:cs="宋体" w:eastAsia="宋体" w:hint="default"/>
          <w:sz w:val="21"/>
          <w:szCs w:val="21"/>
        </w:rPr>
        <w:t>）签订集装箱租赁协议，</w:t>
      </w:r>
      <w:r>
        <w:rPr>
          <w:rFonts w:ascii="宋体" w:hAnsi="宋体" w:cs="宋体" w:eastAsia="宋体" w:hint="default"/>
          <w:spacing w:val="-90"/>
          <w:sz w:val="21"/>
          <w:szCs w:val="21"/>
        </w:rPr>
        <w:t> </w:t>
      </w:r>
      <w:r>
        <w:rPr>
          <w:rFonts w:ascii="宋体" w:hAnsi="宋体" w:cs="宋体" w:eastAsia="宋体" w:hint="default"/>
          <w:spacing w:val="-3"/>
          <w:sz w:val="21"/>
          <w:szCs w:val="21"/>
        </w:rPr>
        <w:t>运输公司为此租赁协议提供担保。</w:t>
      </w:r>
      <w:r>
        <w:rPr>
          <w:rFonts w:ascii="Times New Roman" w:hAnsi="Times New Roman" w:cs="Times New Roman" w:eastAsia="Times New Roman" w:hint="default"/>
          <w:spacing w:val="-3"/>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11 </w:t>
      </w:r>
      <w:r>
        <w:rPr>
          <w:rFonts w:ascii="宋体" w:hAnsi="宋体" w:cs="宋体" w:eastAsia="宋体" w:hint="default"/>
          <w:spacing w:val="-4"/>
          <w:sz w:val="21"/>
          <w:szCs w:val="21"/>
        </w:rPr>
        <w:t>月，因联福公司拖欠租金，天泰公司将联福公司</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起诉至广州海事法院深圳法庭，要求联福公司偿付拖欠的租金及其他费用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万美元，并要求</w:t>
      </w:r>
      <w:r>
        <w:rPr>
          <w:rFonts w:ascii="宋体" w:hAnsi="宋体" w:cs="宋体" w:eastAsia="宋体" w:hint="default"/>
          <w:w w:val="100"/>
          <w:sz w:val="21"/>
          <w:szCs w:val="21"/>
        </w:rPr>
        <w:t> </w:t>
      </w:r>
      <w:r>
        <w:rPr>
          <w:rFonts w:ascii="宋体" w:hAnsi="宋体" w:cs="宋体" w:eastAsia="宋体" w:hint="default"/>
          <w:spacing w:val="-5"/>
          <w:sz w:val="21"/>
          <w:szCs w:val="21"/>
        </w:rPr>
        <w:t>运输公司对此承担连带责任。运输公司以此项担保合同存在欺诈行为，合同应属无效为由提起</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6"/>
          <w:sz w:val="21"/>
          <w:szCs w:val="21"/>
        </w:rPr>
        <w:t>反诉。上诉和反诉两案于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日在广州海事法院深圳法庭一同开庭，截止审计报告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日尚未判决。</w:t>
      </w:r>
    </w:p>
    <w:p>
      <w:pPr>
        <w:spacing w:line="240" w:lineRule="auto" w:before="12"/>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8"/>
          <w:sz w:val="21"/>
          <w:szCs w:val="21"/>
        </w:rPr>
        <w:t> </w:t>
      </w:r>
      <w:r>
        <w:rPr>
          <w:rFonts w:ascii="宋体" w:hAnsi="宋体" w:cs="宋体" w:eastAsia="宋体" w:hint="default"/>
          <w:spacing w:val="-2"/>
          <w:sz w:val="21"/>
          <w:szCs w:val="21"/>
        </w:rPr>
        <w:t>为其他单位提供债务担保形成的或有负债及其财务影响</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本公司为被投资企业深圳市民润农产品配送连锁商业有限公司 </w:t>
      </w:r>
      <w:r>
        <w:rPr>
          <w:rFonts w:ascii="Times New Roman" w:hAnsi="Times New Roman" w:cs="Times New Roman" w:eastAsia="Times New Roman" w:hint="default"/>
          <w:sz w:val="21"/>
          <w:szCs w:val="21"/>
        </w:rPr>
        <w:t>13,000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万元银行借款提供</w:t>
      </w:r>
    </w:p>
    <w:p>
      <w:pPr>
        <w:spacing w:before="110"/>
        <w:ind w:left="141" w:right="0" w:firstLine="0"/>
        <w:jc w:val="left"/>
        <w:rPr>
          <w:rFonts w:ascii="Times New Roman" w:hAnsi="Times New Roman" w:cs="Times New Roman" w:eastAsia="Times New Roman" w:hint="default"/>
          <w:sz w:val="21"/>
          <w:szCs w:val="21"/>
        </w:rPr>
      </w:pPr>
      <w:r>
        <w:rPr>
          <w:rFonts w:ascii="宋体" w:hAnsi="宋体" w:cs="宋体" w:eastAsia="宋体" w:hint="default"/>
          <w:spacing w:val="13"/>
          <w:w w:val="94"/>
          <w:sz w:val="21"/>
          <w:szCs w:val="21"/>
        </w:rPr>
        <w:t>担</w:t>
      </w:r>
      <w:r>
        <w:rPr>
          <w:rFonts w:ascii="宋体" w:hAnsi="宋体" w:cs="宋体" w:eastAsia="宋体" w:hint="default"/>
          <w:spacing w:val="11"/>
          <w:w w:val="94"/>
          <w:sz w:val="21"/>
          <w:szCs w:val="21"/>
        </w:rPr>
        <w:t>保</w:t>
      </w:r>
      <w:r>
        <w:rPr>
          <w:rFonts w:ascii="宋体" w:hAnsi="宋体" w:cs="宋体" w:eastAsia="宋体" w:hint="default"/>
          <w:spacing w:val="-91"/>
          <w:w w:val="94"/>
          <w:sz w:val="21"/>
          <w:szCs w:val="21"/>
        </w:rPr>
        <w:t>，</w:t>
      </w:r>
      <w:r>
        <w:rPr>
          <w:rFonts w:ascii="宋体" w:hAnsi="宋体" w:cs="宋体" w:eastAsia="宋体" w:hint="default"/>
          <w:spacing w:val="13"/>
          <w:w w:val="94"/>
          <w:sz w:val="21"/>
          <w:szCs w:val="21"/>
        </w:rPr>
        <w:t>其</w:t>
      </w:r>
      <w:r>
        <w:rPr>
          <w:rFonts w:ascii="宋体" w:hAnsi="宋体" w:cs="宋体" w:eastAsia="宋体" w:hint="default"/>
          <w:w w:val="94"/>
          <w:sz w:val="21"/>
          <w:szCs w:val="21"/>
        </w:rPr>
        <w:t>中</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3,000</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向</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浦</w:t>
      </w:r>
      <w:r>
        <w:rPr>
          <w:rFonts w:ascii="宋体" w:hAnsi="宋体" w:cs="宋体" w:eastAsia="宋体" w:hint="default"/>
          <w:w w:val="100"/>
          <w:sz w:val="21"/>
          <w:szCs w:val="21"/>
        </w:rPr>
        <w:t>东</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分</w:t>
      </w:r>
      <w:r>
        <w:rPr>
          <w:rFonts w:ascii="宋体" w:hAnsi="宋体" w:cs="宋体" w:eastAsia="宋体" w:hint="default"/>
          <w:w w:val="100"/>
          <w:sz w:val="21"/>
          <w:szCs w:val="21"/>
        </w:rPr>
        <w:t>行借</w:t>
      </w:r>
      <w:r>
        <w:rPr>
          <w:rFonts w:ascii="宋体" w:hAnsi="宋体" w:cs="宋体" w:eastAsia="宋体" w:hint="default"/>
          <w:spacing w:val="-3"/>
          <w:w w:val="100"/>
          <w:sz w:val="21"/>
          <w:szCs w:val="21"/>
        </w:rPr>
        <w:t>款</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期限至</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w w:val="75"/>
          <w:sz w:val="21"/>
          <w:szCs w:val="21"/>
        </w:rPr>
        <w:t>日</w:t>
      </w:r>
      <w:r>
        <w:rPr>
          <w:rFonts w:ascii="宋体" w:hAnsi="宋体" w:cs="宋体" w:eastAsia="宋体" w:hint="default"/>
          <w:spacing w:val="-53"/>
          <w:sz w:val="21"/>
          <w:szCs w:val="21"/>
        </w:rPr>
        <w:t> </w:t>
      </w:r>
      <w:r>
        <w:rPr>
          <w:rFonts w:ascii="宋体" w:hAnsi="宋体" w:cs="宋体" w:eastAsia="宋体" w:hint="default"/>
          <w:spacing w:val="-55"/>
          <w:w w:val="75"/>
          <w:sz w:val="21"/>
          <w:szCs w:val="21"/>
        </w:rPr>
        <w:t>；</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p>
    <w:p>
      <w:pPr>
        <w:spacing w:line="331" w:lineRule="auto" w:before="107"/>
        <w:ind w:left="141" w:right="193" w:firstLine="0"/>
        <w:jc w:val="left"/>
        <w:rPr>
          <w:rFonts w:ascii="宋体" w:hAnsi="宋体" w:cs="宋体" w:eastAsia="宋体" w:hint="default"/>
          <w:sz w:val="21"/>
          <w:szCs w:val="21"/>
        </w:rPr>
      </w:pPr>
      <w:r>
        <w:rPr>
          <w:rFonts w:ascii="宋体" w:hAnsi="宋体" w:cs="宋体" w:eastAsia="宋体" w:hint="default"/>
          <w:sz w:val="21"/>
          <w:szCs w:val="21"/>
        </w:rPr>
        <w:t>万元向建设银行深圳市中心支行借款担保期限至</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r>
        <w:rPr>
          <w:rFonts w:ascii="宋体" w:hAnsi="宋体" w:cs="宋体" w:eastAsia="宋体" w:hint="default"/>
          <w:spacing w:val="-62"/>
          <w:sz w:val="21"/>
          <w:szCs w:val="21"/>
        </w:rPr>
        <w:t> </w:t>
      </w:r>
      <w:r>
        <w:rPr>
          <w:rFonts w:ascii="宋体" w:hAnsi="宋体" w:cs="宋体" w:eastAsia="宋体" w:hint="default"/>
          <w:spacing w:val="-8"/>
          <w:sz w:val="21"/>
          <w:szCs w:val="21"/>
        </w:rPr>
        <w:t>。两项担保均为历史遗留续</w:t>
      </w:r>
      <w:r>
        <w:rPr>
          <w:rFonts w:ascii="宋体" w:hAnsi="宋体" w:cs="宋体" w:eastAsia="宋体" w:hint="default"/>
          <w:w w:val="100"/>
          <w:sz w:val="21"/>
          <w:szCs w:val="21"/>
        </w:rPr>
        <w:t> </w:t>
      </w:r>
      <w:r>
        <w:rPr>
          <w:rFonts w:ascii="宋体" w:hAnsi="宋体" w:cs="宋体" w:eastAsia="宋体" w:hint="default"/>
          <w:sz w:val="21"/>
          <w:szCs w:val="21"/>
        </w:rPr>
        <w:t>贷担保。</w:t>
      </w:r>
    </w:p>
    <w:p>
      <w:pPr>
        <w:spacing w:line="240" w:lineRule="auto" w:before="1"/>
        <w:rPr>
          <w:rFonts w:ascii="宋体" w:hAnsi="宋体" w:cs="宋体" w:eastAsia="宋体" w:hint="default"/>
          <w:sz w:val="17"/>
          <w:szCs w:val="17"/>
        </w:rPr>
      </w:pPr>
    </w:p>
    <w:p>
      <w:pPr>
        <w:tabs>
          <w:tab w:pos="1821" w:val="left" w:leader="none"/>
        </w:tabs>
        <w:spacing w:line="350" w:lineRule="auto" w:before="0"/>
        <w:ind w:left="141" w:right="197" w:firstLine="420"/>
        <w:jc w:val="left"/>
        <w:rPr>
          <w:rFonts w:ascii="宋体" w:hAnsi="宋体" w:cs="宋体" w:eastAsia="宋体" w:hint="default"/>
          <w:sz w:val="21"/>
          <w:szCs w:val="21"/>
        </w:rPr>
      </w:pPr>
      <w:r>
        <w:rPr>
          <w:rFonts w:ascii="宋体" w:hAnsi="宋体" w:cs="宋体" w:eastAsia="宋体" w:hint="default"/>
          <w:spacing w:val="-1"/>
          <w:sz w:val="21"/>
          <w:szCs w:val="21"/>
        </w:rPr>
        <w:t>附注八、</w:t>
        <w:tab/>
      </w:r>
      <w:r>
        <w:rPr>
          <w:rFonts w:ascii="宋体" w:hAnsi="宋体" w:cs="宋体" w:eastAsia="宋体" w:hint="default"/>
          <w:spacing w:val="-5"/>
          <w:sz w:val="21"/>
          <w:szCs w:val="21"/>
        </w:rPr>
        <w:t>民润公司因经营亏损，账面反映已资不抵债，农产品公司与重组收购方洽谈</w:t>
      </w:r>
      <w:r>
        <w:rPr>
          <w:rFonts w:ascii="宋体" w:hAnsi="宋体" w:cs="宋体" w:eastAsia="宋体" w:hint="default"/>
          <w:w w:val="100"/>
          <w:sz w:val="21"/>
          <w:szCs w:val="21"/>
        </w:rPr>
        <w:t> </w:t>
      </w:r>
      <w:r>
        <w:rPr>
          <w:rFonts w:ascii="宋体" w:hAnsi="宋体" w:cs="宋体" w:eastAsia="宋体" w:hint="default"/>
          <w:sz w:val="21"/>
          <w:szCs w:val="21"/>
        </w:rPr>
        <w:t>民润公司重组事宜自</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年底起至审计报告日仍在进行中，尚未签署协议，担保损失存在不</w:t>
      </w:r>
    </w:p>
    <w:p>
      <w:pPr>
        <w:spacing w:before="3"/>
        <w:ind w:left="141" w:right="0" w:firstLine="0"/>
        <w:jc w:val="left"/>
        <w:rPr>
          <w:rFonts w:ascii="Times New Roman" w:hAnsi="Times New Roman" w:cs="Times New Roman" w:eastAsia="Times New Roman" w:hint="default"/>
          <w:sz w:val="21"/>
          <w:szCs w:val="21"/>
        </w:rPr>
      </w:pPr>
      <w:r>
        <w:rPr>
          <w:rFonts w:ascii="宋体" w:hAnsi="宋体" w:cs="宋体" w:eastAsia="宋体" w:hint="default"/>
          <w:spacing w:val="11"/>
          <w:sz w:val="21"/>
          <w:szCs w:val="21"/>
        </w:rPr>
        <w:t>确定性</w:t>
      </w:r>
      <w:r>
        <w:rPr>
          <w:rFonts w:ascii="宋体" w:hAnsi="宋体" w:cs="宋体" w:eastAsia="宋体" w:hint="default"/>
          <w:spacing w:val="-90"/>
          <w:sz w:val="21"/>
          <w:szCs w:val="21"/>
        </w:rPr>
        <w:t> </w:t>
      </w:r>
      <w:r>
        <w:rPr>
          <w:rFonts w:ascii="宋体" w:hAnsi="宋体" w:cs="宋体" w:eastAsia="宋体" w:hint="default"/>
          <w:spacing w:val="-5"/>
          <w:sz w:val="21"/>
          <w:szCs w:val="21"/>
        </w:rPr>
        <w:t>。本公司依据与重组方协商情况及民润公司资产负债状况估计，按两项担保总额的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w:t>
      </w:r>
    </w:p>
    <w:p>
      <w:pPr>
        <w:spacing w:before="107"/>
        <w:ind w:left="141" w:right="0" w:firstLine="0"/>
        <w:jc w:val="left"/>
        <w:rPr>
          <w:rFonts w:ascii="宋体" w:hAnsi="宋体" w:cs="宋体" w:eastAsia="宋体" w:hint="default"/>
          <w:sz w:val="21"/>
          <w:szCs w:val="21"/>
        </w:rPr>
      </w:pPr>
      <w:r>
        <w:rPr>
          <w:rFonts w:ascii="宋体" w:hAnsi="宋体" w:cs="宋体" w:eastAsia="宋体" w:hint="default"/>
          <w:sz w:val="21"/>
          <w:szCs w:val="21"/>
        </w:rPr>
        <w:t>（即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万元）比例预计损失，确认预计负债。</w:t>
      </w:r>
    </w:p>
    <w:p>
      <w:pPr>
        <w:spacing w:after="0"/>
        <w:jc w:val="left"/>
        <w:rPr>
          <w:rFonts w:ascii="宋体" w:hAnsi="宋体" w:cs="宋体" w:eastAsia="宋体" w:hint="default"/>
          <w:sz w:val="21"/>
          <w:szCs w:val="21"/>
        </w:rPr>
        <w:sectPr>
          <w:pgSz w:w="11910" w:h="16840"/>
          <w:pgMar w:header="943" w:footer="897" w:top="1640" w:bottom="1080" w:left="1560" w:right="1500"/>
        </w:sectPr>
      </w:pPr>
    </w:p>
    <w:p>
      <w:pPr>
        <w:spacing w:line="240" w:lineRule="auto" w:before="11"/>
        <w:rPr>
          <w:rFonts w:ascii="宋体" w:hAnsi="宋体" w:cs="宋体" w:eastAsia="宋体" w:hint="default"/>
          <w:sz w:val="18"/>
          <w:szCs w:val="18"/>
        </w:rPr>
      </w:pPr>
    </w:p>
    <w:p>
      <w:pPr>
        <w:tabs>
          <w:tab w:pos="1901" w:val="left" w:leader="none"/>
        </w:tabs>
        <w:spacing w:before="36"/>
        <w:ind w:left="641" w:right="0" w:firstLine="0"/>
        <w:jc w:val="left"/>
        <w:rPr>
          <w:rFonts w:ascii="宋体" w:hAnsi="宋体" w:cs="宋体" w:eastAsia="宋体" w:hint="default"/>
          <w:sz w:val="21"/>
          <w:szCs w:val="21"/>
        </w:rPr>
      </w:pPr>
      <w:r>
        <w:rPr>
          <w:rFonts w:ascii="宋体" w:hAnsi="宋体" w:cs="宋体" w:eastAsia="宋体" w:hint="default"/>
          <w:spacing w:val="-1"/>
          <w:sz w:val="21"/>
          <w:szCs w:val="21"/>
        </w:rPr>
        <w:t>附注九、</w:t>
        <w:tab/>
        <w:t>承诺事项</w:t>
      </w:r>
    </w:p>
    <w:p>
      <w:pPr>
        <w:spacing w:line="240" w:lineRule="auto" w:before="5"/>
        <w:rPr>
          <w:rFonts w:ascii="宋体" w:hAnsi="宋体" w:cs="宋体" w:eastAsia="宋体" w:hint="default"/>
          <w:sz w:val="23"/>
          <w:szCs w:val="23"/>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年度无需要披露的重要承诺事项。</w:t>
      </w:r>
    </w:p>
    <w:p>
      <w:pPr>
        <w:spacing w:line="240" w:lineRule="auto" w:before="13"/>
        <w:rPr>
          <w:rFonts w:ascii="宋体" w:hAnsi="宋体" w:cs="宋体" w:eastAsia="宋体" w:hint="default"/>
          <w:sz w:val="21"/>
          <w:szCs w:val="21"/>
        </w:rPr>
      </w:pPr>
    </w:p>
    <w:p>
      <w:pPr>
        <w:tabs>
          <w:tab w:pos="190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spacing w:val="-1"/>
          <w:sz w:val="21"/>
          <w:szCs w:val="21"/>
        </w:rPr>
        <w:t>附注十、</w:t>
        <w:tab/>
      </w:r>
      <w:r>
        <w:rPr>
          <w:rFonts w:ascii="宋体" w:hAnsi="宋体" w:cs="宋体" w:eastAsia="宋体" w:hint="default"/>
          <w:spacing w:val="-2"/>
          <w:sz w:val="21"/>
          <w:szCs w:val="21"/>
        </w:rPr>
        <w:t>资产负债表日后事项</w:t>
      </w:r>
    </w:p>
    <w:p>
      <w:pPr>
        <w:spacing w:line="240" w:lineRule="auto" w:before="3"/>
        <w:rPr>
          <w:rFonts w:ascii="宋体" w:hAnsi="宋体" w:cs="宋体" w:eastAsia="宋体" w:hint="default"/>
          <w:sz w:val="23"/>
          <w:szCs w:val="23"/>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重要的资产负债表日后事项说明</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387"/>
        <w:gridCol w:w="4536"/>
        <w:gridCol w:w="1560"/>
        <w:gridCol w:w="1130"/>
      </w:tblGrid>
      <w:tr>
        <w:trPr>
          <w:trHeight w:val="650" w:hRule="exact"/>
        </w:trPr>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6"/>
              <w:jc w:val="right"/>
              <w:rPr>
                <w:rFonts w:ascii="宋体" w:hAnsi="宋体" w:cs="宋体" w:eastAsia="宋体" w:hint="default"/>
                <w:sz w:val="18"/>
                <w:szCs w:val="18"/>
              </w:rPr>
            </w:pPr>
            <w:r>
              <w:rPr>
                <w:rFonts w:ascii="宋体" w:hAnsi="宋体" w:cs="宋体" w:eastAsia="宋体" w:hint="default"/>
                <w:sz w:val="18"/>
                <w:szCs w:val="18"/>
              </w:rPr>
              <w:t>项目</w:t>
            </w:r>
          </w:p>
        </w:tc>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328" w:lineRule="auto" w:before="44"/>
              <w:ind w:left="144" w:right="144"/>
              <w:jc w:val="left"/>
              <w:rPr>
                <w:rFonts w:ascii="宋体" w:hAnsi="宋体" w:cs="宋体" w:eastAsia="宋体" w:hint="default"/>
                <w:sz w:val="18"/>
                <w:szCs w:val="18"/>
              </w:rPr>
            </w:pPr>
            <w:r>
              <w:rPr>
                <w:rFonts w:ascii="宋体" w:hAnsi="宋体" w:cs="宋体" w:eastAsia="宋体" w:hint="default"/>
                <w:sz w:val="18"/>
                <w:szCs w:val="18"/>
              </w:rPr>
              <w:t>对财务状况和经 营成果的影响数</w:t>
            </w:r>
          </w:p>
        </w:tc>
        <w:tc>
          <w:tcPr>
            <w:tcW w:w="1130" w:type="dxa"/>
            <w:tcBorders>
              <w:top w:val="single" w:sz="4" w:space="0" w:color="000008"/>
              <w:left w:val="single" w:sz="4" w:space="0" w:color="000008"/>
              <w:bottom w:val="single" w:sz="4" w:space="0" w:color="000008"/>
              <w:right w:val="single" w:sz="4" w:space="0" w:color="000008"/>
            </w:tcBorders>
          </w:tcPr>
          <w:p>
            <w:pPr>
              <w:pStyle w:val="TableParagraph"/>
              <w:spacing w:line="328" w:lineRule="auto" w:before="44"/>
              <w:ind w:left="110" w:right="108"/>
              <w:jc w:val="left"/>
              <w:rPr>
                <w:rFonts w:ascii="宋体" w:hAnsi="宋体" w:cs="宋体" w:eastAsia="宋体" w:hint="default"/>
                <w:sz w:val="18"/>
                <w:szCs w:val="18"/>
              </w:rPr>
            </w:pPr>
            <w:r>
              <w:rPr>
                <w:rFonts w:ascii="宋体" w:hAnsi="宋体" w:cs="宋体" w:eastAsia="宋体" w:hint="default"/>
                <w:sz w:val="18"/>
                <w:szCs w:val="18"/>
              </w:rPr>
              <w:t>无法估计影 响数的原因</w:t>
            </w:r>
          </w:p>
        </w:tc>
      </w:tr>
      <w:tr>
        <w:trPr>
          <w:trHeight w:val="357" w:hRule="exact"/>
        </w:trPr>
        <w:tc>
          <w:tcPr>
            <w:tcW w:w="1387" w:type="dxa"/>
            <w:tcBorders>
              <w:top w:val="single" w:sz="4" w:space="0" w:color="000008"/>
              <w:left w:val="single" w:sz="4" w:space="0" w:color="000008"/>
              <w:bottom w:val="nil" w:sz="6" w:space="0" w:color="auto"/>
              <w:right w:val="single" w:sz="4" w:space="0" w:color="000008"/>
            </w:tcBorders>
          </w:tcPr>
          <w:p>
            <w:pPr/>
          </w:p>
        </w:tc>
        <w:tc>
          <w:tcPr>
            <w:tcW w:w="4536"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本公司第六届董事会三次会议通过以下对外投资事项：</w:t>
            </w:r>
          </w:p>
        </w:tc>
        <w:tc>
          <w:tcPr>
            <w:tcW w:w="1560" w:type="dxa"/>
            <w:tcBorders>
              <w:top w:val="single" w:sz="4" w:space="0" w:color="000008"/>
              <w:left w:val="single" w:sz="4" w:space="0" w:color="000008"/>
              <w:bottom w:val="nil" w:sz="6" w:space="0" w:color="auto"/>
              <w:right w:val="single" w:sz="4" w:space="0" w:color="000008"/>
            </w:tcBorders>
          </w:tcPr>
          <w:p>
            <w:pPr/>
          </w:p>
        </w:tc>
        <w:tc>
          <w:tcPr>
            <w:tcW w:w="1130" w:type="dxa"/>
            <w:vMerge w:val="restart"/>
            <w:tcBorders>
              <w:top w:val="single" w:sz="4" w:space="0" w:color="000008"/>
              <w:left w:val="single" w:sz="4" w:space="0" w:color="000008"/>
              <w:right w:val="single" w:sz="4" w:space="0" w:color="000008"/>
            </w:tcBorders>
          </w:tcPr>
          <w:p>
            <w:pPr/>
          </w:p>
        </w:tc>
      </w:tr>
      <w:tr>
        <w:trPr>
          <w:trHeight w:val="324"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4"/>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87"/>
                <w:sz w:val="18"/>
                <w:szCs w:val="18"/>
              </w:rPr>
              <w:t>、</w:t>
            </w:r>
            <w:r>
              <w:rPr>
                <w:rFonts w:ascii="宋体" w:hAnsi="宋体" w:cs="宋体" w:eastAsia="宋体" w:hint="default"/>
                <w:spacing w:val="-3"/>
                <w:sz w:val="18"/>
                <w:szCs w:val="18"/>
              </w:rPr>
              <w:t>本</w:t>
            </w:r>
            <w:r>
              <w:rPr>
                <w:rFonts w:ascii="宋体" w:hAnsi="宋体" w:cs="宋体" w:eastAsia="宋体" w:hint="default"/>
                <w:sz w:val="18"/>
                <w:szCs w:val="18"/>
              </w:rPr>
              <w:t>公司同意与深圳莱蒙泰盛信息咨询有限公司等公司</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15"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共同设立有限责任公司，在天津市静海县北环工业园建</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25"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设京津国际农产品物流加工区，该公司注册资本</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30000</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19"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万元，本公司现金出资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宋体" w:hAnsi="宋体" w:cs="宋体" w:eastAsia="宋体" w:hint="default"/>
                <w:sz w:val="18"/>
                <w:szCs w:val="18"/>
              </w:rPr>
              <w:t>股权。</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20"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9"/>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87"/>
                <w:sz w:val="18"/>
                <w:szCs w:val="18"/>
              </w:rPr>
              <w:t>、</w:t>
            </w:r>
            <w:r>
              <w:rPr>
                <w:rFonts w:ascii="宋体" w:hAnsi="宋体" w:cs="宋体" w:eastAsia="宋体" w:hint="default"/>
                <w:spacing w:val="-3"/>
                <w:sz w:val="18"/>
                <w:szCs w:val="18"/>
              </w:rPr>
              <w:t>本</w:t>
            </w:r>
            <w:r>
              <w:rPr>
                <w:rFonts w:ascii="宋体" w:hAnsi="宋体" w:cs="宋体" w:eastAsia="宋体" w:hint="default"/>
                <w:sz w:val="18"/>
                <w:szCs w:val="18"/>
              </w:rPr>
              <w:t>公司同意与天津市北辰区青光镇韩家墅农工商联合</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15"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公司共同投资成立天津韩家墅海吉星农产品物流有限</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19"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公司，合作经营、开发天津韩家墅农产品批发市场。该</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25"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公司注册资本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万元，本公司现金出资</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2550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20"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1279" w:hRule="exact"/>
        </w:trPr>
        <w:tc>
          <w:tcPr>
            <w:tcW w:w="1387" w:type="dxa"/>
            <w:tcBorders>
              <w:top w:val="nil" w:sz="6" w:space="0" w:color="auto"/>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551"/>
              <w:jc w:val="right"/>
              <w:rPr>
                <w:rFonts w:ascii="宋体" w:hAnsi="宋体" w:cs="宋体" w:eastAsia="宋体" w:hint="default"/>
                <w:sz w:val="18"/>
                <w:szCs w:val="18"/>
              </w:rPr>
            </w:pPr>
            <w:r>
              <w:rPr>
                <w:rFonts w:ascii="宋体" w:hAnsi="宋体" w:cs="宋体" w:eastAsia="宋体" w:hint="default"/>
                <w:sz w:val="18"/>
                <w:szCs w:val="18"/>
              </w:rPr>
              <w:t>投资事项</w:t>
            </w: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319" w:lineRule="auto" w:before="9"/>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、本公司同意与广州岭南国际企业集团有限公司共同投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资成立广州市深农岭南农产品批发市场有限公司，重点 新建“广州江高中央大厨房核心商务区项目”及整合区 域行业资源。该公司注册资本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万元，本公司出资</w:t>
            </w:r>
          </w:p>
        </w:tc>
        <w:tc>
          <w:tcPr>
            <w:tcW w:w="1560" w:type="dxa"/>
            <w:tcBorders>
              <w:top w:val="nil" w:sz="6" w:space="0" w:color="auto"/>
              <w:left w:val="single" w:sz="4" w:space="0" w:color="000008"/>
              <w:bottom w:val="nil" w:sz="6" w:space="0" w:color="auto"/>
              <w:right w:val="single" w:sz="4" w:space="0" w:color="000008"/>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10"/>
                <w:sz w:val="18"/>
                <w:szCs w:val="18"/>
              </w:rPr>
              <w:t>该等事项不影响</w:t>
            </w:r>
            <w:r>
              <w:rPr>
                <w:rFonts w:ascii="宋体" w:hAnsi="宋体" w:cs="宋体" w:eastAsia="宋体" w:hint="default"/>
                <w:sz w:val="18"/>
                <w:szCs w:val="18"/>
              </w:rPr>
              <w:t> 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经营成果</w:t>
            </w:r>
          </w:p>
        </w:tc>
        <w:tc>
          <w:tcPr>
            <w:tcW w:w="1130" w:type="dxa"/>
            <w:vMerge/>
            <w:tcBorders>
              <w:left w:val="single" w:sz="4" w:space="0" w:color="000008"/>
              <w:right w:val="single" w:sz="4" w:space="0" w:color="000008"/>
            </w:tcBorders>
          </w:tcPr>
          <w:p>
            <w:pPr/>
          </w:p>
        </w:tc>
      </w:tr>
      <w:tr>
        <w:trPr>
          <w:trHeight w:val="320"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6500 </w:t>
            </w:r>
            <w:r>
              <w:rPr>
                <w:rFonts w:ascii="宋体" w:hAnsi="宋体" w:cs="宋体" w:eastAsia="宋体" w:hint="default"/>
                <w:sz w:val="18"/>
                <w:szCs w:val="18"/>
              </w:rPr>
              <w:t>万元，占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股权。</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20"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87"/>
                <w:sz w:val="18"/>
                <w:szCs w:val="18"/>
              </w:rPr>
              <w:t>、</w:t>
            </w:r>
            <w:r>
              <w:rPr>
                <w:rFonts w:ascii="宋体" w:hAnsi="宋体" w:cs="宋体" w:eastAsia="宋体" w:hint="default"/>
                <w:spacing w:val="-3"/>
                <w:sz w:val="18"/>
                <w:szCs w:val="18"/>
              </w:rPr>
              <w:t>本</w:t>
            </w:r>
            <w:r>
              <w:rPr>
                <w:rFonts w:ascii="宋体" w:hAnsi="宋体" w:cs="宋体" w:eastAsia="宋体" w:hint="default"/>
                <w:sz w:val="18"/>
                <w:szCs w:val="18"/>
              </w:rPr>
              <w:t>公司同意与山东盖世农贸有限公司共同投资成立济</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14"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南市盖世农产品物流交易中心有限公司，合作经营管理</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25"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pacing w:val="4"/>
                <w:sz w:val="18"/>
                <w:szCs w:val="18"/>
              </w:rPr>
              <w:t>山东盖世农副产品市场。该公司注册资本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w:t>
            </w:r>
            <w:r>
              <w:rPr>
                <w:rFonts w:ascii="宋体" w:hAnsi="宋体" w:cs="宋体" w:eastAsia="宋体" w:hint="default"/>
                <w:spacing w:val="-72"/>
                <w:sz w:val="18"/>
                <w:szCs w:val="18"/>
              </w:rPr>
              <w:t> </w:t>
            </w:r>
            <w:r>
              <w:rPr>
                <w:rFonts w:ascii="宋体" w:hAnsi="宋体" w:cs="宋体" w:eastAsia="宋体" w:hint="default"/>
                <w:sz w:val="18"/>
                <w:szCs w:val="18"/>
              </w:rPr>
              <w:t>元</w:t>
            </w:r>
            <w:r>
              <w:rPr>
                <w:rFonts w:ascii="宋体" w:hAnsi="宋体" w:cs="宋体" w:eastAsia="宋体" w:hint="default"/>
                <w:spacing w:val="-72"/>
                <w:sz w:val="18"/>
                <w:szCs w:val="18"/>
              </w:rPr>
              <w:t> </w:t>
            </w:r>
            <w:r>
              <w:rPr>
                <w:rFonts w:ascii="宋体" w:hAnsi="宋体" w:cs="宋体" w:eastAsia="宋体" w:hint="default"/>
                <w:sz w:val="18"/>
                <w:szCs w:val="18"/>
              </w:rPr>
              <w:t>，</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20"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本公司现金出资 </w:t>
            </w:r>
            <w:r>
              <w:rPr>
                <w:rFonts w:ascii="Times New Roman" w:hAnsi="Times New Roman" w:cs="Times New Roman" w:eastAsia="Times New Roman" w:hint="default"/>
                <w:sz w:val="18"/>
                <w:szCs w:val="18"/>
              </w:rPr>
              <w:t>1530  </w:t>
            </w:r>
            <w:r>
              <w:rPr>
                <w:rFonts w:ascii="宋体" w:hAnsi="宋体" w:cs="宋体" w:eastAsia="宋体" w:hint="default"/>
                <w:sz w:val="18"/>
                <w:szCs w:val="18"/>
              </w:rPr>
              <w:t>万元，占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19"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9"/>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87"/>
                <w:sz w:val="18"/>
                <w:szCs w:val="18"/>
              </w:rPr>
              <w:t>、</w:t>
            </w:r>
            <w:r>
              <w:rPr>
                <w:rFonts w:ascii="宋体" w:hAnsi="宋体" w:cs="宋体" w:eastAsia="宋体" w:hint="default"/>
                <w:spacing w:val="-3"/>
                <w:sz w:val="18"/>
                <w:szCs w:val="18"/>
              </w:rPr>
              <w:t>本</w:t>
            </w:r>
            <w:r>
              <w:rPr>
                <w:rFonts w:ascii="宋体" w:hAnsi="宋体" w:cs="宋体" w:eastAsia="宋体" w:hint="default"/>
                <w:sz w:val="18"/>
                <w:szCs w:val="18"/>
              </w:rPr>
              <w:t>公司同意对沈阳海吉星农产品物流有限公司进行增</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20"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pacing w:val="-4"/>
                <w:sz w:val="18"/>
                <w:szCs w:val="18"/>
              </w:rPr>
              <w:t>资，注册资本由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万元增至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 </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万元，所增加注</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15"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册资本由股东双方按原出资比例以现金认缴，其中本公</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324" w:hRule="exact"/>
        </w:trPr>
        <w:tc>
          <w:tcPr>
            <w:tcW w:w="1387" w:type="dxa"/>
            <w:tcBorders>
              <w:top w:val="nil" w:sz="6" w:space="0" w:color="auto"/>
              <w:left w:val="single" w:sz="4" w:space="0" w:color="000008"/>
              <w:bottom w:val="nil" w:sz="6" w:space="0" w:color="auto"/>
              <w:right w:val="single" w:sz="4" w:space="0" w:color="000008"/>
            </w:tcBorders>
          </w:tcPr>
          <w:p>
            <w:pPr/>
          </w:p>
        </w:tc>
        <w:tc>
          <w:tcPr>
            <w:tcW w:w="4536" w:type="dxa"/>
            <w:tcBorders>
              <w:top w:val="nil" w:sz="6" w:space="0" w:color="auto"/>
              <w:left w:val="single" w:sz="4" w:space="0" w:color="000008"/>
              <w:bottom w:val="nil" w:sz="6" w:space="0" w:color="auto"/>
              <w:right w:val="single" w:sz="4" w:space="0" w:color="000008"/>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司出资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pacing w:val="-3"/>
                <w:sz w:val="18"/>
                <w:szCs w:val="18"/>
              </w:rPr>
              <w:t>增</w:t>
            </w:r>
            <w:r>
              <w:rPr>
                <w:rFonts w:ascii="宋体" w:hAnsi="宋体" w:cs="宋体" w:eastAsia="宋体" w:hint="default"/>
                <w:sz w:val="18"/>
                <w:szCs w:val="18"/>
              </w:rPr>
              <w:t>资到位时间为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8"/>
              <w:bottom w:val="nil" w:sz="6" w:space="0" w:color="auto"/>
              <w:right w:val="single" w:sz="4" w:space="0" w:color="000008"/>
            </w:tcBorders>
          </w:tcPr>
          <w:p>
            <w:pPr/>
          </w:p>
        </w:tc>
        <w:tc>
          <w:tcPr>
            <w:tcW w:w="1130" w:type="dxa"/>
            <w:vMerge/>
            <w:tcBorders>
              <w:left w:val="single" w:sz="4" w:space="0" w:color="000008"/>
              <w:right w:val="single" w:sz="4" w:space="0" w:color="000008"/>
            </w:tcBorders>
          </w:tcPr>
          <w:p>
            <w:pPr/>
          </w:p>
        </w:tc>
      </w:tr>
      <w:tr>
        <w:trPr>
          <w:trHeight w:val="289" w:hRule="exact"/>
        </w:trPr>
        <w:tc>
          <w:tcPr>
            <w:tcW w:w="1387" w:type="dxa"/>
            <w:tcBorders>
              <w:top w:val="nil" w:sz="6" w:space="0" w:color="auto"/>
              <w:left w:val="single" w:sz="4" w:space="0" w:color="000008"/>
              <w:bottom w:val="single" w:sz="4" w:space="0" w:color="000008"/>
              <w:right w:val="single" w:sz="4" w:space="0" w:color="000008"/>
            </w:tcBorders>
          </w:tcPr>
          <w:p>
            <w:pPr/>
          </w:p>
        </w:tc>
        <w:tc>
          <w:tcPr>
            <w:tcW w:w="4536"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前。</w:t>
            </w:r>
          </w:p>
        </w:tc>
        <w:tc>
          <w:tcPr>
            <w:tcW w:w="1560" w:type="dxa"/>
            <w:tcBorders>
              <w:top w:val="nil" w:sz="6" w:space="0" w:color="auto"/>
              <w:left w:val="single" w:sz="4" w:space="0" w:color="000008"/>
              <w:bottom w:val="single" w:sz="4" w:space="0" w:color="000008"/>
              <w:right w:val="single" w:sz="4" w:space="0" w:color="000008"/>
            </w:tcBorders>
          </w:tcPr>
          <w:p>
            <w:pPr/>
          </w:p>
        </w:tc>
        <w:tc>
          <w:tcPr>
            <w:tcW w:w="1130" w:type="dxa"/>
            <w:vMerge/>
            <w:tcBorders>
              <w:left w:val="single" w:sz="4" w:space="0" w:color="000008"/>
              <w:bottom w:val="single" w:sz="4" w:space="0" w:color="000008"/>
              <w:right w:val="single" w:sz="4" w:space="0" w:color="000008"/>
            </w:tcBorders>
          </w:tcPr>
          <w:p>
            <w:pPr/>
          </w:p>
        </w:tc>
      </w:tr>
    </w:tbl>
    <w:p>
      <w:pPr>
        <w:spacing w:line="240" w:lineRule="auto" w:before="4"/>
        <w:rPr>
          <w:rFonts w:ascii="宋体" w:hAnsi="宋体" w:cs="宋体" w:eastAsia="宋体" w:hint="default"/>
          <w:sz w:val="16"/>
          <w:szCs w:val="16"/>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资产负债表日后利润分配情况说明</w:t>
      </w:r>
    </w:p>
    <w:p>
      <w:pPr>
        <w:spacing w:line="240" w:lineRule="auto" w:before="11"/>
        <w:rPr>
          <w:rFonts w:ascii="宋体" w:hAnsi="宋体" w:cs="宋体" w:eastAsia="宋体" w:hint="default"/>
          <w:sz w:val="25"/>
          <w:szCs w:val="25"/>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本公司第六届董事会第四次会议于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日通过决议，批准本财务报告，按净</w:t>
      </w:r>
    </w:p>
    <w:p>
      <w:pPr>
        <w:spacing w:line="240" w:lineRule="auto" w:before="7"/>
        <w:rPr>
          <w:rFonts w:ascii="宋体" w:hAnsi="宋体" w:cs="宋体" w:eastAsia="宋体" w:hint="default"/>
          <w:sz w:val="20"/>
          <w:szCs w:val="20"/>
        </w:rPr>
      </w:pPr>
    </w:p>
    <w:p>
      <w:pPr>
        <w:spacing w:before="0"/>
        <w:ind w:left="221" w:right="0"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利润的</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取</w:t>
      </w:r>
      <w:r>
        <w:rPr>
          <w:rFonts w:ascii="宋体" w:hAnsi="宋体" w:cs="宋体" w:eastAsia="宋体" w:hint="default"/>
          <w:w w:val="100"/>
          <w:sz w:val="21"/>
          <w:szCs w:val="21"/>
        </w:rPr>
        <w:t>法</w:t>
      </w:r>
      <w:r>
        <w:rPr>
          <w:rFonts w:ascii="宋体" w:hAnsi="宋体" w:cs="宋体" w:eastAsia="宋体" w:hint="default"/>
          <w:spacing w:val="-3"/>
          <w:w w:val="100"/>
          <w:sz w:val="21"/>
          <w:szCs w:val="21"/>
        </w:rPr>
        <w:t>定</w:t>
      </w:r>
      <w:r>
        <w:rPr>
          <w:rFonts w:ascii="宋体" w:hAnsi="宋体" w:cs="宋体" w:eastAsia="宋体" w:hint="default"/>
          <w:w w:val="100"/>
          <w:sz w:val="21"/>
          <w:szCs w:val="21"/>
        </w:rPr>
        <w:t>盈</w:t>
      </w:r>
      <w:r>
        <w:rPr>
          <w:rFonts w:ascii="宋体" w:hAnsi="宋体" w:cs="宋体" w:eastAsia="宋体" w:hint="default"/>
          <w:spacing w:val="-3"/>
          <w:w w:val="100"/>
          <w:sz w:val="21"/>
          <w:szCs w:val="21"/>
        </w:rPr>
        <w:t>余</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金</w:t>
      </w:r>
      <w:r>
        <w:rPr>
          <w:rFonts w:ascii="宋体" w:hAnsi="宋体" w:cs="宋体" w:eastAsia="宋体" w:hint="default"/>
          <w:spacing w:val="-92"/>
          <w:w w:val="100"/>
          <w:sz w:val="21"/>
          <w:szCs w:val="21"/>
        </w:rPr>
        <w:t>，</w:t>
      </w:r>
      <w:r>
        <w:rPr>
          <w:rFonts w:ascii="宋体" w:hAnsi="宋体" w:cs="宋体" w:eastAsia="宋体" w:hint="default"/>
          <w:w w:val="100"/>
          <w:sz w:val="21"/>
          <w:szCs w:val="21"/>
        </w:rPr>
        <w:t>以</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末</w:t>
      </w:r>
      <w:r>
        <w:rPr>
          <w:rFonts w:ascii="宋体" w:hAnsi="宋体" w:cs="宋体" w:eastAsia="宋体" w:hint="default"/>
          <w:w w:val="100"/>
          <w:sz w:val="21"/>
          <w:szCs w:val="21"/>
        </w:rPr>
        <w:t>总股本</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768,507,851</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w:t>
      </w:r>
      <w:r>
        <w:rPr>
          <w:rFonts w:ascii="宋体" w:hAnsi="宋体" w:cs="宋体" w:eastAsia="宋体" w:hint="default"/>
          <w:w w:val="100"/>
          <w:sz w:val="21"/>
          <w:szCs w:val="21"/>
        </w:rPr>
        <w:t>股东每</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10</w:t>
      </w:r>
    </w:p>
    <w:p>
      <w:pPr>
        <w:spacing w:line="240" w:lineRule="auto" w:before="4"/>
        <w:rPr>
          <w:rFonts w:ascii="Times New Roman" w:hAnsi="Times New Roman" w:cs="Times New Roman" w:eastAsia="Times New Roman" w:hint="default"/>
          <w:sz w:val="23"/>
          <w:szCs w:val="23"/>
        </w:rPr>
      </w:pPr>
    </w:p>
    <w:p>
      <w:pPr>
        <w:spacing w:line="463" w:lineRule="auto" w:before="0"/>
        <w:ind w:left="221" w:right="140" w:firstLine="0"/>
        <w:jc w:val="left"/>
        <w:rPr>
          <w:rFonts w:ascii="宋体" w:hAnsi="宋体" w:cs="宋体" w:eastAsia="宋体" w:hint="default"/>
          <w:sz w:val="21"/>
          <w:szCs w:val="21"/>
        </w:rPr>
      </w:pPr>
      <w:r>
        <w:rPr>
          <w:rFonts w:ascii="宋体" w:hAnsi="宋体" w:cs="宋体" w:eastAsia="宋体" w:hint="default"/>
          <w:sz w:val="21"/>
          <w:szCs w:val="21"/>
        </w:rPr>
        <w:t>股派发现金红利</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元（含税），共计派发红利</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76,850,785.10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元。本年度暂不进行资本公积金</w:t>
      </w:r>
      <w:r>
        <w:rPr>
          <w:rFonts w:ascii="宋体" w:hAnsi="宋体" w:cs="宋体" w:eastAsia="宋体" w:hint="default"/>
          <w:w w:val="100"/>
          <w:sz w:val="21"/>
          <w:szCs w:val="21"/>
        </w:rPr>
        <w:t> </w:t>
      </w:r>
      <w:r>
        <w:rPr>
          <w:rFonts w:ascii="宋体" w:hAnsi="宋体" w:cs="宋体" w:eastAsia="宋体" w:hint="default"/>
          <w:sz w:val="21"/>
          <w:szCs w:val="21"/>
        </w:rPr>
        <w:t>转增股本。该项议案尚须股东大会审议批准。</w:t>
      </w:r>
    </w:p>
    <w:p>
      <w:pPr>
        <w:spacing w:after="0" w:line="463" w:lineRule="auto"/>
        <w:jc w:val="left"/>
        <w:rPr>
          <w:rFonts w:ascii="宋体" w:hAnsi="宋体" w:cs="宋体" w:eastAsia="宋体" w:hint="default"/>
          <w:sz w:val="21"/>
          <w:szCs w:val="21"/>
        </w:rPr>
        <w:sectPr>
          <w:pgSz w:w="11910" w:h="16840"/>
          <w:pgMar w:header="943" w:footer="897" w:top="1640" w:bottom="1080" w:left="1480" w:right="1560"/>
        </w:sectPr>
      </w:pPr>
    </w:p>
    <w:p>
      <w:pPr>
        <w:spacing w:line="240" w:lineRule="auto" w:before="9"/>
        <w:rPr>
          <w:rFonts w:ascii="宋体" w:hAnsi="宋体" w:cs="宋体" w:eastAsia="宋体" w:hint="default"/>
          <w:sz w:val="15"/>
          <w:szCs w:val="15"/>
        </w:rPr>
      </w:pPr>
    </w:p>
    <w:p>
      <w:pPr>
        <w:spacing w:before="38"/>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其他资产负债表日后事项说明</w:t>
      </w:r>
    </w:p>
    <w:p>
      <w:pPr>
        <w:spacing w:line="240" w:lineRule="auto" w:before="5"/>
        <w:rPr>
          <w:rFonts w:ascii="宋体" w:hAnsi="宋体" w:cs="宋体" w:eastAsia="宋体" w:hint="default"/>
          <w:sz w:val="17"/>
          <w:szCs w:val="17"/>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月，本公司在深圳联合产权交易所公开挂牌转让本公司及子公司果菜公司持有</w:t>
      </w:r>
    </w:p>
    <w:p>
      <w:pPr>
        <w:spacing w:before="47"/>
        <w:ind w:left="221" w:right="0" w:firstLine="0"/>
        <w:jc w:val="both"/>
        <w:rPr>
          <w:rFonts w:ascii="宋体" w:hAnsi="宋体" w:cs="宋体" w:eastAsia="宋体" w:hint="default"/>
          <w:sz w:val="21"/>
          <w:szCs w:val="21"/>
        </w:rPr>
      </w:pPr>
      <w:r>
        <w:rPr>
          <w:rFonts w:ascii="宋体" w:hAnsi="宋体" w:cs="宋体" w:eastAsia="宋体" w:hint="default"/>
          <w:sz w:val="21"/>
          <w:szCs w:val="21"/>
        </w:rPr>
        <w:t>的深圳市西岸渔人码头商业有限公司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股权，挂牌起止日期为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spacing w:before="50"/>
        <w:ind w:left="22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日。截止审计报告日，该股权尚未转让。</w:t>
      </w:r>
    </w:p>
    <w:p>
      <w:pPr>
        <w:spacing w:line="240" w:lineRule="auto" w:before="1"/>
        <w:rPr>
          <w:rFonts w:ascii="宋体" w:hAnsi="宋体" w:cs="宋体" w:eastAsia="宋体" w:hint="default"/>
          <w:sz w:val="19"/>
          <w:szCs w:val="19"/>
        </w:rPr>
      </w:pPr>
    </w:p>
    <w:p>
      <w:pPr>
        <w:tabs>
          <w:tab w:pos="190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spacing w:val="-2"/>
          <w:sz w:val="21"/>
          <w:szCs w:val="21"/>
        </w:rPr>
        <w:t>附注十一、</w:t>
        <w:tab/>
      </w:r>
      <w:r>
        <w:rPr>
          <w:rFonts w:ascii="宋体" w:hAnsi="宋体" w:cs="宋体" w:eastAsia="宋体" w:hint="default"/>
          <w:spacing w:val="-1"/>
          <w:sz w:val="21"/>
          <w:szCs w:val="21"/>
        </w:rPr>
        <w:t>其它重要事项</w:t>
      </w:r>
    </w:p>
    <w:p>
      <w:pPr>
        <w:spacing w:line="240" w:lineRule="auto" w:before="1"/>
        <w:rPr>
          <w:rFonts w:ascii="宋体" w:hAnsi="宋体" w:cs="宋体" w:eastAsia="宋体" w:hint="default"/>
          <w:sz w:val="20"/>
          <w:szCs w:val="20"/>
        </w:rPr>
      </w:pPr>
    </w:p>
    <w:p>
      <w:pPr>
        <w:spacing w:line="297" w:lineRule="auto" w:before="0"/>
        <w:ind w:left="221" w:right="133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年本公司及子公司果菜公司与深圳市民润农产品配送连锁商业有限公司（以下简称</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民润公司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）另两家股东</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英天有限公司和广狮有限公司（以下简称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外资股东</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）签订《增</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9"/>
          <w:w w:val="100"/>
          <w:sz w:val="21"/>
          <w:szCs w:val="21"/>
        </w:rPr>
        <w:t>资认购协议》，协议约定拟由外资股东投资</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6"/>
          <w:w w:val="100"/>
          <w:sz w:val="21"/>
          <w:szCs w:val="21"/>
        </w:rPr>
        <w:t> </w:t>
      </w:r>
      <w:r>
        <w:rPr>
          <w:rFonts w:ascii="宋体" w:hAnsi="宋体" w:cs="宋体" w:eastAsia="宋体" w:hint="default"/>
          <w:spacing w:val="-3"/>
          <w:w w:val="100"/>
          <w:sz w:val="21"/>
          <w:szCs w:val="21"/>
        </w:rPr>
        <w:t>亿元人民币单方对民润公司进行增资扩股，增资</w:t>
      </w:r>
    </w:p>
    <w:p>
      <w:pPr>
        <w:spacing w:line="297" w:lineRule="auto" w:before="13"/>
        <w:ind w:left="221" w:right="1335" w:firstLine="0"/>
        <w:jc w:val="both"/>
        <w:rPr>
          <w:rFonts w:ascii="宋体" w:hAnsi="宋体" w:cs="宋体" w:eastAsia="宋体" w:hint="default"/>
          <w:sz w:val="21"/>
          <w:szCs w:val="21"/>
        </w:rPr>
      </w:pPr>
      <w:r>
        <w:rPr>
          <w:rFonts w:ascii="宋体" w:hAnsi="宋体" w:cs="宋体" w:eastAsia="宋体" w:hint="default"/>
          <w:sz w:val="21"/>
          <w:szCs w:val="21"/>
        </w:rPr>
        <w:t>扩股后民润公司的注册资本由人民币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26,800</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万元增加至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36,800</w:t>
      </w:r>
      <w:r>
        <w:rPr>
          <w:rFonts w:ascii="Times New Roman" w:hAnsi="Times New Roman" w:cs="Times New Roman" w:eastAsia="Times New Roman" w:hint="default"/>
          <w:spacing w:val="41"/>
          <w:sz w:val="21"/>
          <w:szCs w:val="21"/>
        </w:rPr>
        <w:t> </w:t>
      </w:r>
      <w:r>
        <w:rPr>
          <w:rFonts w:ascii="宋体" w:hAnsi="宋体" w:cs="宋体" w:eastAsia="宋体" w:hint="default"/>
          <w:spacing w:val="10"/>
          <w:sz w:val="21"/>
          <w:szCs w:val="21"/>
        </w:rPr>
        <w:t>万元</w:t>
      </w:r>
      <w:r>
        <w:rPr>
          <w:rFonts w:ascii="宋体" w:hAnsi="宋体" w:cs="宋体" w:eastAsia="宋体" w:hint="default"/>
          <w:spacing w:val="-89"/>
          <w:sz w:val="21"/>
          <w:szCs w:val="21"/>
        </w:rPr>
        <w:t> </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日接国</w:t>
      </w:r>
      <w:r>
        <w:rPr>
          <w:rFonts w:ascii="宋体" w:hAnsi="宋体" w:cs="宋体" w:eastAsia="宋体" w:hint="default"/>
          <w:w w:val="100"/>
          <w:sz w:val="21"/>
          <w:szCs w:val="21"/>
        </w:rPr>
        <w:t> </w:t>
      </w:r>
      <w:r>
        <w:rPr>
          <w:rFonts w:ascii="宋体" w:hAnsi="宋体" w:cs="宋体" w:eastAsia="宋体" w:hint="default"/>
          <w:sz w:val="21"/>
          <w:szCs w:val="21"/>
        </w:rPr>
        <w:t>家商务部</w:t>
      </w:r>
      <w:r>
        <w:rPr>
          <w:rFonts w:ascii="Times New Roman" w:hAnsi="Times New Roman" w:cs="Times New Roman" w:eastAsia="Times New Roman" w:hint="default"/>
          <w:sz w:val="21"/>
          <w:szCs w:val="21"/>
        </w:rPr>
        <w:t>“</w:t>
      </w:r>
      <w:r>
        <w:rPr>
          <w:rFonts w:ascii="宋体" w:hAnsi="宋体" w:cs="宋体" w:eastAsia="宋体" w:hint="default"/>
          <w:sz w:val="21"/>
          <w:szCs w:val="21"/>
        </w:rPr>
        <w:t>商资批</w:t>
      </w:r>
      <w:r>
        <w:rPr>
          <w:rFonts w:ascii="Times New Roman" w:hAnsi="Times New Roman" w:cs="Times New Roman" w:eastAsia="Times New Roman" w:hint="default"/>
          <w:sz w:val="21"/>
          <w:szCs w:val="21"/>
        </w:rPr>
        <w:t>[2008]657</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文《商务部关于同意深圳市民润农产品配送连锁商业有限公司</w:t>
      </w:r>
      <w:r>
        <w:rPr>
          <w:rFonts w:ascii="宋体" w:hAnsi="宋体" w:cs="宋体" w:eastAsia="宋体" w:hint="default"/>
          <w:spacing w:val="-99"/>
          <w:sz w:val="21"/>
          <w:szCs w:val="21"/>
        </w:rPr>
        <w:t> </w:t>
      </w:r>
      <w:r>
        <w:rPr>
          <w:rFonts w:ascii="宋体" w:hAnsi="宋体" w:cs="宋体" w:eastAsia="宋体" w:hint="default"/>
          <w:spacing w:val="-5"/>
          <w:w w:val="100"/>
          <w:sz w:val="21"/>
          <w:szCs w:val="21"/>
        </w:rPr>
        <w:t>增资和股权变更的批复》，但民润公司外方股东的实际控制人</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汇科系统（香港）有限公司</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的增资款一直未注入民润公司，导致民润公司增资事宜无法完成。</w:t>
      </w:r>
    </w:p>
    <w:p>
      <w:pPr>
        <w:spacing w:line="240" w:lineRule="auto" w:before="5"/>
        <w:rPr>
          <w:rFonts w:ascii="宋体" w:hAnsi="宋体" w:cs="宋体" w:eastAsia="宋体" w:hint="default"/>
          <w:sz w:val="16"/>
          <w:szCs w:val="16"/>
        </w:rPr>
      </w:pPr>
    </w:p>
    <w:p>
      <w:pPr>
        <w:spacing w:line="307" w:lineRule="auto" w:before="0"/>
        <w:ind w:left="221" w:right="133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月，民润公司与华润（集团）有限公司（以下简称华润公司）开始洽谈合作事</w:t>
      </w:r>
      <w:r>
        <w:rPr>
          <w:rFonts w:ascii="宋体" w:hAnsi="宋体" w:cs="宋体" w:eastAsia="宋体" w:hint="default"/>
          <w:w w:val="100"/>
          <w:sz w:val="21"/>
          <w:szCs w:val="21"/>
        </w:rPr>
        <w:t> </w:t>
      </w:r>
      <w:r>
        <w:rPr>
          <w:rFonts w:ascii="宋体" w:hAnsi="宋体" w:cs="宋体" w:eastAsia="宋体" w:hint="default"/>
          <w:sz w:val="21"/>
          <w:szCs w:val="21"/>
        </w:rPr>
        <w:t>宜。</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月，民润公司股东举行了临时会议，经讨论，全体股东一致同意由华润公司指</w:t>
      </w:r>
      <w:r>
        <w:rPr>
          <w:rFonts w:ascii="宋体" w:hAnsi="宋体" w:cs="宋体" w:eastAsia="宋体" w:hint="default"/>
          <w:spacing w:val="-101"/>
          <w:sz w:val="21"/>
          <w:szCs w:val="21"/>
        </w:rPr>
        <w:t> </w:t>
      </w:r>
      <w:r>
        <w:rPr>
          <w:rFonts w:ascii="宋体" w:hAnsi="宋体" w:cs="宋体" w:eastAsia="宋体" w:hint="default"/>
          <w:sz w:val="21"/>
          <w:szCs w:val="21"/>
        </w:rPr>
        <w:t>定的、以谢刚先生为负责人的工作团队接替原民润公司管理团队负责民润公司的经营管理工</w:t>
      </w:r>
      <w:r>
        <w:rPr>
          <w:rFonts w:ascii="宋体" w:hAnsi="宋体" w:cs="宋体" w:eastAsia="宋体" w:hint="default"/>
          <w:spacing w:val="-57"/>
          <w:sz w:val="21"/>
          <w:szCs w:val="21"/>
        </w:rPr>
        <w:t> </w:t>
      </w:r>
      <w:r>
        <w:rPr>
          <w:rFonts w:ascii="宋体" w:hAnsi="宋体" w:cs="宋体" w:eastAsia="宋体" w:hint="default"/>
          <w:sz w:val="21"/>
          <w:szCs w:val="21"/>
        </w:rPr>
        <w:t>作。</w:t>
      </w:r>
      <w:r>
        <w:rPr>
          <w:rFonts w:ascii="宋体" w:hAnsi="宋体" w:cs="宋体" w:eastAsia="宋体" w:hint="default"/>
          <w:spacing w:val="-7"/>
          <w:sz w:val="21"/>
          <w:szCs w:val="21"/>
        </w:rPr>
        <w:t> </w:t>
      </w:r>
      <w:r>
        <w:rPr>
          <w:rFonts w:ascii="宋体" w:hAnsi="宋体" w:cs="宋体" w:eastAsia="宋体" w:hint="default"/>
          <w:sz w:val="21"/>
          <w:szCs w:val="21"/>
        </w:rPr>
        <w:t>同意授权华润公司指定的谢刚先生行使民润公司总经理的日常经营管理权利，同意其在</w:t>
      </w:r>
      <w:r>
        <w:rPr>
          <w:rFonts w:ascii="宋体" w:hAnsi="宋体" w:cs="宋体" w:eastAsia="宋体" w:hint="default"/>
          <w:w w:val="100"/>
          <w:sz w:val="21"/>
          <w:szCs w:val="21"/>
        </w:rPr>
        <w:t> </w:t>
      </w:r>
      <w:r>
        <w:rPr>
          <w:rFonts w:ascii="宋体" w:hAnsi="宋体" w:cs="宋体" w:eastAsia="宋体" w:hint="default"/>
          <w:spacing w:val="-5"/>
          <w:sz w:val="21"/>
          <w:szCs w:val="21"/>
        </w:rPr>
        <w:t>民润公司《章程》授权范围内使用民润公司公章，管理民润公司资金、资产与人员，并开展经</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营活动。</w:t>
      </w:r>
    </w:p>
    <w:p>
      <w:pPr>
        <w:spacing w:line="240" w:lineRule="auto" w:before="8"/>
        <w:rPr>
          <w:rFonts w:ascii="宋体" w:hAnsi="宋体" w:cs="宋体" w:eastAsia="宋体" w:hint="default"/>
          <w:sz w:val="15"/>
          <w:szCs w:val="15"/>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日，民润公司已资不抵债，本公司本部账面反映对民润公司的债权</w:t>
      </w:r>
    </w:p>
    <w:p>
      <w:pPr>
        <w:spacing w:line="304" w:lineRule="auto" w:before="69"/>
        <w:ind w:left="221" w:right="1335"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142,741,972.95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元，另为民润公司向银行借款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亿元提供担保。本公司正就该项债权及担</w:t>
      </w:r>
      <w:r>
        <w:rPr>
          <w:rFonts w:ascii="宋体" w:hAnsi="宋体" w:cs="宋体" w:eastAsia="宋体" w:hint="default"/>
          <w:w w:val="100"/>
          <w:sz w:val="21"/>
          <w:szCs w:val="21"/>
        </w:rPr>
        <w:t> </w:t>
      </w:r>
      <w:r>
        <w:rPr>
          <w:rFonts w:ascii="宋体" w:hAnsi="宋体" w:cs="宋体" w:eastAsia="宋体" w:hint="default"/>
          <w:spacing w:val="-5"/>
          <w:w w:val="100"/>
          <w:sz w:val="21"/>
          <w:szCs w:val="21"/>
        </w:rPr>
        <w:t>保与华润公司进行重组协商，本公司依据民润公司的资产负债状况及与华润公司的协商情况对</w:t>
      </w:r>
      <w:r>
        <w:rPr>
          <w:rFonts w:ascii="宋体" w:hAnsi="宋体" w:cs="宋体" w:eastAsia="宋体" w:hint="default"/>
          <w:spacing w:val="-67"/>
          <w:w w:val="100"/>
          <w:sz w:val="21"/>
          <w:szCs w:val="21"/>
        </w:rPr>
        <w:t> </w:t>
      </w:r>
      <w:r>
        <w:rPr>
          <w:rFonts w:ascii="宋体" w:hAnsi="宋体" w:cs="宋体" w:eastAsia="宋体" w:hint="default"/>
          <w:spacing w:val="-67"/>
          <w:w w:val="100"/>
          <w:sz w:val="21"/>
          <w:szCs w:val="21"/>
        </w:rPr>
      </w:r>
      <w:r>
        <w:rPr>
          <w:rFonts w:ascii="宋体" w:hAnsi="宋体" w:cs="宋体" w:eastAsia="宋体" w:hint="default"/>
          <w:spacing w:val="-2"/>
          <w:w w:val="100"/>
          <w:sz w:val="21"/>
          <w:szCs w:val="21"/>
        </w:rPr>
        <w:t>债权全额计提了坏账准备（本报告期计提</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71,010,395.53</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13"/>
          <w:w w:val="100"/>
          <w:sz w:val="21"/>
          <w:szCs w:val="21"/>
        </w:rPr>
        <w:t>元），对借款担保金额</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亿元按</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1"/>
          <w:w w:val="100"/>
          <w:sz w:val="21"/>
          <w:szCs w:val="21"/>
        </w:rPr>
        <w:t>50%</w:t>
      </w:r>
    </w:p>
    <w:p>
      <w:pPr>
        <w:spacing w:line="297" w:lineRule="auto" w:before="6"/>
        <w:ind w:left="221" w:right="1337" w:hanging="15"/>
        <w:jc w:val="both"/>
        <w:rPr>
          <w:rFonts w:ascii="宋体" w:hAnsi="宋体" w:cs="宋体" w:eastAsia="宋体" w:hint="default"/>
          <w:sz w:val="21"/>
          <w:szCs w:val="21"/>
        </w:rPr>
      </w:pPr>
      <w:r>
        <w:rPr>
          <w:rFonts w:ascii="宋体" w:hAnsi="宋体" w:cs="宋体" w:eastAsia="宋体" w:hint="default"/>
          <w:sz w:val="21"/>
          <w:szCs w:val="21"/>
        </w:rPr>
        <w:t>（即 </w:t>
      </w:r>
      <w:r>
        <w:rPr>
          <w:rFonts w:ascii="Times New Roman" w:hAnsi="Times New Roman" w:cs="Times New Roman" w:eastAsia="Times New Roman" w:hint="default"/>
          <w:sz w:val="21"/>
          <w:szCs w:val="21"/>
        </w:rPr>
        <w:t>6,500 </w:t>
      </w:r>
      <w:r>
        <w:rPr>
          <w:rFonts w:ascii="宋体" w:hAnsi="宋体" w:cs="宋体" w:eastAsia="宋体" w:hint="default"/>
          <w:spacing w:val="-3"/>
          <w:sz w:val="21"/>
          <w:szCs w:val="21"/>
        </w:rPr>
        <w:t>万元）比例确认预计负债。由于与华润公司重组民润公司事宜仍在进行中，尚未达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成协议，故对债权可收回金额及担保事项可能承担的损失金额存在不确定性。</w:t>
      </w:r>
    </w:p>
    <w:p>
      <w:pPr>
        <w:spacing w:line="240" w:lineRule="auto" w:before="5"/>
        <w:rPr>
          <w:rFonts w:ascii="宋体" w:hAnsi="宋体" w:cs="宋体" w:eastAsia="宋体" w:hint="default"/>
          <w:sz w:val="16"/>
          <w:szCs w:val="16"/>
        </w:rPr>
      </w:pPr>
    </w:p>
    <w:p>
      <w:pPr>
        <w:tabs>
          <w:tab w:pos="190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spacing w:val="-2"/>
          <w:sz w:val="21"/>
          <w:szCs w:val="21"/>
        </w:rPr>
        <w:t>附注十二、</w:t>
        <w:tab/>
        <w:t>母公司财务报表主要项目注释</w:t>
      </w:r>
    </w:p>
    <w:p>
      <w:pPr>
        <w:spacing w:line="240" w:lineRule="auto" w:before="8"/>
        <w:rPr>
          <w:rFonts w:ascii="宋体" w:hAnsi="宋体" w:cs="宋体" w:eastAsia="宋体" w:hint="default"/>
          <w:sz w:val="18"/>
          <w:szCs w:val="18"/>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w:t>
      </w:r>
    </w:p>
    <w:p>
      <w:pPr>
        <w:spacing w:line="240" w:lineRule="auto" w:before="5"/>
        <w:rPr>
          <w:rFonts w:ascii="宋体" w:hAnsi="宋体" w:cs="宋体" w:eastAsia="宋体" w:hint="default"/>
          <w:sz w:val="17"/>
          <w:szCs w:val="17"/>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）按种类分类</w:t>
      </w: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249"/>
        <w:gridCol w:w="1164"/>
        <w:gridCol w:w="718"/>
        <w:gridCol w:w="1162"/>
        <w:gridCol w:w="725"/>
        <w:gridCol w:w="1162"/>
        <w:gridCol w:w="720"/>
        <w:gridCol w:w="1162"/>
        <w:gridCol w:w="768"/>
      </w:tblGrid>
      <w:tr>
        <w:trPr>
          <w:trHeight w:val="370" w:hRule="exact"/>
        </w:trPr>
        <w:tc>
          <w:tcPr>
            <w:tcW w:w="2249"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68"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2009-12-31</w:t>
            </w:r>
          </w:p>
        </w:tc>
        <w:tc>
          <w:tcPr>
            <w:tcW w:w="3811"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2008-12-31</w:t>
            </w:r>
          </w:p>
        </w:tc>
      </w:tr>
      <w:tr>
        <w:trPr>
          <w:trHeight w:val="370" w:hRule="exact"/>
        </w:trPr>
        <w:tc>
          <w:tcPr>
            <w:tcW w:w="2249" w:type="dxa"/>
            <w:vMerge/>
            <w:tcBorders>
              <w:left w:val="single" w:sz="4" w:space="0" w:color="000008"/>
              <w:right w:val="single" w:sz="4" w:space="0" w:color="000008"/>
            </w:tcBorders>
          </w:tcPr>
          <w:p>
            <w:pPr/>
          </w:p>
        </w:tc>
        <w:tc>
          <w:tcPr>
            <w:tcW w:w="18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5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5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2249" w:type="dxa"/>
            <w:vMerge/>
            <w:tcBorders>
              <w:left w:val="single" w:sz="4" w:space="0" w:color="000008"/>
              <w:bottom w:val="single" w:sz="4" w:space="0" w:color="000008"/>
              <w:right w:val="single" w:sz="4" w:space="0" w:color="000008"/>
            </w:tcBorders>
          </w:tcPr>
          <w:p>
            <w:pPr/>
          </w:p>
        </w:tc>
        <w:tc>
          <w:tcPr>
            <w:tcW w:w="11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19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2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1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2,497,647.84</w:t>
            </w:r>
          </w:p>
        </w:tc>
        <w:tc>
          <w:tcPr>
            <w:tcW w:w="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7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2,497,647.84</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w:t>
            </w:r>
          </w:p>
        </w:tc>
      </w:tr>
      <w:tr>
        <w:trPr>
          <w:trHeight w:val="370" w:hRule="exact"/>
        </w:trPr>
        <w:tc>
          <w:tcPr>
            <w:tcW w:w="22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单项金额不重大但按信用</w:t>
            </w:r>
          </w:p>
        </w:tc>
        <w:tc>
          <w:tcPr>
            <w:tcW w:w="11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176"/>
          <w:pgSz w:w="11910" w:h="16840"/>
          <w:pgMar w:footer="897" w:header="943" w:top="1640" w:bottom="1080" w:left="1480" w:right="360"/>
          <w:pgNumType w:start="190"/>
        </w:sectPr>
      </w:pPr>
    </w:p>
    <w:p>
      <w:pPr>
        <w:spacing w:line="240" w:lineRule="auto" w:before="13"/>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249"/>
        <w:gridCol w:w="1164"/>
        <w:gridCol w:w="718"/>
        <w:gridCol w:w="1162"/>
        <w:gridCol w:w="725"/>
        <w:gridCol w:w="1162"/>
        <w:gridCol w:w="720"/>
        <w:gridCol w:w="1162"/>
        <w:gridCol w:w="768"/>
      </w:tblGrid>
      <w:tr>
        <w:trPr>
          <w:trHeight w:val="569" w:hRule="exact"/>
        </w:trPr>
        <w:tc>
          <w:tcPr>
            <w:tcW w:w="2249"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05" w:right="151"/>
              <w:jc w:val="left"/>
              <w:rPr>
                <w:rFonts w:ascii="宋体" w:hAnsi="宋体" w:cs="宋体" w:eastAsia="宋体" w:hint="default"/>
                <w:sz w:val="18"/>
                <w:szCs w:val="18"/>
              </w:rPr>
            </w:pPr>
            <w:r>
              <w:rPr>
                <w:rFonts w:ascii="宋体" w:hAnsi="宋体" w:cs="宋体" w:eastAsia="宋体" w:hint="default"/>
                <w:sz w:val="18"/>
                <w:szCs w:val="18"/>
              </w:rPr>
              <w:t>风险特征组合后该组合的 风险较大的应收账款</w:t>
            </w:r>
          </w:p>
        </w:tc>
        <w:tc>
          <w:tcPr>
            <w:tcW w:w="1164" w:type="dxa"/>
            <w:tcBorders>
              <w:top w:val="single" w:sz="4" w:space="0" w:color="000008"/>
              <w:left w:val="single" w:sz="4" w:space="0" w:color="000008"/>
              <w:bottom w:val="single" w:sz="4" w:space="0" w:color="000008"/>
              <w:right w:val="single" w:sz="4" w:space="0" w:color="000008"/>
            </w:tcBorders>
          </w:tcPr>
          <w:p>
            <w:pPr/>
          </w:p>
        </w:tc>
        <w:tc>
          <w:tcPr>
            <w:tcW w:w="718" w:type="dxa"/>
            <w:tcBorders>
              <w:top w:val="single" w:sz="4" w:space="0" w:color="000008"/>
              <w:left w:val="single" w:sz="4" w:space="0" w:color="000008"/>
              <w:bottom w:val="single" w:sz="4" w:space="0" w:color="000008"/>
              <w:right w:val="single" w:sz="4" w:space="0" w:color="000008"/>
            </w:tcBorders>
          </w:tcPr>
          <w:p>
            <w:pPr/>
          </w:p>
        </w:tc>
        <w:tc>
          <w:tcPr>
            <w:tcW w:w="1162" w:type="dxa"/>
            <w:tcBorders>
              <w:top w:val="single" w:sz="4" w:space="0" w:color="000008"/>
              <w:left w:val="single" w:sz="4" w:space="0" w:color="000008"/>
              <w:bottom w:val="single" w:sz="4" w:space="0" w:color="000008"/>
              <w:right w:val="single" w:sz="4" w:space="0" w:color="000008"/>
            </w:tcBorders>
          </w:tcPr>
          <w:p>
            <w:pPr/>
          </w:p>
        </w:tc>
        <w:tc>
          <w:tcPr>
            <w:tcW w:w="725" w:type="dxa"/>
            <w:tcBorders>
              <w:top w:val="single" w:sz="4" w:space="0" w:color="000008"/>
              <w:left w:val="single" w:sz="4" w:space="0" w:color="000008"/>
              <w:bottom w:val="single" w:sz="4" w:space="0" w:color="000008"/>
              <w:right w:val="single" w:sz="4" w:space="0" w:color="000008"/>
            </w:tcBorders>
          </w:tcPr>
          <w:p>
            <w:pPr/>
          </w:p>
        </w:tc>
        <w:tc>
          <w:tcPr>
            <w:tcW w:w="1162"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62" w:type="dxa"/>
            <w:tcBorders>
              <w:top w:val="single" w:sz="4" w:space="0" w:color="000008"/>
              <w:left w:val="single" w:sz="4" w:space="0" w:color="000008"/>
              <w:bottom w:val="single" w:sz="4" w:space="0" w:color="000008"/>
              <w:right w:val="single" w:sz="4" w:space="0" w:color="000008"/>
            </w:tcBorders>
          </w:tcPr>
          <w:p>
            <w:pPr/>
          </w:p>
        </w:tc>
        <w:tc>
          <w:tcPr>
            <w:tcW w:w="768" w:type="dxa"/>
            <w:tcBorders>
              <w:top w:val="single" w:sz="4" w:space="0" w:color="000008"/>
              <w:left w:val="single" w:sz="4" w:space="0" w:color="000008"/>
              <w:bottom w:val="single" w:sz="4" w:space="0" w:color="000008"/>
              <w:right w:val="single" w:sz="4" w:space="0" w:color="000008"/>
            </w:tcBorders>
          </w:tcPr>
          <w:p>
            <w:pPr/>
          </w:p>
        </w:tc>
      </w:tr>
      <w:tr>
        <w:trPr>
          <w:trHeight w:val="370" w:hRule="exact"/>
        </w:trPr>
        <w:tc>
          <w:tcPr>
            <w:tcW w:w="22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1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2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7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r>
    </w:tbl>
    <w:p>
      <w:pPr>
        <w:spacing w:line="240" w:lineRule="auto" w:before="8"/>
        <w:rPr>
          <w:rFonts w:ascii="宋体" w:hAnsi="宋体" w:cs="宋体" w:eastAsia="宋体" w:hint="default"/>
          <w:sz w:val="16"/>
          <w:szCs w:val="16"/>
        </w:rPr>
      </w:pPr>
    </w:p>
    <w:p>
      <w:pPr>
        <w:spacing w:before="36"/>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）期末单项金额重大或虽不重大但单独进行减值测试的应收账款坏账准备计提</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590"/>
        <w:gridCol w:w="1265"/>
        <w:gridCol w:w="1262"/>
        <w:gridCol w:w="1020"/>
        <w:gridCol w:w="2390"/>
      </w:tblGrid>
      <w:tr>
        <w:trPr>
          <w:trHeight w:val="442" w:hRule="exact"/>
        </w:trPr>
        <w:tc>
          <w:tcPr>
            <w:tcW w:w="25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7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6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14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2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44" w:hRule="exact"/>
        </w:trPr>
        <w:tc>
          <w:tcPr>
            <w:tcW w:w="25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106" w:right="0"/>
              <w:jc w:val="center"/>
              <w:rPr>
                <w:rFonts w:ascii="Times New Roman" w:hAnsi="Times New Roman" w:cs="Times New Roman" w:eastAsia="Times New Roman" w:hint="default"/>
                <w:sz w:val="18"/>
                <w:szCs w:val="18"/>
              </w:rPr>
            </w:pPr>
            <w:r>
              <w:rPr>
                <w:rFonts w:ascii="Times New Roman"/>
                <w:sz w:val="18"/>
              </w:rPr>
              <w:t>2,497,647.84</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206" w:right="0"/>
              <w:jc w:val="left"/>
              <w:rPr>
                <w:rFonts w:ascii="Times New Roman" w:hAnsi="Times New Roman" w:cs="Times New Roman" w:eastAsia="Times New Roman" w:hint="default"/>
                <w:sz w:val="18"/>
                <w:szCs w:val="18"/>
              </w:rPr>
            </w:pPr>
            <w:r>
              <w:rPr>
                <w:rFonts w:ascii="Times New Roman"/>
                <w:sz w:val="18"/>
              </w:rPr>
              <w:t>2,497,647.84</w:t>
            </w:r>
          </w:p>
        </w:tc>
        <w:tc>
          <w:tcPr>
            <w:tcW w:w="10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bl>
    <w:p>
      <w:pPr>
        <w:spacing w:line="240" w:lineRule="auto" w:before="5"/>
        <w:rPr>
          <w:rFonts w:ascii="宋体" w:hAnsi="宋体" w:cs="宋体" w:eastAsia="宋体" w:hint="default"/>
          <w:sz w:val="19"/>
          <w:szCs w:val="19"/>
        </w:rPr>
      </w:pPr>
    </w:p>
    <w:p>
      <w:pPr>
        <w:spacing w:line="477" w:lineRule="auto" w:before="0"/>
        <w:ind w:left="684" w:right="1788" w:hanging="4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）本报告期应收账款中无持有公司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w:t>
      </w:r>
    </w:p>
    <w:p>
      <w:pPr>
        <w:spacing w:before="60"/>
        <w:ind w:left="68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）按种类分类</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841"/>
        <w:gridCol w:w="1339"/>
        <w:gridCol w:w="706"/>
        <w:gridCol w:w="1342"/>
        <w:gridCol w:w="622"/>
        <w:gridCol w:w="1339"/>
        <w:gridCol w:w="622"/>
        <w:gridCol w:w="1342"/>
        <w:gridCol w:w="622"/>
      </w:tblGrid>
      <w:tr>
        <w:trPr>
          <w:trHeight w:val="370" w:hRule="exact"/>
        </w:trPr>
        <w:tc>
          <w:tcPr>
            <w:tcW w:w="1841"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008"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2009-12-31</w:t>
            </w:r>
          </w:p>
        </w:tc>
        <w:tc>
          <w:tcPr>
            <w:tcW w:w="3924"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2008-12-31</w:t>
            </w:r>
          </w:p>
        </w:tc>
      </w:tr>
      <w:tr>
        <w:trPr>
          <w:trHeight w:val="372" w:hRule="exact"/>
        </w:trPr>
        <w:tc>
          <w:tcPr>
            <w:tcW w:w="1841" w:type="dxa"/>
            <w:vMerge/>
            <w:tcBorders>
              <w:left w:val="single" w:sz="4" w:space="0" w:color="000008"/>
              <w:right w:val="single" w:sz="4" w:space="0" w:color="000008"/>
            </w:tcBorders>
          </w:tcPr>
          <w:p>
            <w:pPr/>
          </w:p>
        </w:tc>
        <w:tc>
          <w:tcPr>
            <w:tcW w:w="204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6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6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6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6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1841" w:type="dxa"/>
            <w:vMerge/>
            <w:tcBorders>
              <w:left w:val="single" w:sz="4" w:space="0" w:color="000008"/>
              <w:bottom w:val="single" w:sz="4" w:space="0" w:color="000008"/>
              <w:right w:val="single" w:sz="4" w:space="0" w:color="000008"/>
            </w:tcBorders>
          </w:tcPr>
          <w:p>
            <w:pP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6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1841"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05" w:right="103"/>
              <w:jc w:val="left"/>
              <w:rPr>
                <w:rFonts w:ascii="宋体" w:hAnsi="宋体" w:cs="宋体" w:eastAsia="宋体" w:hint="default"/>
                <w:sz w:val="18"/>
                <w:szCs w:val="18"/>
              </w:rPr>
            </w:pPr>
            <w:r>
              <w:rPr>
                <w:rFonts w:ascii="宋体" w:hAnsi="宋体" w:cs="宋体" w:eastAsia="宋体" w:hint="default"/>
                <w:sz w:val="18"/>
                <w:szCs w:val="18"/>
              </w:rPr>
              <w:t>单项金额重大的其他 应收款</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157,554,693.45</w:t>
            </w:r>
          </w:p>
        </w:tc>
        <w:tc>
          <w:tcPr>
            <w:tcW w:w="7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19.97</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148,763,346.21</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98.61</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677,673,680.16</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99.08</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107,738,972.43</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98.07</w:t>
            </w:r>
          </w:p>
        </w:tc>
      </w:tr>
      <w:tr>
        <w:trPr>
          <w:trHeight w:val="1130" w:hRule="exact"/>
        </w:trPr>
        <w:tc>
          <w:tcPr>
            <w:tcW w:w="1841"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05" w:right="103"/>
              <w:jc w:val="both"/>
              <w:rPr>
                <w:rFonts w:ascii="宋体" w:hAnsi="宋体" w:cs="宋体" w:eastAsia="宋体" w:hint="default"/>
                <w:sz w:val="18"/>
                <w:szCs w:val="18"/>
              </w:rPr>
            </w:pPr>
            <w:r>
              <w:rPr>
                <w:rFonts w:ascii="宋体" w:hAnsi="宋体" w:cs="宋体" w:eastAsia="宋体" w:hint="default"/>
                <w:sz w:val="18"/>
                <w:szCs w:val="18"/>
              </w:rPr>
              <w:t>单项金额不重大但按 信用风险特征组合后 该组合的风险较大的 其他应收款</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1,897,698.20</w:t>
            </w:r>
          </w:p>
        </w:tc>
        <w:tc>
          <w:tcPr>
            <w:tcW w:w="7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0.24</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1,877,698.20</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1.24</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2,108,895.30</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0.31</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2,078,178.30</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1.89</w:t>
            </w:r>
          </w:p>
        </w:tc>
      </w:tr>
      <w:tr>
        <w:trPr>
          <w:trHeight w:val="571" w:hRule="exact"/>
        </w:trPr>
        <w:tc>
          <w:tcPr>
            <w:tcW w:w="1841"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05"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其他不重大其他应收 款</w:t>
            </w:r>
            <w:r>
              <w:rPr>
                <w:rFonts w:ascii="Times New Roman" w:hAnsi="Times New Roman" w:cs="Times New Roman" w:eastAsia="Times New Roman" w:hint="default"/>
                <w:sz w:val="18"/>
                <w:szCs w:val="18"/>
              </w:rPr>
              <w:t>*</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629,381,781.23</w:t>
            </w:r>
          </w:p>
        </w:tc>
        <w:tc>
          <w:tcPr>
            <w:tcW w:w="7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79.79</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224,063.16</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0.15</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4,141,477.44</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0.61</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40,940.41</w:t>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0.04</w:t>
            </w:r>
          </w:p>
        </w:tc>
      </w:tr>
      <w:tr>
        <w:trPr>
          <w:trHeight w:val="370" w:hRule="exact"/>
        </w:trPr>
        <w:tc>
          <w:tcPr>
            <w:tcW w:w="18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788,834,172.88</w:t>
            </w:r>
            <w:r>
              <w:rPr>
                <w:rFonts w:ascii="Times New Roman"/>
                <w:spacing w:val="-1"/>
                <w:sz w:val="18"/>
              </w:rPr>
            </w:r>
          </w:p>
        </w:tc>
        <w:tc>
          <w:tcPr>
            <w:tcW w:w="7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150,865,107.57</w:t>
            </w:r>
            <w:r>
              <w:rPr>
                <w:rFonts w:ascii="Times New Roman"/>
                <w:spacing w:val="-1"/>
                <w:sz w:val="18"/>
              </w:rPr>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683,924,052.90</w:t>
            </w:r>
            <w:r>
              <w:rPr>
                <w:rFonts w:ascii="Times New Roman"/>
                <w:spacing w:val="-1"/>
                <w:sz w:val="18"/>
              </w:rPr>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109,858,091.14</w:t>
            </w:r>
            <w:r>
              <w:rPr>
                <w:rFonts w:ascii="Times New Roman"/>
                <w:spacing w:val="-1"/>
                <w:sz w:val="18"/>
              </w:rPr>
            </w:r>
          </w:p>
        </w:tc>
        <w:tc>
          <w:tcPr>
            <w:tcW w:w="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按账龄分类</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087"/>
        <w:gridCol w:w="1363"/>
        <w:gridCol w:w="1092"/>
        <w:gridCol w:w="1361"/>
        <w:gridCol w:w="1363"/>
        <w:gridCol w:w="1094"/>
        <w:gridCol w:w="1361"/>
      </w:tblGrid>
      <w:tr>
        <w:trPr>
          <w:trHeight w:val="370" w:hRule="exact"/>
        </w:trPr>
        <w:tc>
          <w:tcPr>
            <w:tcW w:w="1087"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816"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2009-12-31</w:t>
            </w:r>
          </w:p>
        </w:tc>
        <w:tc>
          <w:tcPr>
            <w:tcW w:w="3818"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2008-12-31</w:t>
            </w:r>
          </w:p>
        </w:tc>
      </w:tr>
      <w:tr>
        <w:trPr>
          <w:trHeight w:val="370" w:hRule="exact"/>
        </w:trPr>
        <w:tc>
          <w:tcPr>
            <w:tcW w:w="1087" w:type="dxa"/>
            <w:vMerge/>
            <w:tcBorders>
              <w:left w:val="single" w:sz="4" w:space="0" w:color="000008"/>
              <w:right w:val="single" w:sz="4" w:space="0" w:color="000008"/>
            </w:tcBorders>
          </w:tcPr>
          <w:p>
            <w:pPr/>
          </w:p>
        </w:tc>
        <w:tc>
          <w:tcPr>
            <w:tcW w:w="245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1"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5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1"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1087" w:type="dxa"/>
            <w:vMerge/>
            <w:tcBorders>
              <w:left w:val="single" w:sz="4" w:space="0" w:color="000008"/>
              <w:bottom w:val="single" w:sz="4" w:space="0" w:color="000008"/>
              <w:right w:val="single" w:sz="4" w:space="0" w:color="000008"/>
            </w:tcBorders>
          </w:tcPr>
          <w:p>
            <w:pP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61" w:type="dxa"/>
            <w:vMerge/>
            <w:tcBorders>
              <w:left w:val="single" w:sz="4" w:space="0" w:color="000008"/>
              <w:bottom w:val="single" w:sz="4" w:space="0" w:color="000008"/>
              <w:right w:val="single" w:sz="4" w:space="0" w:color="000008"/>
            </w:tcBorders>
          </w:tcPr>
          <w:p>
            <w:pP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61" w:type="dxa"/>
            <w:vMerge/>
            <w:tcBorders>
              <w:left w:val="single" w:sz="4" w:space="0" w:color="000008"/>
              <w:bottom w:val="single" w:sz="4" w:space="0" w:color="000008"/>
              <w:right w:val="single" w:sz="4" w:space="0" w:color="000008"/>
            </w:tcBorders>
          </w:tcPr>
          <w:p>
            <w:pPr/>
          </w:p>
        </w:tc>
      </w:tr>
      <w:tr>
        <w:trPr>
          <w:trHeight w:val="410" w:hRule="exact"/>
        </w:trPr>
        <w:tc>
          <w:tcPr>
            <w:tcW w:w="10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6"/>
              <w:jc w:val="center"/>
              <w:rPr>
                <w:rFonts w:ascii="Times New Roman" w:hAnsi="Times New Roman" w:cs="Times New Roman" w:eastAsia="Times New Roman" w:hint="default"/>
                <w:sz w:val="18"/>
                <w:szCs w:val="18"/>
              </w:rPr>
            </w:pPr>
            <w:r>
              <w:rPr>
                <w:rFonts w:ascii="Times New Roman"/>
                <w:sz w:val="18"/>
              </w:rPr>
              <w:t>452,761,107.34</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57.40</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6,664,870.10</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498,816,325.29</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72.94</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1,701,703.06</w:t>
            </w:r>
          </w:p>
        </w:tc>
      </w:tr>
      <w:tr>
        <w:trPr>
          <w:trHeight w:val="410" w:hRule="exact"/>
        </w:trPr>
        <w:tc>
          <w:tcPr>
            <w:tcW w:w="10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6"/>
              <w:jc w:val="center"/>
              <w:rPr>
                <w:rFonts w:ascii="Times New Roman" w:hAnsi="Times New Roman" w:cs="Times New Roman" w:eastAsia="Times New Roman" w:hint="default"/>
                <w:sz w:val="18"/>
                <w:szCs w:val="18"/>
              </w:rPr>
            </w:pPr>
            <w:r>
              <w:rPr>
                <w:rFonts w:ascii="Times New Roman"/>
                <w:sz w:val="18"/>
              </w:rPr>
              <w:t>196,297,681.71</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24.88</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19"/>
              <w:jc w:val="right"/>
              <w:rPr>
                <w:rFonts w:ascii="Times New Roman" w:hAnsi="Times New Roman" w:cs="Times New Roman" w:eastAsia="Times New Roman" w:hint="default"/>
                <w:sz w:val="18"/>
                <w:szCs w:val="18"/>
              </w:rPr>
            </w:pPr>
            <w:r>
              <w:rPr>
                <w:rFonts w:ascii="Times New Roman"/>
                <w:spacing w:val="-2"/>
                <w:sz w:val="18"/>
              </w:rPr>
              <w:t>11,509,743.24</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101,176,393.09</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14.79</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50,665,281.04</w:t>
            </w:r>
          </w:p>
        </w:tc>
      </w:tr>
      <w:tr>
        <w:trPr>
          <w:trHeight w:val="410" w:hRule="exact"/>
        </w:trPr>
        <w:tc>
          <w:tcPr>
            <w:tcW w:w="10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73" w:right="0"/>
              <w:jc w:val="center"/>
              <w:rPr>
                <w:rFonts w:ascii="Times New Roman" w:hAnsi="Times New Roman" w:cs="Times New Roman" w:eastAsia="Times New Roman" w:hint="default"/>
                <w:sz w:val="18"/>
                <w:szCs w:val="18"/>
              </w:rPr>
            </w:pPr>
            <w:r>
              <w:rPr>
                <w:rFonts w:ascii="Times New Roman"/>
                <w:sz w:val="18"/>
              </w:rPr>
              <w:t>69,220,660.97</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8.78</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66,795,771.38</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51,405,097.19</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7.52</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25,603,586.71</w:t>
            </w:r>
          </w:p>
        </w:tc>
      </w:tr>
      <w:tr>
        <w:trPr>
          <w:trHeight w:val="410" w:hRule="exact"/>
        </w:trPr>
        <w:tc>
          <w:tcPr>
            <w:tcW w:w="10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73" w:right="0"/>
              <w:jc w:val="center"/>
              <w:rPr>
                <w:rFonts w:ascii="Times New Roman" w:hAnsi="Times New Roman" w:cs="Times New Roman" w:eastAsia="Times New Roman" w:hint="default"/>
                <w:sz w:val="18"/>
                <w:szCs w:val="18"/>
              </w:rPr>
            </w:pPr>
            <w:r>
              <w:rPr>
                <w:rFonts w:ascii="Times New Roman"/>
                <w:sz w:val="18"/>
              </w:rPr>
              <w:t>40,509,682.63</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5.14</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35,849,682.62</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7,122,661.88</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1.04</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6,483,944.88</w:t>
            </w:r>
          </w:p>
        </w:tc>
      </w:tr>
      <w:tr>
        <w:trPr>
          <w:trHeight w:val="408" w:hRule="exact"/>
        </w:trPr>
        <w:tc>
          <w:tcPr>
            <w:tcW w:w="10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73" w:right="0"/>
              <w:jc w:val="center"/>
              <w:rPr>
                <w:rFonts w:ascii="Times New Roman" w:hAnsi="Times New Roman" w:cs="Times New Roman" w:eastAsia="Times New Roman" w:hint="default"/>
                <w:sz w:val="18"/>
                <w:szCs w:val="18"/>
              </w:rPr>
            </w:pPr>
            <w:r>
              <w:rPr>
                <w:rFonts w:ascii="Times New Roman"/>
                <w:sz w:val="18"/>
              </w:rPr>
              <w:t>30,045,040.23</w:t>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z w:val="18"/>
              </w:rPr>
              <w:t>3.80</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30,045,040.23</w:t>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25,403,575.45</w:t>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3.71</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21"/>
              <w:jc w:val="right"/>
              <w:rPr>
                <w:rFonts w:ascii="Times New Roman" w:hAnsi="Times New Roman" w:cs="Times New Roman" w:eastAsia="Times New Roman" w:hint="default"/>
                <w:sz w:val="18"/>
                <w:szCs w:val="18"/>
              </w:rPr>
            </w:pPr>
            <w:r>
              <w:rPr>
                <w:rFonts w:ascii="Times New Roman"/>
                <w:spacing w:val="-1"/>
                <w:sz w:val="18"/>
              </w:rPr>
              <w:t>25,403,575.45</w:t>
            </w:r>
          </w:p>
        </w:tc>
      </w:tr>
      <w:tr>
        <w:trPr>
          <w:trHeight w:val="410" w:hRule="exact"/>
        </w:trPr>
        <w:tc>
          <w:tcPr>
            <w:tcW w:w="10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3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5"/>
              <w:jc w:val="center"/>
              <w:rPr>
                <w:rFonts w:ascii="Times New Roman" w:hAnsi="Times New Roman" w:cs="Times New Roman" w:eastAsia="Times New Roman" w:hint="default"/>
                <w:sz w:val="18"/>
                <w:szCs w:val="18"/>
              </w:rPr>
            </w:pPr>
            <w:r>
              <w:rPr>
                <w:rFonts w:ascii="Times New Roman"/>
                <w:b/>
                <w:sz w:val="18"/>
              </w:rPr>
              <w:t>788,834,172.88</w:t>
            </w:r>
            <w:r>
              <w:rPr>
                <w:rFonts w:ascii="Times New Roman"/>
                <w:sz w:val="18"/>
              </w:rPr>
            </w:r>
          </w:p>
        </w:tc>
        <w:tc>
          <w:tcPr>
            <w:tcW w:w="10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16"/>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16"/>
              <w:jc w:val="right"/>
              <w:rPr>
                <w:rFonts w:ascii="Times New Roman" w:hAnsi="Times New Roman" w:cs="Times New Roman" w:eastAsia="Times New Roman" w:hint="default"/>
                <w:sz w:val="18"/>
                <w:szCs w:val="18"/>
              </w:rPr>
            </w:pPr>
            <w:r>
              <w:rPr>
                <w:rFonts w:ascii="Times New Roman"/>
                <w:b/>
                <w:spacing w:val="-1"/>
                <w:sz w:val="18"/>
              </w:rPr>
              <w:t>150,865,107.57</w:t>
            </w:r>
            <w:r>
              <w:rPr>
                <w:rFonts w:ascii="Times New Roman"/>
                <w:spacing w:val="-1"/>
                <w:sz w:val="18"/>
              </w:rPr>
            </w:r>
          </w:p>
        </w:tc>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16"/>
              <w:jc w:val="right"/>
              <w:rPr>
                <w:rFonts w:ascii="Times New Roman" w:hAnsi="Times New Roman" w:cs="Times New Roman" w:eastAsia="Times New Roman" w:hint="default"/>
                <w:sz w:val="18"/>
                <w:szCs w:val="18"/>
              </w:rPr>
            </w:pPr>
            <w:r>
              <w:rPr>
                <w:rFonts w:ascii="Times New Roman"/>
                <w:b/>
                <w:spacing w:val="-1"/>
                <w:sz w:val="18"/>
              </w:rPr>
              <w:t>683,924,052.90</w:t>
            </w:r>
            <w:r>
              <w:rPr>
                <w:rFonts w:ascii="Times New Roman"/>
                <w:spacing w:val="-1"/>
                <w:sz w:val="18"/>
              </w:rPr>
            </w:r>
          </w:p>
        </w:tc>
        <w:tc>
          <w:tcPr>
            <w:tcW w:w="10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16"/>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16"/>
              <w:jc w:val="right"/>
              <w:rPr>
                <w:rFonts w:ascii="Times New Roman" w:hAnsi="Times New Roman" w:cs="Times New Roman" w:eastAsia="Times New Roman" w:hint="default"/>
                <w:sz w:val="18"/>
                <w:szCs w:val="18"/>
              </w:rPr>
            </w:pPr>
            <w:r>
              <w:rPr>
                <w:rFonts w:ascii="Times New Roman"/>
                <w:b/>
                <w:spacing w:val="-1"/>
                <w:sz w:val="18"/>
              </w:rPr>
              <w:t>109,858,091.14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640" w:bottom="1080" w:left="1480" w:right="360"/>
        </w:sectPr>
      </w:pPr>
    </w:p>
    <w:p>
      <w:pPr>
        <w:spacing w:line="240" w:lineRule="auto" w:before="11"/>
        <w:rPr>
          <w:rFonts w:ascii="宋体" w:hAnsi="宋体" w:cs="宋体" w:eastAsia="宋体" w:hint="default"/>
          <w:sz w:val="18"/>
          <w:szCs w:val="18"/>
        </w:rPr>
      </w:pPr>
    </w:p>
    <w:p>
      <w:pPr>
        <w:spacing w:before="36"/>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）期末单项金额重大或虽不重大但单独进行减值测试的其他应收款坏账准备计提</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220"/>
        <w:gridCol w:w="1745"/>
        <w:gridCol w:w="1742"/>
        <w:gridCol w:w="1745"/>
        <w:gridCol w:w="2213"/>
      </w:tblGrid>
      <w:tr>
        <w:trPr>
          <w:trHeight w:val="410" w:hRule="exact"/>
        </w:trPr>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7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50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2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809" w:hRule="exact"/>
        </w:trPr>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28"/>
              <w:ind w:left="105" w:right="103"/>
              <w:jc w:val="left"/>
              <w:rPr>
                <w:rFonts w:ascii="宋体" w:hAnsi="宋体" w:cs="宋体" w:eastAsia="宋体" w:hint="default"/>
                <w:sz w:val="18"/>
                <w:szCs w:val="18"/>
              </w:rPr>
            </w:pPr>
            <w:r>
              <w:rPr>
                <w:rFonts w:ascii="宋体" w:hAnsi="宋体" w:cs="宋体" w:eastAsia="宋体" w:hint="default"/>
                <w:sz w:val="18"/>
                <w:szCs w:val="18"/>
              </w:rPr>
              <w:t>深圳市民润农产品配送连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锁商业有限公司</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2"/>
              <w:jc w:val="right"/>
              <w:rPr>
                <w:rFonts w:ascii="Times New Roman" w:hAnsi="Times New Roman" w:cs="Times New Roman" w:eastAsia="Times New Roman" w:hint="default"/>
                <w:sz w:val="18"/>
                <w:szCs w:val="18"/>
              </w:rPr>
            </w:pPr>
            <w:r>
              <w:rPr>
                <w:rFonts w:ascii="Times New Roman"/>
                <w:spacing w:val="-1"/>
                <w:sz w:val="18"/>
              </w:rPr>
              <w:t>142,741,972.95</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142,741,972.95</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2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资不抵债，难以收回</w:t>
            </w:r>
          </w:p>
        </w:tc>
      </w:tr>
      <w:tr>
        <w:trPr>
          <w:trHeight w:val="410" w:hRule="exact"/>
        </w:trPr>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27,567,517.43</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27,567,517.43</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2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资不抵债，难以收回</w:t>
            </w:r>
          </w:p>
        </w:tc>
      </w:tr>
      <w:tr>
        <w:trPr>
          <w:trHeight w:val="410" w:hRule="exact"/>
        </w:trPr>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5,460,553.08</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5,460,553.08</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2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410" w:hRule="exact"/>
        </w:trPr>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4,713,813.76</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4,713,813.76</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2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410" w:hRule="exact"/>
        </w:trPr>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180,483,857.22</w:t>
            </w:r>
            <w:r>
              <w:rPr>
                <w:rFonts w:ascii="Times New Roman"/>
                <w:spacing w:val="-1"/>
                <w:sz w:val="18"/>
              </w:rPr>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180,483,857.22</w:t>
            </w:r>
            <w:r>
              <w:rPr>
                <w:rFonts w:ascii="Times New Roman"/>
                <w:spacing w:val="-1"/>
                <w:sz w:val="18"/>
              </w:rPr>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2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）本报告期实际核销的其他应收款情况</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330"/>
        <w:gridCol w:w="1558"/>
        <w:gridCol w:w="1579"/>
        <w:gridCol w:w="1536"/>
        <w:gridCol w:w="1954"/>
      </w:tblGrid>
      <w:tr>
        <w:trPr>
          <w:trHeight w:val="370"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42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40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60"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569"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27"/>
              <w:jc w:val="center"/>
              <w:rPr>
                <w:rFonts w:ascii="宋体" w:hAnsi="宋体" w:cs="宋体" w:eastAsia="宋体" w:hint="default"/>
                <w:sz w:val="18"/>
                <w:szCs w:val="18"/>
              </w:rPr>
            </w:pPr>
            <w:r>
              <w:rPr>
                <w:rFonts w:ascii="宋体" w:hAnsi="宋体" w:cs="宋体" w:eastAsia="宋体" w:hint="default"/>
                <w:sz w:val="18"/>
                <w:szCs w:val="18"/>
              </w:rPr>
              <w:t>深圳市倜拓实业有限公司</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承包金</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347,500.00</w:t>
            </w:r>
          </w:p>
        </w:tc>
        <w:tc>
          <w:tcPr>
            <w:tcW w:w="153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05" w:right="158"/>
              <w:jc w:val="left"/>
              <w:rPr>
                <w:rFonts w:ascii="宋体" w:hAnsi="宋体" w:cs="宋体" w:eastAsia="宋体" w:hint="default"/>
                <w:sz w:val="18"/>
                <w:szCs w:val="18"/>
              </w:rPr>
            </w:pPr>
            <w:r>
              <w:rPr>
                <w:rFonts w:ascii="宋体" w:hAnsi="宋体" w:cs="宋体" w:eastAsia="宋体" w:hint="default"/>
                <w:sz w:val="18"/>
                <w:szCs w:val="18"/>
              </w:rPr>
              <w:t>该公司清算，无 资产偿还</w:t>
            </w:r>
          </w:p>
        </w:tc>
        <w:tc>
          <w:tcPr>
            <w:tcW w:w="19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71"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05" w:right="110"/>
              <w:jc w:val="left"/>
              <w:rPr>
                <w:rFonts w:ascii="宋体" w:hAnsi="宋体" w:cs="宋体" w:eastAsia="宋体" w:hint="default"/>
                <w:sz w:val="18"/>
                <w:szCs w:val="18"/>
              </w:rPr>
            </w:pPr>
            <w:r>
              <w:rPr>
                <w:rFonts w:ascii="宋体" w:hAnsi="宋体" w:cs="宋体" w:eastAsia="宋体" w:hint="default"/>
                <w:spacing w:val="11"/>
                <w:sz w:val="18"/>
                <w:szCs w:val="18"/>
              </w:rPr>
              <w:t>深圳市民润农产品配送连</w:t>
            </w:r>
            <w:r>
              <w:rPr>
                <w:rFonts w:ascii="宋体" w:hAnsi="宋体" w:cs="宋体" w:eastAsia="宋体" w:hint="default"/>
                <w:sz w:val="18"/>
                <w:szCs w:val="18"/>
              </w:rPr>
              <w:t> 锁商业有限公司</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5,150,292.00</w:t>
            </w:r>
          </w:p>
        </w:tc>
        <w:tc>
          <w:tcPr>
            <w:tcW w:w="1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left="105" w:right="0"/>
              <w:jc w:val="left"/>
              <w:rPr>
                <w:rFonts w:ascii="Times New Roman" w:hAnsi="Times New Roman" w:cs="Times New Roman" w:eastAsia="Times New Roman" w:hint="default"/>
                <w:sz w:val="18"/>
                <w:szCs w:val="18"/>
              </w:rPr>
            </w:pPr>
            <w:r>
              <w:rPr>
                <w:rFonts w:ascii="Times New Roman"/>
                <w:sz w:val="18"/>
              </w:rPr>
              <w:t>*</w:t>
            </w:r>
          </w:p>
        </w:tc>
        <w:tc>
          <w:tcPr>
            <w:tcW w:w="19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58" w:type="dxa"/>
            <w:tcBorders>
              <w:top w:val="single" w:sz="4" w:space="0" w:color="000008"/>
              <w:left w:val="single" w:sz="4" w:space="0" w:color="000008"/>
              <w:bottom w:val="single" w:sz="4" w:space="0" w:color="000008"/>
              <w:right w:val="single" w:sz="4" w:space="0" w:color="000008"/>
            </w:tcBorders>
          </w:tcPr>
          <w:p>
            <w:pP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5,497,792.00</w:t>
            </w:r>
            <w:r>
              <w:rPr>
                <w:rFonts w:ascii="Times New Roman"/>
                <w:spacing w:val="-1"/>
                <w:sz w:val="18"/>
              </w:rPr>
            </w:r>
          </w:p>
        </w:tc>
        <w:tc>
          <w:tcPr>
            <w:tcW w:w="1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5"/>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系深圳市民润农产品配送连锁商业有限公司以龙涤股份抵债形成的差异。</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）本报告期其他应收款中无持有公司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330"/>
        <w:gridCol w:w="1397"/>
        <w:gridCol w:w="1745"/>
        <w:gridCol w:w="1745"/>
        <w:gridCol w:w="1740"/>
      </w:tblGrid>
      <w:tr>
        <w:trPr>
          <w:trHeight w:val="732"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
              <w:ind w:left="280" w:right="278"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569"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05" w:right="110"/>
              <w:jc w:val="left"/>
              <w:rPr>
                <w:rFonts w:ascii="宋体" w:hAnsi="宋体" w:cs="宋体" w:eastAsia="宋体" w:hint="default"/>
                <w:sz w:val="18"/>
                <w:szCs w:val="18"/>
              </w:rPr>
            </w:pPr>
            <w:r>
              <w:rPr>
                <w:rFonts w:ascii="宋体" w:hAnsi="宋体" w:cs="宋体" w:eastAsia="宋体" w:hint="default"/>
                <w:spacing w:val="11"/>
                <w:sz w:val="18"/>
                <w:szCs w:val="18"/>
              </w:rPr>
              <w:t>深圳市西岸渔人码头商业</w:t>
            </w:r>
            <w:r>
              <w:rPr>
                <w:rFonts w:ascii="宋体" w:hAnsi="宋体" w:cs="宋体" w:eastAsia="宋体" w:hint="default"/>
                <w:sz w:val="18"/>
                <w:szCs w:val="18"/>
              </w:rPr>
              <w:t> 有限公司</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子公司借款</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238,299,432.39</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28.97</w:t>
            </w:r>
          </w:p>
        </w:tc>
      </w:tr>
      <w:tr>
        <w:trPr>
          <w:trHeight w:val="571"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05" w:right="110"/>
              <w:jc w:val="left"/>
              <w:rPr>
                <w:rFonts w:ascii="宋体" w:hAnsi="宋体" w:cs="宋体" w:eastAsia="宋体" w:hint="default"/>
                <w:sz w:val="18"/>
                <w:szCs w:val="18"/>
              </w:rPr>
            </w:pPr>
            <w:r>
              <w:rPr>
                <w:rFonts w:ascii="宋体" w:hAnsi="宋体" w:cs="宋体" w:eastAsia="宋体" w:hint="default"/>
                <w:spacing w:val="11"/>
                <w:sz w:val="18"/>
                <w:szCs w:val="18"/>
              </w:rPr>
              <w:t>深圳市民润农产品配送连</w:t>
            </w:r>
            <w:r>
              <w:rPr>
                <w:rFonts w:ascii="宋体" w:hAnsi="宋体" w:cs="宋体" w:eastAsia="宋体" w:hint="default"/>
                <w:sz w:val="18"/>
                <w:szCs w:val="18"/>
              </w:rPr>
              <w:t> 锁商业有限公司</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关联方借款</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142,741,972.95</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101"/>
              <w:jc w:val="right"/>
              <w:rPr>
                <w:rFonts w:ascii="宋体" w:hAnsi="宋体" w:cs="宋体" w:eastAsia="宋体" w:hint="default"/>
                <w:sz w:val="18"/>
                <w:szCs w:val="18"/>
              </w:rPr>
            </w:pPr>
            <w:r>
              <w:rPr>
                <w:rFonts w:ascii="宋体" w:hAnsi="宋体" w:cs="宋体" w:eastAsia="宋体" w:hint="default"/>
                <w:sz w:val="18"/>
                <w:szCs w:val="18"/>
              </w:rPr>
              <w:t>累计多年</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17.36</w:t>
            </w:r>
          </w:p>
        </w:tc>
      </w:tr>
      <w:tr>
        <w:trPr>
          <w:trHeight w:val="569"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05" w:right="110"/>
              <w:jc w:val="left"/>
              <w:rPr>
                <w:rFonts w:ascii="宋体" w:hAnsi="宋体" w:cs="宋体" w:eastAsia="宋体" w:hint="default"/>
                <w:sz w:val="18"/>
                <w:szCs w:val="18"/>
              </w:rPr>
            </w:pPr>
            <w:r>
              <w:rPr>
                <w:rFonts w:ascii="宋体" w:hAnsi="宋体" w:cs="宋体" w:eastAsia="宋体" w:hint="default"/>
                <w:spacing w:val="11"/>
                <w:sz w:val="18"/>
                <w:szCs w:val="18"/>
              </w:rPr>
              <w:t>广西海吉星国际农产品物</w:t>
            </w:r>
            <w:r>
              <w:rPr>
                <w:rFonts w:ascii="宋体" w:hAnsi="宋体" w:cs="宋体" w:eastAsia="宋体" w:hint="default"/>
                <w:sz w:val="18"/>
                <w:szCs w:val="18"/>
              </w:rPr>
              <w:t> 流有限公司</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子公司借款</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81,000,000.00</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9.85</w:t>
            </w:r>
          </w:p>
        </w:tc>
      </w:tr>
      <w:tr>
        <w:trPr>
          <w:trHeight w:val="571"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05" w:right="110"/>
              <w:jc w:val="left"/>
              <w:rPr>
                <w:rFonts w:ascii="宋体" w:hAnsi="宋体" w:cs="宋体" w:eastAsia="宋体" w:hint="default"/>
                <w:sz w:val="18"/>
                <w:szCs w:val="18"/>
              </w:rPr>
            </w:pPr>
            <w:r>
              <w:rPr>
                <w:rFonts w:ascii="宋体" w:hAnsi="宋体" w:cs="宋体" w:eastAsia="宋体" w:hint="default"/>
                <w:spacing w:val="11"/>
                <w:sz w:val="18"/>
                <w:szCs w:val="18"/>
              </w:rPr>
              <w:t>西安摩尔农产品有限责任</w:t>
            </w:r>
            <w:r>
              <w:rPr>
                <w:rFonts w:ascii="宋体" w:hAnsi="宋体" w:cs="宋体" w:eastAsia="宋体" w:hint="default"/>
                <w:sz w:val="18"/>
                <w:szCs w:val="18"/>
              </w:rPr>
              <w:t> 公司</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子公司借款</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65,351,403.29</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7.95</w:t>
            </w:r>
          </w:p>
        </w:tc>
      </w:tr>
      <w:tr>
        <w:trPr>
          <w:trHeight w:val="569"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05" w:right="110"/>
              <w:jc w:val="left"/>
              <w:rPr>
                <w:rFonts w:ascii="宋体" w:hAnsi="宋体" w:cs="宋体" w:eastAsia="宋体" w:hint="default"/>
                <w:sz w:val="18"/>
                <w:szCs w:val="18"/>
              </w:rPr>
            </w:pPr>
            <w:r>
              <w:rPr>
                <w:rFonts w:ascii="宋体" w:hAnsi="宋体" w:cs="宋体" w:eastAsia="宋体" w:hint="default"/>
                <w:spacing w:val="11"/>
                <w:sz w:val="18"/>
                <w:szCs w:val="18"/>
              </w:rPr>
              <w:t>长沙马王堆农产品股份有</w:t>
            </w:r>
            <w:r>
              <w:rPr>
                <w:rFonts w:ascii="宋体" w:hAnsi="宋体" w:cs="宋体" w:eastAsia="宋体" w:hint="default"/>
                <w:sz w:val="18"/>
                <w:szCs w:val="18"/>
              </w:rPr>
              <w:t> 限公司</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子公司借款</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58,952,752.55</w:t>
            </w: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7.17</w:t>
            </w:r>
          </w:p>
        </w:tc>
      </w:tr>
      <w:tr>
        <w:trPr>
          <w:trHeight w:val="370" w:hRule="exact"/>
        </w:trPr>
        <w:tc>
          <w:tcPr>
            <w:tcW w:w="23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97" w:type="dxa"/>
            <w:tcBorders>
              <w:top w:val="single" w:sz="4" w:space="0" w:color="000008"/>
              <w:left w:val="single" w:sz="4" w:space="0" w:color="000008"/>
              <w:bottom w:val="single" w:sz="4" w:space="0" w:color="000008"/>
              <w:right w:val="single" w:sz="4" w:space="0" w:color="000008"/>
            </w:tcBorders>
          </w:tcPr>
          <w:p>
            <w:pPr/>
          </w:p>
        </w:tc>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b/>
                <w:spacing w:val="-1"/>
                <w:sz w:val="18"/>
              </w:rPr>
              <w:t>586,345,561.18</w:t>
            </w:r>
            <w:r>
              <w:rPr>
                <w:rFonts w:ascii="Times New Roman"/>
                <w:spacing w:val="-1"/>
                <w:sz w:val="18"/>
              </w:rPr>
            </w:r>
          </w:p>
        </w:tc>
        <w:tc>
          <w:tcPr>
            <w:tcW w:w="1745" w:type="dxa"/>
            <w:tcBorders>
              <w:top w:val="single" w:sz="4" w:space="0" w:color="000008"/>
              <w:left w:val="single" w:sz="4" w:space="0" w:color="000008"/>
              <w:bottom w:val="single" w:sz="4" w:space="0" w:color="000008"/>
              <w:right w:val="single" w:sz="4" w:space="0" w:color="000008"/>
            </w:tcBorders>
          </w:tcPr>
          <w:p>
            <w:pPr/>
          </w:p>
        </w:tc>
        <w:tc>
          <w:tcPr>
            <w:tcW w:w="17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71.30</w:t>
            </w:r>
            <w:r>
              <w:rPr>
                <w:rFonts w:ascii="Times New Roman"/>
                <w:spacing w:val="-1"/>
                <w:sz w:val="18"/>
              </w:rPr>
            </w:r>
          </w:p>
        </w:tc>
      </w:tr>
    </w:tbl>
    <w:p>
      <w:pPr>
        <w:spacing w:line="240" w:lineRule="auto" w:before="8"/>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）其他应收关联方账款情况详见附注六、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943" w:footer="897" w:top="1640" w:bottom="1080" w:left="1480" w:right="5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1178" w:val="left" w:leader="none"/>
        </w:tabs>
        <w:spacing w:before="0"/>
        <w:ind w:left="767"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i.</w:t>
        <w:tab/>
      </w:r>
      <w:r>
        <w:rPr>
          <w:rFonts w:ascii="宋体" w:hAnsi="宋体" w:cs="宋体" w:eastAsia="宋体" w:hint="default"/>
          <w:spacing w:val="-1"/>
          <w:sz w:val="21"/>
          <w:szCs w:val="21"/>
        </w:rPr>
        <w:t>长期股权投资</w:t>
      </w:r>
    </w:p>
    <w:p>
      <w:pPr>
        <w:spacing w:line="240" w:lineRule="auto" w:before="10"/>
        <w:rPr>
          <w:rFonts w:ascii="宋体" w:hAnsi="宋体" w:cs="宋体" w:eastAsia="宋体" w:hint="default"/>
          <w:sz w:val="11"/>
          <w:szCs w:val="11"/>
        </w:rPr>
      </w:pPr>
    </w:p>
    <w:tbl>
      <w:tblPr>
        <w:tblW w:w="0" w:type="auto"/>
        <w:jc w:val="left"/>
        <w:tblInd w:w="343" w:type="dxa"/>
        <w:tblLayout w:type="fixed"/>
        <w:tblCellMar>
          <w:top w:w="0" w:type="dxa"/>
          <w:left w:w="0" w:type="dxa"/>
          <w:bottom w:w="0" w:type="dxa"/>
          <w:right w:w="0" w:type="dxa"/>
        </w:tblCellMar>
        <w:tblLook w:val="01E0"/>
      </w:tblPr>
      <w:tblGrid>
        <w:gridCol w:w="2292"/>
        <w:gridCol w:w="994"/>
        <w:gridCol w:w="1558"/>
        <w:gridCol w:w="1560"/>
        <w:gridCol w:w="1418"/>
        <w:gridCol w:w="1558"/>
        <w:gridCol w:w="1342"/>
        <w:gridCol w:w="1836"/>
        <w:gridCol w:w="1481"/>
      </w:tblGrid>
      <w:tr>
        <w:trPr>
          <w:trHeight w:val="370" w:hRule="exact"/>
        </w:trPr>
        <w:tc>
          <w:tcPr>
            <w:tcW w:w="22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232"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355" w:right="0"/>
              <w:jc w:val="left"/>
              <w:rPr>
                <w:rFonts w:ascii="Times New Roman" w:hAnsi="Times New Roman" w:cs="Times New Roman" w:eastAsia="Times New Roman" w:hint="default"/>
                <w:sz w:val="18"/>
                <w:szCs w:val="18"/>
              </w:rPr>
            </w:pPr>
            <w:r>
              <w:rPr>
                <w:rFonts w:ascii="Times New Roman"/>
                <w:sz w:val="18"/>
              </w:rPr>
              <w:t>2008-12-31</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34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left="352" w:right="0"/>
              <w:jc w:val="left"/>
              <w:rPr>
                <w:rFonts w:ascii="Times New Roman" w:hAnsi="Times New Roman" w:cs="Times New Roman" w:eastAsia="Times New Roman" w:hint="default"/>
                <w:sz w:val="18"/>
                <w:szCs w:val="18"/>
              </w:rPr>
            </w:pPr>
            <w:r>
              <w:rPr>
                <w:rFonts w:ascii="Times New Roman"/>
                <w:sz w:val="18"/>
              </w:rPr>
              <w:t>2009-12-31</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30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94"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96"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70" w:hRule="exact"/>
        </w:trPr>
        <w:tc>
          <w:tcPr>
            <w:tcW w:w="22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9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1,107,728,140.00</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1,010,648,140.00</w:t>
            </w:r>
          </w:p>
        </w:tc>
        <w:tc>
          <w:tcPr>
            <w:tcW w:w="1418" w:type="dxa"/>
            <w:tcBorders>
              <w:top w:val="single" w:sz="4" w:space="0" w:color="000008"/>
              <w:left w:val="single" w:sz="4" w:space="0" w:color="000008"/>
              <w:bottom w:val="single" w:sz="4" w:space="0" w:color="000008"/>
              <w:right w:val="single" w:sz="4" w:space="0" w:color="000008"/>
            </w:tcBorders>
          </w:tcPr>
          <w:p>
            <w:pPr/>
          </w:p>
        </w:tc>
        <w:tc>
          <w:tcPr>
            <w:tcW w:w="1558"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47,588,595.27</w:t>
            </w:r>
          </w:p>
        </w:tc>
      </w:tr>
      <w:tr>
        <w:trPr>
          <w:trHeight w:val="410" w:hRule="exact"/>
        </w:trPr>
        <w:tc>
          <w:tcPr>
            <w:tcW w:w="22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9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28,677,790.00</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1,039,325,930.00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z w:val="18"/>
              </w:rPr>
              <w:t>--</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22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left="115"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9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181,740,590.17</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193,214,369.62</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23,173,887.02</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216,388,256.64</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26,935,000.00</w:t>
            </w:r>
          </w:p>
        </w:tc>
      </w:tr>
      <w:tr>
        <w:trPr>
          <w:trHeight w:val="410" w:hRule="exact"/>
        </w:trPr>
        <w:tc>
          <w:tcPr>
            <w:tcW w:w="22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9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259,806,469.55</w:t>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111,366,911.26</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-68,975,000.00</w:t>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2"/>
                <w:sz w:val="18"/>
              </w:rPr>
              <w:t>42,391,911.26</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pacing w:val="-1"/>
                <w:sz w:val="18"/>
              </w:rPr>
              <w:t>6,071,911.26</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61,852.58</w:t>
            </w:r>
          </w:p>
        </w:tc>
      </w:tr>
      <w:tr>
        <w:trPr>
          <w:trHeight w:val="410" w:hRule="exact"/>
        </w:trPr>
        <w:tc>
          <w:tcPr>
            <w:tcW w:w="22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5"/>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994" w:type="dxa"/>
            <w:tcBorders>
              <w:top w:val="single" w:sz="4" w:space="0" w:color="000008"/>
              <w:left w:val="single" w:sz="4" w:space="0" w:color="000008"/>
              <w:bottom w:val="single" w:sz="4" w:space="0" w:color="000008"/>
              <w:right w:val="single" w:sz="4" w:space="0" w:color="000008"/>
            </w:tcBorders>
          </w:tcPr>
          <w:p>
            <w:pP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b/>
                <w:spacing w:val="-1"/>
                <w:sz w:val="18"/>
              </w:rPr>
              <w:t>1,549,275,199.72</w:t>
            </w:r>
            <w:r>
              <w:rPr>
                <w:rFonts w:ascii="Times New Roman"/>
                <w:spacing w:val="-1"/>
                <w:sz w:val="18"/>
              </w:rPr>
            </w:r>
          </w:p>
        </w:tc>
        <w:tc>
          <w:tcPr>
            <w:tcW w:w="15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b/>
                <w:spacing w:val="-1"/>
                <w:sz w:val="18"/>
              </w:rPr>
              <w:t>1,315,229,420.88</w:t>
            </w:r>
            <w:r>
              <w:rPr>
                <w:rFonts w:ascii="Times New Roman"/>
                <w:spacing w:val="-1"/>
                <w:sz w:val="18"/>
              </w:rPr>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b/>
                <w:spacing w:val="-1"/>
                <w:sz w:val="18"/>
              </w:rPr>
              <w:t>-17,123,322.98</w:t>
            </w:r>
            <w:r>
              <w:rPr>
                <w:rFonts w:ascii="Times New Roman"/>
                <w:spacing w:val="-1"/>
                <w:sz w:val="18"/>
              </w:rPr>
            </w:r>
          </w:p>
        </w:tc>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b/>
                <w:spacing w:val="-1"/>
                <w:sz w:val="18"/>
              </w:rPr>
              <w:t>1,298,106,097.90</w:t>
            </w:r>
            <w:r>
              <w:rPr>
                <w:rFonts w:ascii="Times New Roman"/>
                <w:spacing w:val="-1"/>
                <w:sz w:val="18"/>
              </w:rPr>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6,071,911.26</w:t>
            </w:r>
            <w:r>
              <w:rPr>
                <w:rFonts w:ascii="Times New Roman"/>
                <w:spacing w:val="-1"/>
                <w:sz w:val="18"/>
              </w:rPr>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-100,000,000.00</w:t>
            </w:r>
            <w:r>
              <w:rPr>
                <w:rFonts w:ascii="Times New Roman"/>
                <w:spacing w:val="-1"/>
                <w:sz w:val="18"/>
              </w:rPr>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74,585,447.85</w:t>
            </w:r>
            <w:r>
              <w:rPr>
                <w:rFonts w:ascii="Times New Roman"/>
                <w:spacing w:val="-1"/>
                <w:sz w:val="18"/>
              </w:rPr>
            </w:r>
          </w:p>
        </w:tc>
      </w:tr>
    </w:tbl>
    <w:p>
      <w:pPr>
        <w:spacing w:before="187"/>
        <w:ind w:left="878" w:right="0"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Microsoft JhengHei" w:hAnsi="Microsoft JhengHei" w:cs="Microsoft JhengHei" w:eastAsia="Microsoft JhengHei" w:hint="default"/>
          <w:b/>
          <w:bCs/>
          <w:sz w:val="21"/>
          <w:szCs w:val="21"/>
        </w:rPr>
        <w:t>对子公司投资</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117" w:type="dxa"/>
        <w:tblLayout w:type="fixed"/>
        <w:tblCellMar>
          <w:top w:w="0" w:type="dxa"/>
          <w:left w:w="0" w:type="dxa"/>
          <w:bottom w:w="0" w:type="dxa"/>
          <w:right w:w="0" w:type="dxa"/>
        </w:tblCellMar>
        <w:tblLook w:val="01E0"/>
      </w:tblPr>
      <w:tblGrid>
        <w:gridCol w:w="3456"/>
        <w:gridCol w:w="912"/>
        <w:gridCol w:w="1476"/>
        <w:gridCol w:w="1656"/>
        <w:gridCol w:w="1349"/>
        <w:gridCol w:w="1656"/>
        <w:gridCol w:w="970"/>
        <w:gridCol w:w="1039"/>
        <w:gridCol w:w="648"/>
        <w:gridCol w:w="850"/>
        <w:gridCol w:w="1277"/>
      </w:tblGrid>
      <w:tr>
        <w:trPr>
          <w:trHeight w:val="109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367" w:lineRule="auto"/>
              <w:ind w:left="271" w:right="26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2008-12-31</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2009-12-31</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ind w:left="120"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ind w:left="110" w:right="10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w:t>
            </w:r>
            <w:r>
              <w:rPr>
                <w:rFonts w:ascii="Times New Roman" w:hAnsi="Times New Roman" w:cs="Times New Roman" w:eastAsia="Times New Roman" w:hint="default"/>
                <w:sz w:val="18"/>
                <w:szCs w:val="18"/>
              </w:rPr>
              <w:t>(%)</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367" w:lineRule="auto"/>
              <w:ind w:left="139"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3"/>
              <w:ind w:left="148" w:right="149"/>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367" w:lineRule="auto"/>
              <w:ind w:left="276" w:right="269"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107,054,950.00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107,054,950.00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107,054,950.00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72.99</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72.99</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4,250.00</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12,595,200.00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12,595,200.00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12,595,200.00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51.20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51.20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南昌深圳农产品中心批发市场有限公司</w:t>
            </w:r>
            <w:r>
              <w:rPr>
                <w:rFonts w:ascii="Times New Roman" w:hAnsi="Times New Roman" w:cs="Times New Roman" w:eastAsia="Times New Roman" w:hint="default"/>
                <w:sz w:val="18"/>
                <w:szCs w:val="18"/>
              </w:rPr>
              <w:t>*1</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43,179,404.42</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23,799,404.42</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19,380,000.00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43,179,404.42</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63,785,000.00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63,785,000.00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63,785,000.00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93.33</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93.33</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58,219,504.29</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58,219,504.29</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58,219,504.29</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7,650,000.00</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113,334,433.95</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113,334,433.95</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2"/>
                <w:sz w:val="18"/>
              </w:rPr>
              <w:t>113,334,433.95</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8,500,000.00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85.00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46,191,426.00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46,191,426.00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46,191,426.00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177"/>
          <w:footerReference w:type="default" r:id="rId178"/>
          <w:pgSz w:w="16840" w:h="11910" w:orient="landscape"/>
          <w:pgMar w:header="943" w:footer="896" w:top="1640" w:bottom="1080" w:left="960" w:right="360"/>
          <w:pgNumType w:start="193"/>
        </w:sectPr>
      </w:pPr>
    </w:p>
    <w:p>
      <w:pPr>
        <w:spacing w:line="240" w:lineRule="auto" w:before="2"/>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3456"/>
        <w:gridCol w:w="912"/>
        <w:gridCol w:w="1476"/>
        <w:gridCol w:w="1656"/>
        <w:gridCol w:w="1349"/>
        <w:gridCol w:w="1656"/>
        <w:gridCol w:w="970"/>
        <w:gridCol w:w="1039"/>
        <w:gridCol w:w="648"/>
        <w:gridCol w:w="850"/>
        <w:gridCol w:w="1277"/>
      </w:tblGrid>
      <w:tr>
        <w:trPr>
          <w:trHeight w:val="109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67" w:lineRule="auto"/>
              <w:ind w:left="271" w:right="26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2008-12-31</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2009-12-31</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ind w:left="120"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ind w:left="110" w:right="10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w:t>
            </w:r>
            <w:r>
              <w:rPr>
                <w:rFonts w:ascii="Times New Roman" w:hAnsi="Times New Roman" w:cs="Times New Roman" w:eastAsia="Times New Roman" w:hint="default"/>
                <w:sz w:val="18"/>
                <w:szCs w:val="18"/>
              </w:rPr>
              <w:t>(%)</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67" w:lineRule="auto"/>
              <w:ind w:left="139"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3"/>
              <w:ind w:left="148" w:right="149"/>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67" w:lineRule="auto"/>
              <w:ind w:left="276" w:right="269"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21,000,000.00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深圳市博丽雅设计装饰工程公司</w:t>
            </w:r>
            <w:r>
              <w:rPr>
                <w:rFonts w:ascii="Times New Roman" w:hAnsi="Times New Roman" w:cs="Times New Roman" w:eastAsia="Times New Roman" w:hint="default"/>
                <w:sz w:val="18"/>
                <w:szCs w:val="18"/>
              </w:rPr>
              <w:t>*2</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5,102,210.00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5,102,210.00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-5,102,210.00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1,100,000.00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55.00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8,650,000.00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86.50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3,944,562.05</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山东寿光蔬菜批发市场有限公司</w:t>
            </w:r>
            <w:r>
              <w:rPr>
                <w:rFonts w:ascii="Times New Roman" w:hAnsi="Times New Roman" w:cs="Times New Roman" w:eastAsia="Times New Roman" w:hint="default"/>
                <w:sz w:val="18"/>
                <w:szCs w:val="18"/>
              </w:rPr>
              <w:t>*3</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3,310,000.00</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11,892,038.00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11,892,038.00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2"/>
                <w:sz w:val="18"/>
              </w:rPr>
              <w:t>11,892,038.00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27,820,000.00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27,820,000.00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27,820,000.00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47.06</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47.06</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34,680,000.00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34,680,000.00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34,680,000.00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51.00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38,247,453.34</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38,247,453.34</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38,247,453.34</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1,323,035.36</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16,000,000.00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10,556,747.86</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45,000,000.00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45,000,000.00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深圳市海吉星国际农产品物流有限公司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7,000,000.00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2"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70,000,000.00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70,000,000.00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51,286,400.00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51,286,400.00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51,286,400.00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深圳市西岸渔人码头商业有限公司</w:t>
            </w:r>
            <w:r>
              <w:rPr>
                <w:rFonts w:ascii="Times New Roman" w:hAnsi="Times New Roman" w:cs="Times New Roman" w:eastAsia="Times New Roman" w:hint="default"/>
                <w:sz w:val="18"/>
                <w:szCs w:val="18"/>
              </w:rPr>
              <w:t>*4</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11,552,120.00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11,552,120.00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11,552,120.00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9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8,838,000.00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8,838,000.00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8,838,000.00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43" w:footer="896" w:top="1640" w:bottom="1080" w:left="960" w:right="360"/>
        </w:sectPr>
      </w:pPr>
    </w:p>
    <w:p>
      <w:pPr>
        <w:spacing w:line="240" w:lineRule="auto" w:before="2"/>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3456"/>
        <w:gridCol w:w="914"/>
        <w:gridCol w:w="1476"/>
        <w:gridCol w:w="1656"/>
        <w:gridCol w:w="1349"/>
        <w:gridCol w:w="1656"/>
        <w:gridCol w:w="970"/>
        <w:gridCol w:w="1039"/>
        <w:gridCol w:w="648"/>
        <w:gridCol w:w="850"/>
        <w:gridCol w:w="1277"/>
      </w:tblGrid>
      <w:tr>
        <w:trPr>
          <w:trHeight w:val="109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67" w:lineRule="auto"/>
              <w:ind w:left="273" w:right="26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2008-12-31</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2009-12-31</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ind w:left="120"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ind w:left="110" w:right="10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w:t>
            </w:r>
            <w:r>
              <w:rPr>
                <w:rFonts w:ascii="Times New Roman" w:hAnsi="Times New Roman" w:cs="Times New Roman" w:eastAsia="Times New Roman" w:hint="default"/>
                <w:sz w:val="18"/>
                <w:szCs w:val="18"/>
              </w:rPr>
              <w:t>(%)</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67" w:lineRule="auto"/>
              <w:ind w:left="139"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3"/>
              <w:ind w:left="148" w:right="149"/>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67" w:lineRule="auto"/>
              <w:ind w:left="276" w:right="269"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5"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9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135,000,000.00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135,000,000.00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合肥国家棉花交易中心有限责任公司</w:t>
            </w:r>
            <w:r>
              <w:rPr>
                <w:rFonts w:ascii="Times New Roman" w:hAnsi="Times New Roman" w:cs="Times New Roman" w:eastAsia="Times New Roman" w:hint="default"/>
                <w:sz w:val="18"/>
                <w:szCs w:val="18"/>
              </w:rPr>
              <w:t>*5</w:t>
            </w:r>
          </w:p>
        </w:tc>
        <w:tc>
          <w:tcPr>
            <w:tcW w:w="9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4,000,000.00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55.55</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广州海吉星市场管理有限公司</w:t>
            </w:r>
            <w:r>
              <w:rPr>
                <w:rFonts w:ascii="Times New Roman" w:hAnsi="Times New Roman" w:cs="Times New Roman" w:eastAsia="Times New Roman" w:hint="default"/>
                <w:sz w:val="18"/>
                <w:szCs w:val="18"/>
              </w:rPr>
              <w:t>*6</w:t>
            </w:r>
          </w:p>
        </w:tc>
        <w:tc>
          <w:tcPr>
            <w:tcW w:w="9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宁夏海吉星国际农产品物流有限公司</w:t>
            </w:r>
            <w:r>
              <w:rPr>
                <w:rFonts w:ascii="Times New Roman" w:hAnsi="Times New Roman" w:cs="Times New Roman" w:eastAsia="Times New Roman" w:hint="default"/>
                <w:sz w:val="18"/>
                <w:szCs w:val="18"/>
              </w:rPr>
              <w:t>*6</w:t>
            </w:r>
          </w:p>
        </w:tc>
        <w:tc>
          <w:tcPr>
            <w:tcW w:w="9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青岛市海吉星农产品物流中心有限公司</w:t>
            </w:r>
            <w:r>
              <w:rPr>
                <w:rFonts w:ascii="Times New Roman" w:hAnsi="Times New Roman" w:cs="Times New Roman" w:eastAsia="Times New Roman" w:hint="default"/>
                <w:sz w:val="18"/>
                <w:szCs w:val="18"/>
              </w:rPr>
              <w:t>*6</w:t>
            </w:r>
          </w:p>
        </w:tc>
        <w:tc>
          <w:tcPr>
            <w:tcW w:w="9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60.00</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长春海吉星农产品物流有限公司</w:t>
            </w:r>
            <w:r>
              <w:rPr>
                <w:rFonts w:ascii="Times New Roman" w:hAnsi="Times New Roman" w:cs="Times New Roman" w:eastAsia="Times New Roman" w:hint="default"/>
                <w:sz w:val="18"/>
                <w:szCs w:val="18"/>
              </w:rPr>
              <w:t>*6</w:t>
            </w:r>
          </w:p>
        </w:tc>
        <w:tc>
          <w:tcPr>
            <w:tcW w:w="9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20,400,000.00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20,400,000.00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20,400,000.00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63.75</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63.75</w:t>
            </w: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914"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1,107,728,140.00</w:t>
            </w:r>
            <w:r>
              <w:rPr>
                <w:rFonts w:ascii="Times New Roman"/>
                <w:spacing w:val="-1"/>
                <w:sz w:val="18"/>
              </w:rPr>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1,010,648,140.00</w:t>
            </w:r>
            <w:r>
              <w:rPr>
                <w:rFonts w:ascii="Times New Roman"/>
                <w:spacing w:val="-1"/>
                <w:sz w:val="18"/>
              </w:rPr>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28,677,790.00</w:t>
            </w:r>
            <w:r>
              <w:rPr>
                <w:rFonts w:ascii="Times New Roman"/>
                <w:spacing w:val="-1"/>
                <w:sz w:val="18"/>
              </w:rPr>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1,039,325,930.00</w:t>
            </w:r>
            <w:r>
              <w:rPr>
                <w:rFonts w:ascii="Times New Roman"/>
                <w:spacing w:val="-1"/>
                <w:sz w:val="18"/>
              </w:rPr>
            </w:r>
          </w:p>
        </w:tc>
        <w:tc>
          <w:tcPr>
            <w:tcW w:w="970" w:type="dxa"/>
            <w:tcBorders>
              <w:top w:val="single" w:sz="4" w:space="0" w:color="000008"/>
              <w:left w:val="single" w:sz="4" w:space="0" w:color="000008"/>
              <w:bottom w:val="single" w:sz="4" w:space="0" w:color="000008"/>
              <w:right w:val="single" w:sz="4" w:space="0" w:color="000008"/>
            </w:tcBorders>
          </w:tcPr>
          <w:p>
            <w:pPr/>
          </w:p>
        </w:tc>
        <w:tc>
          <w:tcPr>
            <w:tcW w:w="1039" w:type="dxa"/>
            <w:tcBorders>
              <w:top w:val="single" w:sz="4" w:space="0" w:color="000008"/>
              <w:left w:val="single" w:sz="4" w:space="0" w:color="000008"/>
              <w:bottom w:val="single" w:sz="4" w:space="0" w:color="000008"/>
              <w:right w:val="single" w:sz="4" w:space="0" w:color="000008"/>
            </w:tcBorders>
          </w:tcPr>
          <w:p>
            <w:pPr/>
          </w:p>
        </w:tc>
        <w:tc>
          <w:tcPr>
            <w:tcW w:w="6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b/>
                <w:spacing w:val="-1"/>
                <w:sz w:val="18"/>
              </w:rPr>
              <w:t>47,588,595.27</w:t>
            </w:r>
            <w:r>
              <w:rPr>
                <w:rFonts w:ascii="Times New Roman"/>
                <w:spacing w:val="-1"/>
                <w:sz w:val="18"/>
              </w:rPr>
            </w:r>
          </w:p>
        </w:tc>
      </w:tr>
    </w:tbl>
    <w:p>
      <w:pPr>
        <w:spacing w:line="240" w:lineRule="auto" w:before="11"/>
        <w:rPr>
          <w:rFonts w:ascii="Times New Roman" w:hAnsi="Times New Roman" w:cs="Times New Roman" w:eastAsia="Times New Roman" w:hint="default"/>
          <w:sz w:val="18"/>
          <w:szCs w:val="18"/>
        </w:rPr>
      </w:pPr>
    </w:p>
    <w:p>
      <w:pPr>
        <w:spacing w:before="36"/>
        <w:ind w:left="878"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2"/>
          <w:sz w:val="21"/>
          <w:szCs w:val="21"/>
        </w:rPr>
        <w:t>本公司本期与该公司其他股东江西农药厂和南昌市蔬菜贸易总公司签订增资协议，按照原持股比例对该公司进行增资，本公司增资金额为</w:t>
      </w:r>
    </w:p>
    <w:p>
      <w:pPr>
        <w:spacing w:before="110"/>
        <w:ind w:left="4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19,380,000.00 </w:t>
      </w:r>
      <w:r>
        <w:rPr>
          <w:rFonts w:ascii="宋体" w:hAnsi="宋体" w:cs="宋体" w:eastAsia="宋体" w:hint="default"/>
          <w:sz w:val="21"/>
          <w:szCs w:val="21"/>
        </w:rPr>
        <w:t>元，增资后持股比例仍为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w:t>
      </w:r>
    </w:p>
    <w:p>
      <w:pPr>
        <w:spacing w:line="240" w:lineRule="auto" w:before="13"/>
        <w:rPr>
          <w:rFonts w:ascii="宋体" w:hAnsi="宋体" w:cs="宋体" w:eastAsia="宋体" w:hint="default"/>
          <w:sz w:val="21"/>
          <w:szCs w:val="21"/>
        </w:rPr>
      </w:pPr>
    </w:p>
    <w:p>
      <w:pPr>
        <w:spacing w:line="331" w:lineRule="auto" w:before="0"/>
        <w:ind w:left="458"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 </w:t>
      </w:r>
      <w:r>
        <w:rPr>
          <w:rFonts w:ascii="宋体" w:hAnsi="宋体" w:cs="宋体" w:eastAsia="宋体" w:hint="default"/>
          <w:sz w:val="21"/>
          <w:szCs w:val="21"/>
        </w:rPr>
        <w:t>本公司本期将持有的深圳市博丽雅设计装饰工程有限公司 </w:t>
      </w:r>
      <w:r>
        <w:rPr>
          <w:rFonts w:ascii="Times New Roman" w:hAnsi="Times New Roman" w:cs="Times New Roman" w:eastAsia="Times New Roman" w:hint="default"/>
          <w:spacing w:val="-3"/>
          <w:sz w:val="21"/>
          <w:szCs w:val="21"/>
        </w:rPr>
        <w:t>21.02%</w:t>
      </w:r>
      <w:r>
        <w:rPr>
          <w:rFonts w:ascii="宋体" w:hAnsi="宋体" w:cs="宋体" w:eastAsia="宋体" w:hint="default"/>
          <w:spacing w:val="-3"/>
          <w:sz w:val="21"/>
          <w:szCs w:val="21"/>
        </w:rPr>
        <w:t>转让给深圳市东雅贸易有限公司该公司，转让后本公司拥有博丽雅公司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的股</w:t>
      </w:r>
      <w:r>
        <w:rPr>
          <w:rFonts w:ascii="宋体" w:hAnsi="宋体" w:cs="宋体" w:eastAsia="宋体" w:hint="default"/>
          <w:w w:val="100"/>
          <w:sz w:val="21"/>
          <w:szCs w:val="21"/>
        </w:rPr>
        <w:t> </w:t>
      </w:r>
      <w:r>
        <w:rPr>
          <w:rFonts w:ascii="宋体" w:hAnsi="宋体" w:cs="宋体" w:eastAsia="宋体" w:hint="default"/>
          <w:spacing w:val="-4"/>
          <w:w w:val="100"/>
          <w:sz w:val="21"/>
          <w:szCs w:val="21"/>
        </w:rPr>
        <w:t>权，对其不再拥有控制权。，故本公司将对该公司的长期股权投资由成本法转为权益法核算。</w:t>
      </w:r>
    </w:p>
    <w:p>
      <w:pPr>
        <w:spacing w:line="240" w:lineRule="auto" w:before="1"/>
        <w:rPr>
          <w:rFonts w:ascii="宋体" w:hAnsi="宋体" w:cs="宋体" w:eastAsia="宋体" w:hint="default"/>
          <w:sz w:val="17"/>
          <w:szCs w:val="17"/>
        </w:rPr>
      </w:pPr>
    </w:p>
    <w:p>
      <w:pPr>
        <w:spacing w:before="0"/>
        <w:ind w:left="878"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该公司本年已转让。</w:t>
      </w:r>
    </w:p>
    <w:p>
      <w:pPr>
        <w:spacing w:line="240" w:lineRule="auto" w:before="2"/>
        <w:rPr>
          <w:rFonts w:ascii="宋体" w:hAnsi="宋体" w:cs="宋体" w:eastAsia="宋体" w:hint="default"/>
          <w:sz w:val="22"/>
          <w:szCs w:val="22"/>
        </w:rPr>
      </w:pPr>
    </w:p>
    <w:p>
      <w:pPr>
        <w:spacing w:before="0"/>
        <w:ind w:left="878"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*4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深圳市西岸渔人码头商业有限公司原名为深圳市海吉星渔港实业有限公司，</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月变更为现名。</w:t>
      </w:r>
    </w:p>
    <w:p>
      <w:pPr>
        <w:spacing w:line="240" w:lineRule="auto" w:before="13"/>
        <w:rPr>
          <w:rFonts w:ascii="宋体" w:hAnsi="宋体" w:cs="宋体" w:eastAsia="宋体" w:hint="default"/>
          <w:sz w:val="21"/>
          <w:szCs w:val="21"/>
        </w:rPr>
      </w:pPr>
    </w:p>
    <w:p>
      <w:pPr>
        <w:spacing w:line="328" w:lineRule="auto" w:before="0"/>
        <w:ind w:left="458"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本期该公司另一股东补足投资额，本公司持股比例由</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降为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。但在董事会中享有多数表决权，实际控制该公司经营，故将合肥棉花交易中</w:t>
      </w:r>
      <w:r>
        <w:rPr>
          <w:rFonts w:ascii="宋体" w:hAnsi="宋体" w:cs="宋体" w:eastAsia="宋体" w:hint="default"/>
          <w:w w:val="100"/>
          <w:sz w:val="21"/>
          <w:szCs w:val="21"/>
        </w:rPr>
        <w:t> </w:t>
      </w:r>
      <w:r>
        <w:rPr>
          <w:rFonts w:ascii="宋体" w:hAnsi="宋体" w:cs="宋体" w:eastAsia="宋体" w:hint="default"/>
          <w:sz w:val="21"/>
          <w:szCs w:val="21"/>
        </w:rPr>
        <w:t>心作为子公司进行核算。</w:t>
      </w:r>
    </w:p>
    <w:p>
      <w:pPr>
        <w:spacing w:after="0" w:line="328" w:lineRule="auto"/>
        <w:jc w:val="left"/>
        <w:rPr>
          <w:rFonts w:ascii="宋体" w:hAnsi="宋体" w:cs="宋体" w:eastAsia="宋体" w:hint="default"/>
          <w:sz w:val="21"/>
          <w:szCs w:val="21"/>
        </w:rPr>
        <w:sectPr>
          <w:pgSz w:w="16840" w:h="11910" w:orient="landscape"/>
          <w:pgMar w:header="943" w:footer="896" w:top="1640" w:bottom="1080" w:left="960" w:right="360"/>
        </w:sectPr>
      </w:pPr>
    </w:p>
    <w:p>
      <w:pPr>
        <w:spacing w:line="240" w:lineRule="auto" w:before="11"/>
        <w:rPr>
          <w:rFonts w:ascii="宋体" w:hAnsi="宋体" w:cs="宋体" w:eastAsia="宋体" w:hint="default"/>
          <w:sz w:val="18"/>
          <w:szCs w:val="18"/>
        </w:rPr>
      </w:pPr>
    </w:p>
    <w:p>
      <w:pPr>
        <w:spacing w:before="36"/>
        <w:ind w:left="558" w:right="99"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*6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本期新设公司。</w:t>
      </w:r>
    </w:p>
    <w:p>
      <w:pPr>
        <w:spacing w:line="240" w:lineRule="auto" w:before="2"/>
        <w:rPr>
          <w:rFonts w:ascii="宋体" w:hAnsi="宋体" w:cs="宋体" w:eastAsia="宋体" w:hint="default"/>
          <w:sz w:val="22"/>
          <w:szCs w:val="22"/>
        </w:rPr>
      </w:pPr>
    </w:p>
    <w:p>
      <w:pPr>
        <w:spacing w:before="0"/>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）对联营企业投资</w:t>
      </w:r>
    </w:p>
    <w:p>
      <w:pPr>
        <w:spacing w:line="240" w:lineRule="auto" w:before="7"/>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3098"/>
        <w:gridCol w:w="850"/>
        <w:gridCol w:w="1356"/>
        <w:gridCol w:w="1519"/>
        <w:gridCol w:w="1349"/>
        <w:gridCol w:w="1346"/>
        <w:gridCol w:w="970"/>
        <w:gridCol w:w="1037"/>
        <w:gridCol w:w="588"/>
        <w:gridCol w:w="710"/>
        <w:gridCol w:w="1274"/>
      </w:tblGrid>
      <w:tr>
        <w:trPr>
          <w:trHeight w:val="1771"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46" w:lineRule="auto" w:before="149"/>
              <w:ind w:left="242" w:right="235"/>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31"/>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2008-12-31</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1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2009-12-31</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46" w:lineRule="auto" w:before="149"/>
              <w:ind w:left="288" w:right="151"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46" w:lineRule="auto" w:before="149"/>
              <w:ind w:left="110" w:right="10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448" w:lineRule="auto"/>
              <w:ind w:left="170" w:right="168"/>
              <w:jc w:val="both"/>
              <w:rPr>
                <w:rFonts w:ascii="宋体" w:hAnsi="宋体" w:cs="宋体" w:eastAsia="宋体" w:hint="default"/>
                <w:sz w:val="18"/>
                <w:szCs w:val="18"/>
              </w:rPr>
            </w:pPr>
            <w:r>
              <w:rPr>
                <w:rFonts w:ascii="宋体" w:hAnsi="宋体" w:cs="宋体" w:eastAsia="宋体" w:hint="default"/>
                <w:sz w:val="18"/>
                <w:szCs w:val="18"/>
              </w:rPr>
              <w:t>本期 计提 减值</w:t>
            </w:r>
          </w:p>
          <w:p>
            <w:pPr>
              <w:pStyle w:val="TableParagraph"/>
              <w:spacing w:line="240" w:lineRule="auto" w:before="47"/>
              <w:ind w:left="170" w:right="0"/>
              <w:jc w:val="both"/>
              <w:rPr>
                <w:rFonts w:ascii="宋体" w:hAnsi="宋体" w:cs="宋体" w:eastAsia="宋体" w:hint="default"/>
                <w:sz w:val="18"/>
                <w:szCs w:val="18"/>
              </w:rPr>
            </w:pPr>
            <w:r>
              <w:rPr>
                <w:rFonts w:ascii="宋体" w:hAnsi="宋体" w:cs="宋体" w:eastAsia="宋体" w:hint="default"/>
                <w:sz w:val="18"/>
                <w:szCs w:val="18"/>
              </w:rPr>
              <w:t>准备</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46" w:lineRule="auto" w:before="149"/>
              <w:ind w:left="453" w:right="26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49"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120,437,807.68</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111,147,017.83</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-9,953,479.20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101,193,538.63</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27.84</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27.84</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17,728,700.00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35,537,081.74</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9,699,732.36</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45,236,814.10</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44.68</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44.68</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8,935,000.00</w:t>
            </w:r>
          </w:p>
        </w:tc>
      </w:tr>
      <w:tr>
        <w:trPr>
          <w:trHeight w:val="449"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23,913,036.92</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8,183,238.30</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32,096,275.22</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40.00</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51"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深圳市大来拍卖有限公司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700,471.57</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700,471.57</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40.00</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9,406,513.01</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21,916,761.56</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2,983,018.66</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24,899,780.22</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40.79</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40.79</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广西大宗食糖交易中心有限公司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40.00</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9,838,779.66</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9,838,779.66</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40.00</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3,000,123.48</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2,422,597.24</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2,422,597.24</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30.00</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30.00</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11,167,446.00</w:t>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33.98</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33.98</w:t>
            </w:r>
          </w:p>
        </w:tc>
        <w:tc>
          <w:tcPr>
            <w:tcW w:w="5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51" w:hRule="exact"/>
        </w:trPr>
        <w:tc>
          <w:tcPr>
            <w:tcW w:w="30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1"/>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850" w:type="dxa"/>
            <w:tcBorders>
              <w:top w:val="single" w:sz="4" w:space="0" w:color="000008"/>
              <w:left w:val="single" w:sz="4" w:space="0" w:color="000008"/>
              <w:bottom w:val="single" w:sz="4" w:space="0" w:color="000008"/>
              <w:right w:val="single" w:sz="4" w:space="0" w:color="000008"/>
            </w:tcBorders>
          </w:tcPr>
          <w:p>
            <w:pPr/>
          </w:p>
        </w:tc>
        <w:tc>
          <w:tcPr>
            <w:tcW w:w="13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181,740,590.17</w:t>
            </w:r>
            <w:r>
              <w:rPr>
                <w:rFonts w:ascii="Times New Roman"/>
                <w:spacing w:val="-1"/>
                <w:sz w:val="18"/>
              </w:rPr>
            </w:r>
          </w:p>
        </w:tc>
        <w:tc>
          <w:tcPr>
            <w:tcW w:w="15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193,214,369.62</w:t>
            </w:r>
            <w:r>
              <w:rPr>
                <w:rFonts w:ascii="Times New Roman"/>
                <w:spacing w:val="-1"/>
                <w:sz w:val="18"/>
              </w:rPr>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23,173,887.02</w:t>
            </w:r>
            <w:r>
              <w:rPr>
                <w:rFonts w:ascii="Times New Roman"/>
                <w:spacing w:val="-1"/>
                <w:sz w:val="18"/>
              </w:rPr>
            </w:r>
          </w:p>
        </w:tc>
        <w:tc>
          <w:tcPr>
            <w:tcW w:w="13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216,388,256.64</w:t>
            </w:r>
            <w:r>
              <w:rPr>
                <w:rFonts w:ascii="Times New Roman"/>
                <w:spacing w:val="-1"/>
                <w:sz w:val="18"/>
              </w:rPr>
            </w:r>
          </w:p>
        </w:tc>
        <w:tc>
          <w:tcPr>
            <w:tcW w:w="970" w:type="dxa"/>
            <w:tcBorders>
              <w:top w:val="single" w:sz="4" w:space="0" w:color="000008"/>
              <w:left w:val="single" w:sz="4" w:space="0" w:color="000008"/>
              <w:bottom w:val="single" w:sz="4" w:space="0" w:color="000008"/>
              <w:right w:val="single" w:sz="4" w:space="0" w:color="000008"/>
            </w:tcBorders>
          </w:tcPr>
          <w:p>
            <w:pPr/>
          </w:p>
        </w:tc>
        <w:tc>
          <w:tcPr>
            <w:tcW w:w="1037" w:type="dxa"/>
            <w:tcBorders>
              <w:top w:val="single" w:sz="4" w:space="0" w:color="000008"/>
              <w:left w:val="single" w:sz="4" w:space="0" w:color="000008"/>
              <w:bottom w:val="single" w:sz="4" w:space="0" w:color="000008"/>
              <w:right w:val="single" w:sz="4" w:space="0" w:color="000008"/>
            </w:tcBorders>
          </w:tcPr>
          <w:p>
            <w:pPr/>
          </w:p>
        </w:tc>
        <w:tc>
          <w:tcPr>
            <w:tcW w:w="588" w:type="dxa"/>
            <w:tcBorders>
              <w:top w:val="single" w:sz="4" w:space="0" w:color="000008"/>
              <w:left w:val="single" w:sz="4" w:space="0" w:color="000008"/>
              <w:bottom w:val="single" w:sz="4" w:space="0" w:color="000008"/>
              <w:right w:val="single" w:sz="4" w:space="0" w:color="000008"/>
            </w:tcBorders>
          </w:tcPr>
          <w:p>
            <w:pPr/>
          </w:p>
        </w:tc>
        <w:tc>
          <w:tcPr>
            <w:tcW w:w="710" w:type="dxa"/>
            <w:tcBorders>
              <w:top w:val="single" w:sz="4" w:space="0" w:color="000008"/>
              <w:left w:val="single" w:sz="4" w:space="0" w:color="000008"/>
              <w:bottom w:val="single" w:sz="4" w:space="0" w:color="000008"/>
              <w:right w:val="single" w:sz="4" w:space="0" w:color="000008"/>
            </w:tcBorders>
          </w:tcPr>
          <w:p>
            <w:pP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26,935,000.00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43" w:footer="896" w:top="1640" w:bottom="1080" w:left="1280" w:right="1200"/>
        </w:sectPr>
      </w:pPr>
    </w:p>
    <w:p>
      <w:pPr>
        <w:spacing w:line="240" w:lineRule="auto" w:before="11"/>
        <w:rPr>
          <w:rFonts w:ascii="宋体" w:hAnsi="宋体" w:cs="宋体" w:eastAsia="宋体" w:hint="default"/>
          <w:sz w:val="18"/>
          <w:szCs w:val="18"/>
        </w:rPr>
      </w:pPr>
    </w:p>
    <w:p>
      <w:pPr>
        <w:spacing w:line="335" w:lineRule="exact" w:before="0"/>
        <w:ind w:left="55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）其他股权投资</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131" w:type="dxa"/>
        <w:tblLayout w:type="fixed"/>
        <w:tblCellMar>
          <w:top w:w="0" w:type="dxa"/>
          <w:left w:w="0" w:type="dxa"/>
          <w:bottom w:w="0" w:type="dxa"/>
          <w:right w:w="0" w:type="dxa"/>
        </w:tblCellMar>
        <w:tblLook w:val="01E0"/>
      </w:tblPr>
      <w:tblGrid>
        <w:gridCol w:w="2532"/>
        <w:gridCol w:w="852"/>
        <w:gridCol w:w="1512"/>
        <w:gridCol w:w="1416"/>
        <w:gridCol w:w="1418"/>
        <w:gridCol w:w="1344"/>
        <w:gridCol w:w="991"/>
        <w:gridCol w:w="1133"/>
        <w:gridCol w:w="1342"/>
        <w:gridCol w:w="1440"/>
        <w:gridCol w:w="991"/>
      </w:tblGrid>
      <w:tr>
        <w:trPr>
          <w:trHeight w:val="850"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4"/>
              <w:ind w:left="240" w:right="240"/>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4"/>
              <w:ind w:left="571" w:right="38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2008-12-31</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2009-12-31</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32"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12" w:right="108"/>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4"/>
              <w:ind w:left="532" w:right="175" w:hanging="360"/>
              <w:jc w:val="left"/>
              <w:rPr>
                <w:rFonts w:ascii="宋体" w:hAnsi="宋体" w:cs="宋体" w:eastAsia="宋体" w:hint="default"/>
                <w:sz w:val="18"/>
                <w:szCs w:val="18"/>
              </w:rPr>
            </w:pPr>
            <w:r>
              <w:rPr>
                <w:rFonts w:ascii="宋体" w:hAnsi="宋体" w:cs="宋体" w:eastAsia="宋体" w:hint="default"/>
                <w:sz w:val="18"/>
                <w:szCs w:val="18"/>
              </w:rPr>
              <w:t>本期减值准备 变化</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4"/>
              <w:ind w:left="309" w:right="1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571"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27" w:right="132" w:hanging="12"/>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深圳市民润农产品配送连锁</w:t>
            </w:r>
            <w:r>
              <w:rPr>
                <w:rFonts w:ascii="宋体" w:hAnsi="宋体" w:cs="宋体" w:eastAsia="宋体" w:hint="default"/>
                <w:sz w:val="18"/>
                <w:szCs w:val="18"/>
              </w:rPr>
              <w:t> 商业公司</w:t>
            </w:r>
            <w:r>
              <w:rPr>
                <w:rFonts w:ascii="Times New Roman" w:hAnsi="Times New Roman" w:cs="Times New Roman" w:eastAsia="Times New Roman" w:hint="default"/>
                <w:sz w:val="18"/>
                <w:szCs w:val="18"/>
              </w:rPr>
              <w:t>*</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104,176,840.00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-33,300,000.00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33,300,000.00</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33.43</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15" w:right="0"/>
              <w:jc w:val="left"/>
              <w:rPr>
                <w:rFonts w:ascii="宋体" w:hAnsi="宋体" w:cs="宋体" w:eastAsia="宋体" w:hint="default"/>
                <w:sz w:val="18"/>
                <w:szCs w:val="18"/>
              </w:rPr>
            </w:pPr>
            <w:r>
              <w:rPr>
                <w:rFonts w:ascii="宋体" w:hAnsi="宋体" w:cs="宋体" w:eastAsia="宋体" w:hint="default"/>
                <w:sz w:val="18"/>
                <w:szCs w:val="18"/>
              </w:rPr>
              <w:t>深圳市海农食品公司</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1,034,629.55</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1,601,372.50</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52.00</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52.00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r>
        <w:trPr>
          <w:trHeight w:val="571"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27" w:right="132" w:hanging="12"/>
              <w:jc w:val="left"/>
              <w:rPr>
                <w:rFonts w:ascii="宋体" w:hAnsi="宋体" w:cs="宋体" w:eastAsia="宋体" w:hint="default"/>
                <w:sz w:val="18"/>
                <w:szCs w:val="18"/>
              </w:rPr>
            </w:pPr>
            <w:r>
              <w:rPr>
                <w:rFonts w:ascii="宋体" w:hAnsi="宋体" w:cs="宋体" w:eastAsia="宋体" w:hint="default"/>
                <w:spacing w:val="9"/>
                <w:sz w:val="18"/>
                <w:szCs w:val="18"/>
              </w:rPr>
              <w:t>深圳市龙江生猪批发市场有</w:t>
            </w:r>
            <w:r>
              <w:rPr>
                <w:rFonts w:ascii="宋体" w:hAnsi="宋体" w:cs="宋体" w:eastAsia="宋体" w:hint="default"/>
                <w:sz w:val="18"/>
                <w:szCs w:val="18"/>
              </w:rPr>
              <w:t> 限公司</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3,120,000.00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3,120,000.00</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26.00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15" w:right="0"/>
              <w:jc w:val="left"/>
              <w:rPr>
                <w:rFonts w:ascii="宋体" w:hAnsi="宋体" w:cs="宋体" w:eastAsia="宋体" w:hint="default"/>
                <w:sz w:val="18"/>
                <w:szCs w:val="18"/>
              </w:rPr>
            </w:pPr>
            <w:r>
              <w:rPr>
                <w:rFonts w:ascii="宋体" w:hAnsi="宋体" w:cs="宋体" w:eastAsia="宋体" w:hint="default"/>
                <w:sz w:val="18"/>
                <w:szCs w:val="18"/>
              </w:rPr>
              <w:t>深圳市倜拓实业有限公司</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2,275,000.00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2,275,000.00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-2,275,000.00</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35.00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15" w:right="0"/>
              <w:jc w:val="left"/>
              <w:rPr>
                <w:rFonts w:ascii="宋体" w:hAnsi="宋体" w:cs="宋体" w:eastAsia="宋体" w:hint="default"/>
                <w:sz w:val="18"/>
                <w:szCs w:val="18"/>
              </w:rPr>
            </w:pPr>
            <w:r>
              <w:rPr>
                <w:rFonts w:ascii="宋体" w:hAnsi="宋体" w:cs="宋体" w:eastAsia="宋体" w:hint="default"/>
                <w:sz w:val="18"/>
                <w:szCs w:val="18"/>
              </w:rPr>
              <w:t>金信信托投资股份有限公司</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-100,000,000.00</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9.82</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708" w:right="0"/>
              <w:jc w:val="left"/>
              <w:rPr>
                <w:rFonts w:ascii="Times New Roman" w:hAnsi="Times New Roman" w:cs="Times New Roman" w:eastAsia="Times New Roman" w:hint="default"/>
                <w:sz w:val="18"/>
                <w:szCs w:val="18"/>
              </w:rPr>
            </w:pPr>
            <w:r>
              <w:rPr>
                <w:rFonts w:ascii="Times New Roman"/>
                <w:sz w:val="18"/>
              </w:rPr>
              <w:t>9.82</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-100,000,000.00</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27" w:right="132" w:hanging="12"/>
              <w:jc w:val="left"/>
              <w:rPr>
                <w:rFonts w:ascii="宋体" w:hAnsi="宋体" w:cs="宋体" w:eastAsia="宋体" w:hint="default"/>
                <w:sz w:val="18"/>
                <w:szCs w:val="18"/>
              </w:rPr>
            </w:pPr>
            <w:r>
              <w:rPr>
                <w:rFonts w:ascii="宋体" w:hAnsi="宋体" w:cs="宋体" w:eastAsia="宋体" w:hint="default"/>
                <w:spacing w:val="9"/>
                <w:sz w:val="18"/>
                <w:szCs w:val="18"/>
              </w:rPr>
              <w:t>深圳市南方农产品物流有限</w:t>
            </w:r>
            <w:r>
              <w:rPr>
                <w:rFonts w:ascii="宋体" w:hAnsi="宋体" w:cs="宋体" w:eastAsia="宋体" w:hint="default"/>
                <w:sz w:val="18"/>
                <w:szCs w:val="18"/>
              </w:rPr>
              <w:t> 公司</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3,700,000.00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-68,975,000.00</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3,700,000.00</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37.00</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37.00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r>
        <w:trPr>
          <w:trHeight w:val="571"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27" w:right="132" w:hanging="12"/>
              <w:jc w:val="left"/>
              <w:rPr>
                <w:rFonts w:ascii="宋体" w:hAnsi="宋体" w:cs="宋体" w:eastAsia="宋体" w:hint="default"/>
                <w:sz w:val="18"/>
                <w:szCs w:val="18"/>
              </w:rPr>
            </w:pPr>
            <w:r>
              <w:rPr>
                <w:rFonts w:ascii="宋体" w:hAnsi="宋体" w:cs="宋体" w:eastAsia="宋体" w:hint="default"/>
                <w:spacing w:val="9"/>
                <w:sz w:val="18"/>
                <w:szCs w:val="18"/>
              </w:rPr>
              <w:t>深圳市农产品坂田肉联厂有</w:t>
            </w:r>
            <w:r>
              <w:rPr>
                <w:rFonts w:ascii="宋体" w:hAnsi="宋体" w:cs="宋体" w:eastAsia="宋体" w:hint="default"/>
                <w:sz w:val="18"/>
                <w:szCs w:val="18"/>
              </w:rPr>
              <w:t> 限公司</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10.00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常州三井油脂有限公司</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13,500,000.00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13,500,000.00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13,500,000.00</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30.00</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left="616" w:right="0"/>
              <w:jc w:val="left"/>
              <w:rPr>
                <w:rFonts w:ascii="Times New Roman" w:hAnsi="Times New Roman" w:cs="Times New Roman" w:eastAsia="Times New Roman" w:hint="default"/>
                <w:sz w:val="18"/>
                <w:szCs w:val="18"/>
              </w:rPr>
            </w:pPr>
            <w:r>
              <w:rPr>
                <w:rFonts w:ascii="Times New Roman"/>
                <w:sz w:val="18"/>
              </w:rPr>
              <w:t>30.00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3"/>
              <w:ind w:left="127" w:right="132" w:hanging="12"/>
              <w:jc w:val="left"/>
              <w:rPr>
                <w:rFonts w:ascii="宋体" w:hAnsi="宋体" w:cs="宋体" w:eastAsia="宋体" w:hint="default"/>
                <w:sz w:val="18"/>
                <w:szCs w:val="18"/>
              </w:rPr>
            </w:pPr>
            <w:r>
              <w:rPr>
                <w:rFonts w:ascii="宋体" w:hAnsi="宋体" w:cs="宋体" w:eastAsia="宋体" w:hint="default"/>
                <w:spacing w:val="9"/>
                <w:sz w:val="18"/>
                <w:szCs w:val="18"/>
              </w:rPr>
              <w:t>深圳市农产品丰湖投资有限</w:t>
            </w:r>
            <w:r>
              <w:rPr>
                <w:rFonts w:ascii="宋体" w:hAnsi="宋体" w:cs="宋体" w:eastAsia="宋体" w:hint="default"/>
                <w:sz w:val="18"/>
                <w:szCs w:val="18"/>
              </w:rPr>
              <w:t> 公司</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8,000,000.00</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80.00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r>
      <w:tr>
        <w:trPr>
          <w:trHeight w:val="571"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27" w:right="132" w:hanging="12"/>
              <w:jc w:val="left"/>
              <w:rPr>
                <w:rFonts w:ascii="宋体" w:hAnsi="宋体" w:cs="宋体" w:eastAsia="宋体" w:hint="default"/>
                <w:sz w:val="18"/>
                <w:szCs w:val="18"/>
              </w:rPr>
            </w:pPr>
            <w:r>
              <w:rPr>
                <w:rFonts w:ascii="宋体" w:hAnsi="宋体" w:cs="宋体" w:eastAsia="宋体" w:hint="default"/>
                <w:spacing w:val="9"/>
                <w:sz w:val="18"/>
                <w:szCs w:val="18"/>
              </w:rPr>
              <w:t>深圳市农产品肉类配送有限</w:t>
            </w:r>
            <w:r>
              <w:rPr>
                <w:rFonts w:ascii="宋体" w:hAnsi="宋体" w:cs="宋体" w:eastAsia="宋体" w:hint="default"/>
                <w:sz w:val="18"/>
                <w:szCs w:val="18"/>
              </w:rPr>
              <w:t> 公司</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4,470,538.76</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80.00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8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61,852.58</w:t>
            </w:r>
          </w:p>
        </w:tc>
      </w:tr>
      <w:tr>
        <w:trPr>
          <w:trHeight w:val="410" w:hRule="exact"/>
        </w:trPr>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852" w:type="dxa"/>
            <w:tcBorders>
              <w:top w:val="single" w:sz="4" w:space="0" w:color="000008"/>
              <w:left w:val="single" w:sz="4" w:space="0" w:color="000008"/>
              <w:bottom w:val="single" w:sz="4" w:space="0" w:color="000008"/>
              <w:right w:val="single" w:sz="4" w:space="0" w:color="000008"/>
            </w:tcBorders>
          </w:tcPr>
          <w:p>
            <w:pP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259,806,469.55</w:t>
            </w:r>
            <w:r>
              <w:rPr>
                <w:rFonts w:ascii="Times New Roman"/>
                <w:spacing w:val="-1"/>
                <w:sz w:val="18"/>
              </w:rPr>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3"/>
                <w:sz w:val="18"/>
              </w:rPr>
              <w:t>111,366,911.26</w:t>
            </w:r>
            <w:r>
              <w:rPr>
                <w:rFonts w:ascii="Times New Roman"/>
                <w:spacing w:val="-3"/>
                <w:sz w:val="18"/>
              </w:rPr>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b/>
                <w:spacing w:val="-1"/>
                <w:sz w:val="18"/>
              </w:rPr>
              <w:t>-68,975,000.00</w:t>
            </w:r>
            <w:r>
              <w:rPr>
                <w:rFonts w:ascii="Times New Roman"/>
                <w:spacing w:val="-1"/>
                <w:sz w:val="18"/>
              </w:rPr>
            </w:r>
          </w:p>
        </w:tc>
        <w:tc>
          <w:tcPr>
            <w:tcW w:w="13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b/>
                <w:spacing w:val="-2"/>
                <w:sz w:val="18"/>
              </w:rPr>
              <w:t>42,391,911.26</w:t>
            </w:r>
            <w:r>
              <w:rPr>
                <w:rFonts w:ascii="Times New Roman"/>
                <w:spacing w:val="-2"/>
                <w:sz w:val="18"/>
              </w:rPr>
            </w:r>
          </w:p>
        </w:tc>
        <w:tc>
          <w:tcPr>
            <w:tcW w:w="991" w:type="dxa"/>
            <w:tcBorders>
              <w:top w:val="single" w:sz="4" w:space="0" w:color="000008"/>
              <w:left w:val="single" w:sz="4" w:space="0" w:color="000008"/>
              <w:bottom w:val="single" w:sz="4" w:space="0" w:color="000008"/>
              <w:right w:val="single" w:sz="4" w:space="0" w:color="000008"/>
            </w:tcBorders>
          </w:tcPr>
          <w:p>
            <w:pPr/>
          </w:p>
        </w:tc>
        <w:tc>
          <w:tcPr>
            <w:tcW w:w="1133"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4"/>
              <w:jc w:val="right"/>
              <w:rPr>
                <w:rFonts w:ascii="Times New Roman" w:hAnsi="Times New Roman" w:cs="Times New Roman" w:eastAsia="Times New Roman" w:hint="default"/>
                <w:sz w:val="18"/>
                <w:szCs w:val="18"/>
              </w:rPr>
            </w:pPr>
            <w:r>
              <w:rPr>
                <w:rFonts w:ascii="Times New Roman"/>
                <w:b/>
                <w:spacing w:val="-2"/>
                <w:sz w:val="18"/>
              </w:rPr>
              <w:t>6,071,911.26</w:t>
            </w:r>
            <w:r>
              <w:rPr>
                <w:rFonts w:ascii="Times New Roman"/>
                <w:spacing w:val="-2"/>
                <w:sz w:val="18"/>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b/>
                <w:spacing w:val="-1"/>
                <w:sz w:val="18"/>
              </w:rPr>
              <w:t>-100,000,000.00</w:t>
            </w:r>
            <w:r>
              <w:rPr>
                <w:rFonts w:ascii="Times New Roman"/>
                <w:spacing w:val="-1"/>
                <w:sz w:val="18"/>
              </w:rPr>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b/>
                <w:spacing w:val="-1"/>
                <w:sz w:val="18"/>
              </w:rPr>
              <w:t>61,852.58</w:t>
            </w:r>
            <w:r>
              <w:rPr>
                <w:rFonts w:ascii="Times New Roman"/>
                <w:spacing w:val="-1"/>
                <w:sz w:val="18"/>
              </w:rPr>
            </w:r>
          </w:p>
        </w:tc>
      </w:tr>
    </w:tbl>
    <w:p>
      <w:pPr>
        <w:spacing w:line="240" w:lineRule="auto" w:before="1"/>
        <w:rPr>
          <w:rFonts w:ascii="Microsoft JhengHei" w:hAnsi="Microsoft JhengHei" w:cs="Microsoft JhengHei" w:eastAsia="Microsoft JhengHei" w:hint="default"/>
          <w:b/>
          <w:bCs/>
          <w:sz w:val="13"/>
          <w:szCs w:val="13"/>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本期增加系承担的超额投资损失冲减对应民润公司的债权。</w:t>
      </w:r>
    </w:p>
    <w:p>
      <w:pPr>
        <w:spacing w:after="0"/>
        <w:jc w:val="left"/>
        <w:rPr>
          <w:rFonts w:ascii="宋体" w:hAnsi="宋体" w:cs="宋体" w:eastAsia="宋体" w:hint="default"/>
          <w:sz w:val="21"/>
          <w:szCs w:val="21"/>
        </w:rPr>
        <w:sectPr>
          <w:pgSz w:w="16840" w:h="11910" w:orient="landscape"/>
          <w:pgMar w:header="943" w:footer="896" w:top="1640" w:bottom="1080" w:left="1280" w:right="3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937" w:val="left" w:leader="none"/>
        </w:tabs>
        <w:spacing w:before="0"/>
        <w:ind w:left="467"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ii.</w:t>
        <w:tab/>
      </w:r>
      <w:r>
        <w:rPr>
          <w:rFonts w:ascii="宋体" w:hAnsi="宋体" w:cs="宋体" w:eastAsia="宋体" w:hint="default"/>
          <w:spacing w:val="-2"/>
          <w:sz w:val="21"/>
          <w:szCs w:val="21"/>
        </w:rPr>
        <w:t>营业收入和营业成本</w:t>
      </w:r>
    </w:p>
    <w:p>
      <w:pPr>
        <w:spacing w:line="240" w:lineRule="auto" w:before="13"/>
        <w:rPr>
          <w:rFonts w:ascii="宋体" w:hAnsi="宋体" w:cs="宋体" w:eastAsia="宋体" w:hint="default"/>
          <w:sz w:val="21"/>
          <w:szCs w:val="21"/>
        </w:rPr>
      </w:pPr>
    </w:p>
    <w:p>
      <w:pPr>
        <w:spacing w:before="0"/>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）营业收入和营业成本</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844"/>
        <w:gridCol w:w="2844"/>
        <w:gridCol w:w="2842"/>
      </w:tblGrid>
      <w:tr>
        <w:trPr>
          <w:trHeight w:val="410" w:hRule="exact"/>
        </w:trPr>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8" w:hRule="exact"/>
        </w:trPr>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153,844,998.75</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145,139,780.60</w:t>
            </w:r>
          </w:p>
        </w:tc>
      </w:tr>
      <w:tr>
        <w:trPr>
          <w:trHeight w:val="410" w:hRule="exact"/>
        </w:trPr>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1,468,100.00</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2,275,040.10</w:t>
            </w:r>
          </w:p>
        </w:tc>
      </w:tr>
      <w:tr>
        <w:trPr>
          <w:trHeight w:val="410" w:hRule="exact"/>
        </w:trPr>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营业收入合计</w:t>
            </w:r>
            <w:r>
              <w:rPr>
                <w:rFonts w:ascii="Microsoft JhengHei" w:hAnsi="Microsoft JhengHei" w:cs="Microsoft JhengHei" w:eastAsia="Microsoft JhengHei" w:hint="default"/>
                <w:sz w:val="18"/>
                <w:szCs w:val="18"/>
              </w:rPr>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155,313,098.75</w:t>
            </w:r>
            <w:r>
              <w:rPr>
                <w:rFonts w:ascii="Times New Roman"/>
                <w:spacing w:val="-1"/>
                <w:sz w:val="18"/>
              </w:rPr>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147,414,820.70</w:t>
            </w:r>
            <w:r>
              <w:rPr>
                <w:rFonts w:ascii="Times New Roman"/>
                <w:spacing w:val="-1"/>
                <w:sz w:val="18"/>
              </w:rPr>
            </w:r>
          </w:p>
        </w:tc>
      </w:tr>
      <w:tr>
        <w:trPr>
          <w:trHeight w:val="410" w:hRule="exact"/>
        </w:trPr>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86,012,577.52</w:t>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72,651,161.34</w:t>
            </w:r>
          </w:p>
        </w:tc>
      </w:tr>
      <w:tr>
        <w:trPr>
          <w:trHeight w:val="410" w:hRule="exact"/>
        </w:trPr>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营业成本合计</w:t>
            </w:r>
            <w:r>
              <w:rPr>
                <w:rFonts w:ascii="Microsoft JhengHei" w:hAnsi="Microsoft JhengHei" w:cs="Microsoft JhengHei" w:eastAsia="Microsoft JhengHei" w:hint="default"/>
                <w:sz w:val="18"/>
                <w:szCs w:val="18"/>
              </w:rPr>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86,012,577.52</w:t>
            </w:r>
            <w:r>
              <w:rPr>
                <w:rFonts w:ascii="Times New Roman"/>
                <w:spacing w:val="-1"/>
                <w:sz w:val="18"/>
              </w:rPr>
            </w:r>
          </w:p>
        </w:tc>
        <w:tc>
          <w:tcPr>
            <w:tcW w:w="28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72,651,161.34</w:t>
            </w:r>
            <w:r>
              <w:rPr>
                <w:rFonts w:ascii="Times New Roman"/>
                <w:spacing w:val="-1"/>
                <w:sz w:val="18"/>
              </w:rPr>
            </w:r>
          </w:p>
        </w:tc>
      </w:tr>
    </w:tbl>
    <w:p>
      <w:pPr>
        <w:spacing w:line="240" w:lineRule="auto" w:before="5"/>
        <w:rPr>
          <w:rFonts w:ascii="宋体" w:hAnsi="宋体" w:cs="宋体" w:eastAsia="宋体" w:hint="default"/>
          <w:sz w:val="19"/>
          <w:szCs w:val="19"/>
        </w:rPr>
      </w:pPr>
    </w:p>
    <w:p>
      <w:pPr>
        <w:spacing w:before="0"/>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）主营业务（分品种）</w:t>
      </w:r>
    </w:p>
    <w:p>
      <w:pPr>
        <w:spacing w:line="240" w:lineRule="auto" w:before="10"/>
        <w:rPr>
          <w:rFonts w:ascii="宋体" w:hAnsi="宋体" w:cs="宋体" w:eastAsia="宋体"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1675"/>
        <w:gridCol w:w="1675"/>
        <w:gridCol w:w="1675"/>
        <w:gridCol w:w="1675"/>
        <w:gridCol w:w="1675"/>
      </w:tblGrid>
      <w:tr>
        <w:trPr>
          <w:trHeight w:val="370" w:hRule="exact"/>
        </w:trPr>
        <w:tc>
          <w:tcPr>
            <w:tcW w:w="1675" w:type="dxa"/>
            <w:vMerge w:val="restart"/>
            <w:tcBorders>
              <w:top w:val="single" w:sz="4" w:space="0" w:color="000008"/>
              <w:left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35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5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1675" w:type="dxa"/>
            <w:vMerge/>
            <w:tcBorders>
              <w:left w:val="single" w:sz="4" w:space="0" w:color="000008"/>
              <w:bottom w:val="single" w:sz="4" w:space="0" w:color="000008"/>
              <w:right w:val="single" w:sz="4" w:space="0" w:color="000008"/>
            </w:tcBorders>
          </w:tcPr>
          <w:p>
            <w:pP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4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47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4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1"/>
              <w:ind w:left="47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0" w:hRule="exact"/>
        </w:trPr>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28"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22,083,509.98</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17,695,527.60</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18,396,132.30</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5"/>
              <w:jc w:val="right"/>
              <w:rPr>
                <w:rFonts w:ascii="Times New Roman" w:hAnsi="Times New Roman" w:cs="Times New Roman" w:eastAsia="Times New Roman" w:hint="default"/>
                <w:sz w:val="18"/>
                <w:szCs w:val="18"/>
              </w:rPr>
            </w:pPr>
            <w:r>
              <w:rPr>
                <w:rFonts w:ascii="Times New Roman"/>
                <w:spacing w:val="-1"/>
                <w:sz w:val="18"/>
              </w:rPr>
              <w:t>15,891,905.71</w:t>
            </w:r>
          </w:p>
        </w:tc>
      </w:tr>
      <w:tr>
        <w:trPr>
          <w:trHeight w:val="370" w:hRule="exact"/>
        </w:trPr>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8"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131,761,488.77</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68,317,049.92</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126,743,648.30</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5"/>
              <w:jc w:val="right"/>
              <w:rPr>
                <w:rFonts w:ascii="Times New Roman" w:hAnsi="Times New Roman" w:cs="Times New Roman" w:eastAsia="Times New Roman" w:hint="default"/>
                <w:sz w:val="18"/>
                <w:szCs w:val="18"/>
              </w:rPr>
            </w:pPr>
            <w:r>
              <w:rPr>
                <w:rFonts w:ascii="Times New Roman"/>
                <w:spacing w:val="-1"/>
                <w:sz w:val="18"/>
              </w:rPr>
              <w:t>56,759,255.63</w:t>
            </w:r>
          </w:p>
        </w:tc>
      </w:tr>
      <w:tr>
        <w:trPr>
          <w:trHeight w:val="370" w:hRule="exact"/>
        </w:trPr>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b/>
                <w:spacing w:val="-1"/>
                <w:sz w:val="18"/>
              </w:rPr>
              <w:t>153,844,998.75</w:t>
            </w:r>
            <w:r>
              <w:rPr>
                <w:rFonts w:ascii="Times New Roman"/>
                <w:spacing w:val="-1"/>
                <w:sz w:val="18"/>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b/>
                <w:spacing w:val="-1"/>
                <w:sz w:val="18"/>
              </w:rPr>
              <w:t>86,012,577.52</w:t>
            </w:r>
            <w:r>
              <w:rPr>
                <w:rFonts w:ascii="Times New Roman"/>
                <w:spacing w:val="-1"/>
                <w:sz w:val="18"/>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b/>
                <w:spacing w:val="-1"/>
                <w:sz w:val="18"/>
              </w:rPr>
              <w:t>145,139,780.60</w:t>
            </w:r>
            <w:r>
              <w:rPr>
                <w:rFonts w:ascii="Times New Roman"/>
                <w:spacing w:val="-1"/>
                <w:sz w:val="18"/>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b/>
                <w:spacing w:val="-1"/>
                <w:sz w:val="18"/>
              </w:rPr>
              <w:t>72,651,161.34</w:t>
            </w:r>
            <w:r>
              <w:rPr>
                <w:rFonts w:ascii="Times New Roman"/>
                <w:spacing w:val="-1"/>
                <w:sz w:val="18"/>
              </w:rPr>
            </w:r>
          </w:p>
        </w:tc>
      </w:tr>
    </w:tbl>
    <w:p>
      <w:pPr>
        <w:spacing w:line="240" w:lineRule="auto" w:before="8"/>
        <w:rPr>
          <w:rFonts w:ascii="宋体" w:hAnsi="宋体" w:cs="宋体" w:eastAsia="宋体" w:hint="default"/>
          <w:sz w:val="19"/>
          <w:szCs w:val="19"/>
        </w:rPr>
      </w:pPr>
    </w:p>
    <w:p>
      <w:pPr>
        <w:spacing w:before="0"/>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）主营业务（分地区）</w:t>
      </w:r>
    </w:p>
    <w:p>
      <w:pPr>
        <w:spacing w:line="240" w:lineRule="auto" w:before="7"/>
        <w:rPr>
          <w:rFonts w:ascii="宋体" w:hAnsi="宋体" w:cs="宋体" w:eastAsia="宋体"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1673"/>
        <w:gridCol w:w="1675"/>
        <w:gridCol w:w="1675"/>
        <w:gridCol w:w="1675"/>
        <w:gridCol w:w="1675"/>
      </w:tblGrid>
      <w:tr>
        <w:trPr>
          <w:trHeight w:val="410" w:hRule="exact"/>
        </w:trPr>
        <w:tc>
          <w:tcPr>
            <w:tcW w:w="1673" w:type="dxa"/>
            <w:vMerge w:val="restart"/>
            <w:tcBorders>
              <w:top w:val="single" w:sz="4" w:space="0" w:color="000008"/>
              <w:left w:val="single" w:sz="6"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35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5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1673" w:type="dxa"/>
            <w:vMerge/>
            <w:tcBorders>
              <w:left w:val="single" w:sz="6" w:space="0" w:color="000008"/>
              <w:bottom w:val="single" w:sz="6" w:space="0" w:color="000008"/>
              <w:right w:val="single" w:sz="4" w:space="0" w:color="000008"/>
            </w:tcBorders>
          </w:tcPr>
          <w:p>
            <w:pP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7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47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18" w:hRule="exact"/>
        </w:trPr>
        <w:tc>
          <w:tcPr>
            <w:tcW w:w="1673" w:type="dxa"/>
            <w:tcBorders>
              <w:top w:val="single" w:sz="6" w:space="0" w:color="000008"/>
              <w:left w:val="single" w:sz="6" w:space="0" w:color="000008"/>
              <w:bottom w:val="single" w:sz="4" w:space="0" w:color="000008"/>
              <w:right w:val="single" w:sz="6" w:space="0" w:color="000008"/>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深圳地区</w:t>
            </w:r>
          </w:p>
        </w:tc>
        <w:tc>
          <w:tcPr>
            <w:tcW w:w="1675"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153,844,998.75</w:t>
            </w:r>
          </w:p>
        </w:tc>
        <w:tc>
          <w:tcPr>
            <w:tcW w:w="1675"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86,012,577.52</w:t>
            </w:r>
          </w:p>
        </w:tc>
        <w:tc>
          <w:tcPr>
            <w:tcW w:w="1675"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145,139,780.60</w:t>
            </w:r>
          </w:p>
        </w:tc>
        <w:tc>
          <w:tcPr>
            <w:tcW w:w="1675" w:type="dxa"/>
            <w:tcBorders>
              <w:top w:val="single" w:sz="4" w:space="0" w:color="000008"/>
              <w:left w:val="single" w:sz="6" w:space="0" w:color="000008"/>
              <w:bottom w:val="single" w:sz="6" w:space="0" w:color="000008"/>
              <w:right w:val="single" w:sz="6"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72,651,161.34</w:t>
            </w:r>
          </w:p>
        </w:tc>
      </w:tr>
      <w:tr>
        <w:trPr>
          <w:trHeight w:val="415" w:hRule="exact"/>
        </w:trPr>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75" w:type="dxa"/>
            <w:tcBorders>
              <w:top w:val="single" w:sz="6" w:space="0" w:color="000008"/>
              <w:left w:val="single" w:sz="4"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153,844,998.75</w:t>
            </w:r>
            <w:r>
              <w:rPr>
                <w:rFonts w:ascii="Times New Roman"/>
                <w:spacing w:val="-1"/>
                <w:sz w:val="18"/>
              </w:rPr>
            </w:r>
          </w:p>
        </w:tc>
        <w:tc>
          <w:tcPr>
            <w:tcW w:w="167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86,012,577.52</w:t>
            </w:r>
            <w:r>
              <w:rPr>
                <w:rFonts w:ascii="Times New Roman"/>
                <w:spacing w:val="-1"/>
                <w:sz w:val="18"/>
              </w:rPr>
            </w:r>
          </w:p>
        </w:tc>
        <w:tc>
          <w:tcPr>
            <w:tcW w:w="167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b/>
                <w:sz w:val="18"/>
              </w:rPr>
              <w:t>145,139,780.60</w:t>
            </w:r>
            <w:r>
              <w:rPr>
                <w:rFonts w:ascii="Times New Roman"/>
                <w:sz w:val="18"/>
              </w:rPr>
            </w:r>
          </w:p>
        </w:tc>
        <w:tc>
          <w:tcPr>
            <w:tcW w:w="167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72,651,161.34</w:t>
            </w:r>
            <w:r>
              <w:rPr>
                <w:rFonts w:ascii="Times New Roman"/>
                <w:spacing w:val="-1"/>
                <w:sz w:val="18"/>
              </w:rPr>
            </w:r>
          </w:p>
        </w:tc>
      </w:tr>
    </w:tbl>
    <w:p>
      <w:pPr>
        <w:spacing w:line="240" w:lineRule="auto" w:before="0"/>
        <w:rPr>
          <w:rFonts w:ascii="宋体" w:hAnsi="宋体" w:cs="宋体" w:eastAsia="宋体" w:hint="default"/>
          <w:sz w:val="17"/>
          <w:szCs w:val="17"/>
        </w:rPr>
      </w:pPr>
    </w:p>
    <w:p>
      <w:pPr>
        <w:spacing w:before="0"/>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）公司前五名客户营业收入合计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3,046,992.00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元，占公司全部营业收入的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1.96%</w:t>
      </w:r>
      <w:r>
        <w:rPr>
          <w:rFonts w:ascii="宋体" w:hAnsi="宋体" w:cs="宋体" w:eastAsia="宋体" w:hint="default"/>
          <w:sz w:val="21"/>
          <w:szCs w:val="21"/>
        </w:rPr>
        <w:t>。</w:t>
      </w:r>
    </w:p>
    <w:p>
      <w:pPr>
        <w:spacing w:line="240" w:lineRule="auto" w:before="1"/>
        <w:rPr>
          <w:rFonts w:ascii="宋体" w:hAnsi="宋体" w:cs="宋体" w:eastAsia="宋体" w:hint="default"/>
          <w:sz w:val="19"/>
          <w:szCs w:val="19"/>
        </w:rPr>
      </w:pPr>
    </w:p>
    <w:p>
      <w:pPr>
        <w:tabs>
          <w:tab w:pos="937" w:val="left" w:leader="none"/>
        </w:tabs>
        <w:spacing w:before="0"/>
        <w:ind w:left="409"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iii.</w:t>
        <w:tab/>
      </w:r>
      <w:r>
        <w:rPr>
          <w:rFonts w:ascii="宋体" w:hAnsi="宋体" w:cs="宋体" w:eastAsia="宋体" w:hint="default"/>
          <w:spacing w:val="-1"/>
          <w:sz w:val="21"/>
          <w:szCs w:val="21"/>
        </w:rPr>
        <w:t>投资收益</w:t>
      </w:r>
    </w:p>
    <w:p>
      <w:pPr>
        <w:spacing w:line="240" w:lineRule="auto" w:before="11"/>
        <w:rPr>
          <w:rFonts w:ascii="宋体" w:hAnsi="宋体" w:cs="宋体" w:eastAsia="宋体" w:hint="default"/>
          <w:sz w:val="18"/>
          <w:szCs w:val="18"/>
        </w:rPr>
      </w:pPr>
    </w:p>
    <w:p>
      <w:pPr>
        <w:spacing w:before="0"/>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3"/>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079"/>
        <w:gridCol w:w="2642"/>
        <w:gridCol w:w="2808"/>
      </w:tblGrid>
      <w:tr>
        <w:trPr>
          <w:trHeight w:val="449"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1"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47,770,447.85</w:t>
            </w:r>
          </w:p>
        </w:tc>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128,736,359.39</w:t>
            </w:r>
          </w:p>
        </w:tc>
      </w:tr>
      <w:tr>
        <w:trPr>
          <w:trHeight w:val="449"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43,589,738.97</w:t>
            </w:r>
          </w:p>
        </w:tc>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11,503,633.68</w:t>
            </w:r>
          </w:p>
        </w:tc>
      </w:tr>
      <w:tr>
        <w:trPr>
          <w:trHeight w:val="451"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145,414,304.49</w:t>
            </w:r>
          </w:p>
        </w:tc>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25,207,223.35</w:t>
            </w:r>
          </w:p>
        </w:tc>
      </w:tr>
      <w:tr>
        <w:trPr>
          <w:trHeight w:val="449"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51"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236,774,491.31</w:t>
            </w:r>
            <w:r>
              <w:rPr>
                <w:rFonts w:ascii="Times New Roman"/>
                <w:spacing w:val="-1"/>
                <w:sz w:val="18"/>
              </w:rPr>
            </w:r>
          </w:p>
        </w:tc>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165,447,216.42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79"/>
          <w:footerReference w:type="default" r:id="rId180"/>
          <w:pgSz w:w="11910" w:h="16840"/>
          <w:pgMar w:header="943" w:footer="897" w:top="1640" w:bottom="1080" w:left="1580" w:right="1580"/>
          <w:pgNumType w:start="198"/>
        </w:sectPr>
      </w:pPr>
    </w:p>
    <w:p>
      <w:pPr>
        <w:spacing w:line="240" w:lineRule="auto" w:before="11"/>
        <w:rPr>
          <w:rFonts w:ascii="宋体" w:hAnsi="宋体" w:cs="宋体" w:eastAsia="宋体" w:hint="default"/>
          <w:sz w:val="18"/>
          <w:szCs w:val="18"/>
        </w:rPr>
      </w:pPr>
    </w:p>
    <w:p>
      <w:pPr>
        <w:spacing w:before="36"/>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）按成本法核算的长期股权投资收益</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857"/>
        <w:gridCol w:w="1471"/>
        <w:gridCol w:w="1579"/>
        <w:gridCol w:w="1738"/>
      </w:tblGrid>
      <w:tr>
        <w:trPr>
          <w:trHeight w:val="847"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380" w:lineRule="atLeast" w:before="12"/>
              <w:ind w:left="412" w:right="233" w:hanging="180"/>
              <w:jc w:val="left"/>
              <w:rPr>
                <w:rFonts w:ascii="宋体" w:hAnsi="宋体" w:cs="宋体" w:eastAsia="宋体" w:hint="default"/>
                <w:sz w:val="18"/>
                <w:szCs w:val="18"/>
              </w:rPr>
            </w:pPr>
            <w:r>
              <w:rPr>
                <w:rFonts w:ascii="宋体" w:hAnsi="宋体" w:cs="宋体" w:eastAsia="宋体" w:hint="default"/>
                <w:sz w:val="18"/>
                <w:szCs w:val="18"/>
              </w:rPr>
              <w:t>本期比上期增减 变动的原因</w:t>
            </w:r>
          </w:p>
        </w:tc>
      </w:tr>
      <w:tr>
        <w:trPr>
          <w:trHeight w:val="425"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7,650,000.00</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9,180,000.00</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1,323,035.36</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3,310,000.00</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24,020,000.00</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15,000,000.00</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25,000,000.00</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5"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云南鲲鹏电子商务批发市场有限公司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10,556,747.86</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7,254,737.25</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5,800,000.00</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3,944,562.05</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4,250.00</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26,150,000.00</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5"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深圳市农产品坂田肉联厂有限公司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120,000.00</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120,000.00</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定额上缴利润</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61,852.58</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1,782,000.00</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1,046,354.06</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5"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25,500,000.00</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7,500,000.00</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1,183,268.08</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422" w:hRule="exact"/>
        </w:trPr>
        <w:tc>
          <w:tcPr>
            <w:tcW w:w="38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47,770,447.85</w:t>
            </w:r>
            <w:r>
              <w:rPr>
                <w:rFonts w:ascii="Times New Roman"/>
                <w:spacing w:val="-1"/>
                <w:sz w:val="18"/>
              </w:rPr>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128,736,359.39</w:t>
            </w:r>
            <w:r>
              <w:rPr>
                <w:rFonts w:ascii="Times New Roman"/>
                <w:spacing w:val="-1"/>
                <w:sz w:val="18"/>
              </w:rPr>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bl>
    <w:p>
      <w:pPr>
        <w:spacing w:line="240" w:lineRule="auto" w:before="8"/>
        <w:rPr>
          <w:rFonts w:ascii="宋体" w:hAnsi="宋体" w:cs="宋体" w:eastAsia="宋体" w:hint="default"/>
          <w:sz w:val="19"/>
          <w:szCs w:val="19"/>
        </w:rPr>
      </w:pPr>
    </w:p>
    <w:p>
      <w:pPr>
        <w:spacing w:before="0"/>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）按权益法核算的长期股权投资收益</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432"/>
        <w:gridCol w:w="1250"/>
        <w:gridCol w:w="1310"/>
        <w:gridCol w:w="2537"/>
      </w:tblGrid>
      <w:tr>
        <w:trPr>
          <w:trHeight w:val="742"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6"/>
              <w:ind w:left="813" w:right="631" w:hanging="180"/>
              <w:jc w:val="left"/>
              <w:rPr>
                <w:rFonts w:ascii="宋体" w:hAnsi="宋体" w:cs="宋体" w:eastAsia="宋体" w:hint="default"/>
                <w:sz w:val="18"/>
                <w:szCs w:val="18"/>
              </w:rPr>
            </w:pPr>
            <w:r>
              <w:rPr>
                <w:rFonts w:ascii="宋体" w:hAnsi="宋体" w:cs="宋体" w:eastAsia="宋体" w:hint="default"/>
                <w:sz w:val="18"/>
                <w:szCs w:val="18"/>
              </w:rPr>
              <w:t>本期比上期增减 变动的原因</w:t>
            </w:r>
          </w:p>
        </w:tc>
      </w:tr>
      <w:tr>
        <w:trPr>
          <w:trHeight w:val="384"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广西糖网食糖批发市场有限责任公司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26,183,238.30</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18,020,103.05</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盈利增加</w:t>
            </w:r>
          </w:p>
        </w:tc>
      </w:tr>
      <w:tr>
        <w:trPr>
          <w:trHeight w:val="382"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2,983,018.78</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2,240,000.00</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盈利增加</w:t>
            </w:r>
          </w:p>
        </w:tc>
      </w:tr>
      <w:tr>
        <w:trPr>
          <w:trHeight w:val="384"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合肥周谷堆农产品批发市场有限公司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18,634,732.36</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2"/>
                <w:sz w:val="18"/>
              </w:rPr>
              <w:t>11,156,549.36</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盈利增加</w:t>
            </w:r>
          </w:p>
        </w:tc>
      </w:tr>
      <w:tr>
        <w:trPr>
          <w:trHeight w:val="382"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-3,592,771.47</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2,033,818.14</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公司亏损</w:t>
            </w:r>
          </w:p>
        </w:tc>
      </w:tr>
      <w:tr>
        <w:trPr>
          <w:trHeight w:val="732"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深圳市博丽雅设计装饰工程有限公司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-457,258.66</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1"/>
              <w:ind w:left="103" w:right="119"/>
              <w:jc w:val="left"/>
              <w:rPr>
                <w:rFonts w:ascii="宋体" w:hAnsi="宋体" w:cs="宋体" w:eastAsia="宋体" w:hint="default"/>
                <w:sz w:val="18"/>
                <w:szCs w:val="18"/>
              </w:rPr>
            </w:pPr>
            <w:r>
              <w:rPr>
                <w:rFonts w:ascii="宋体" w:hAnsi="宋体" w:cs="宋体" w:eastAsia="宋体" w:hint="default"/>
                <w:spacing w:val="11"/>
                <w:sz w:val="18"/>
                <w:szCs w:val="18"/>
              </w:rPr>
              <w:t>本期由成本法改为权益法核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算</w:t>
            </w:r>
          </w:p>
        </w:tc>
      </w:tr>
      <w:tr>
        <w:trPr>
          <w:trHeight w:val="382"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深圳市农产品担保有限公司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-161,220.34</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z w:val="18"/>
              </w:rPr>
              <w:t>--</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本期新设</w:t>
            </w:r>
          </w:p>
        </w:tc>
      </w:tr>
      <w:tr>
        <w:trPr>
          <w:trHeight w:val="730"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1"/>
              <w:ind w:left="105" w:right="122"/>
              <w:jc w:val="left"/>
              <w:rPr>
                <w:rFonts w:ascii="宋体" w:hAnsi="宋体" w:cs="宋体" w:eastAsia="宋体" w:hint="default"/>
                <w:sz w:val="18"/>
                <w:szCs w:val="18"/>
              </w:rPr>
            </w:pPr>
            <w:r>
              <w:rPr>
                <w:rFonts w:ascii="宋体" w:hAnsi="宋体" w:cs="宋体" w:eastAsia="宋体" w:hint="default"/>
                <w:spacing w:val="7"/>
                <w:sz w:val="18"/>
                <w:szCs w:val="18"/>
              </w:rPr>
              <w:t>深圳市民润农产品配送连锁商业有限公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-10,551,807.15</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投资余额已减至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p>
        </w:tc>
      </w:tr>
      <w:tr>
        <w:trPr>
          <w:trHeight w:val="384"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青联青联股份有限公司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z w:val="18"/>
              </w:rPr>
              <w:t>--</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sz w:val="18"/>
              </w:rPr>
              <w:t>-6,195,029.72</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投资余额已减至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943" w:footer="897" w:top="1640" w:bottom="1080" w:left="1580" w:right="1460"/>
        </w:sectPr>
      </w:pPr>
    </w:p>
    <w:p>
      <w:pPr>
        <w:spacing w:line="240" w:lineRule="auto" w:before="13"/>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432"/>
        <w:gridCol w:w="1250"/>
        <w:gridCol w:w="1310"/>
        <w:gridCol w:w="2537"/>
      </w:tblGrid>
      <w:tr>
        <w:trPr>
          <w:trHeight w:val="739"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4"/>
              <w:ind w:left="813" w:right="631" w:hanging="180"/>
              <w:jc w:val="left"/>
              <w:rPr>
                <w:rFonts w:ascii="宋体" w:hAnsi="宋体" w:cs="宋体" w:eastAsia="宋体" w:hint="default"/>
                <w:sz w:val="18"/>
                <w:szCs w:val="18"/>
              </w:rPr>
            </w:pPr>
            <w:r>
              <w:rPr>
                <w:rFonts w:ascii="宋体" w:hAnsi="宋体" w:cs="宋体" w:eastAsia="宋体" w:hint="default"/>
                <w:sz w:val="18"/>
                <w:szCs w:val="18"/>
              </w:rPr>
              <w:t>本期比上期增减 变动的原因</w:t>
            </w:r>
          </w:p>
        </w:tc>
      </w:tr>
      <w:tr>
        <w:trPr>
          <w:trHeight w:val="384"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广西大宗食糖交易中心有限公司</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z w:val="18"/>
              </w:rPr>
              <w:t>--</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left="87" w:right="0"/>
              <w:jc w:val="center"/>
              <w:rPr>
                <w:rFonts w:ascii="Times New Roman" w:hAnsi="Times New Roman" w:cs="Times New Roman" w:eastAsia="Times New Roman" w:hint="default"/>
                <w:sz w:val="18"/>
                <w:szCs w:val="18"/>
              </w:rPr>
            </w:pPr>
            <w:r>
              <w:rPr>
                <w:rFonts w:ascii="Times New Roman"/>
                <w:sz w:val="18"/>
              </w:rPr>
              <w:t>-5,200,000.00</w:t>
            </w:r>
          </w:p>
        </w:tc>
        <w:tc>
          <w:tcPr>
            <w:tcW w:w="25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投资余额已减至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p>
        </w:tc>
      </w:tr>
      <w:tr>
        <w:trPr>
          <w:trHeight w:val="384" w:hRule="exact"/>
        </w:trPr>
        <w:tc>
          <w:tcPr>
            <w:tcW w:w="34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b/>
                <w:spacing w:val="-1"/>
                <w:sz w:val="18"/>
              </w:rPr>
              <w:t>43,589,738.97</w:t>
            </w:r>
            <w:r>
              <w:rPr>
                <w:rFonts w:ascii="Times New Roman"/>
                <w:spacing w:val="-1"/>
                <w:sz w:val="18"/>
              </w:rPr>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0"/>
              <w:ind w:left="79" w:right="0"/>
              <w:jc w:val="center"/>
              <w:rPr>
                <w:rFonts w:ascii="Times New Roman" w:hAnsi="Times New Roman" w:cs="Times New Roman" w:eastAsia="Times New Roman" w:hint="default"/>
                <w:sz w:val="18"/>
                <w:szCs w:val="18"/>
              </w:rPr>
            </w:pPr>
            <w:r>
              <w:rPr>
                <w:rFonts w:ascii="Times New Roman"/>
                <w:b/>
                <w:sz w:val="18"/>
              </w:rPr>
              <w:t>11,503,633.68</w:t>
            </w:r>
            <w:r>
              <w:rPr>
                <w:rFonts w:ascii="Times New Roman"/>
                <w:sz w:val="18"/>
              </w:rPr>
            </w:r>
          </w:p>
        </w:tc>
        <w:tc>
          <w:tcPr>
            <w:tcW w:w="2537"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8"/>
        <w:rPr>
          <w:rFonts w:ascii="宋体" w:hAnsi="宋体" w:cs="宋体" w:eastAsia="宋体" w:hint="default"/>
          <w:sz w:val="16"/>
          <w:szCs w:val="16"/>
        </w:rPr>
      </w:pPr>
    </w:p>
    <w:p>
      <w:pPr>
        <w:tabs>
          <w:tab w:pos="937" w:val="left" w:leader="none"/>
        </w:tabs>
        <w:spacing w:before="36"/>
        <w:ind w:left="43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0"/>
          <w:sz w:val="21"/>
          <w:szCs w:val="21"/>
        </w:rPr>
        <w:t>iv.</w:t>
        <w:tab/>
      </w:r>
      <w:r>
        <w:rPr>
          <w:rFonts w:ascii="宋体" w:hAnsi="宋体" w:cs="宋体" w:eastAsia="宋体" w:hint="default"/>
          <w:spacing w:val="-2"/>
          <w:sz w:val="21"/>
          <w:szCs w:val="21"/>
        </w:rPr>
        <w:t>现金流量表补充资料</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556"/>
        <w:gridCol w:w="1476"/>
        <w:gridCol w:w="1426"/>
      </w:tblGrid>
      <w:tr>
        <w:trPr>
          <w:trHeight w:val="449"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4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1"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476" w:type="dxa"/>
            <w:tcBorders>
              <w:top w:val="single" w:sz="4" w:space="0" w:color="000008"/>
              <w:left w:val="single" w:sz="4" w:space="0" w:color="000008"/>
              <w:bottom w:val="single" w:sz="6" w:space="0" w:color="7D7D85"/>
              <w:right w:val="single" w:sz="6" w:space="0" w:color="7D7D85"/>
            </w:tcBorders>
          </w:tcPr>
          <w:p>
            <w:pPr/>
          </w:p>
        </w:tc>
        <w:tc>
          <w:tcPr>
            <w:tcW w:w="1426" w:type="dxa"/>
            <w:tcBorders>
              <w:top w:val="single" w:sz="4" w:space="0" w:color="000008"/>
              <w:left w:val="single" w:sz="6" w:space="0" w:color="7D7D85"/>
              <w:bottom w:val="single" w:sz="6" w:space="0" w:color="7D7D85"/>
              <w:right w:val="single" w:sz="6" w:space="0" w:color="BDBDC4"/>
            </w:tcBorders>
          </w:tcPr>
          <w:p>
            <w:pP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2"/>
                <w:sz w:val="18"/>
              </w:rPr>
              <w:t>113,720,931.63</w:t>
            </w:r>
            <w:r>
              <w:rPr>
                <w:rFonts w:ascii="Times New Roman"/>
                <w:spacing w:val="-2"/>
                <w:sz w:val="18"/>
              </w:rPr>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2"/>
                <w:sz w:val="18"/>
              </w:rPr>
              <w:t>118,628,247.57</w:t>
            </w:r>
            <w:r>
              <w:rPr>
                <w:rFonts w:ascii="Times New Roman"/>
                <w:spacing w:val="-2"/>
                <w:sz w:val="18"/>
              </w:rPr>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42,504,808.43</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71,511,922.60</w:t>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15,156,001.83</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15,597,202.88</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722,773.70</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756,895.70</w:t>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3,844,688.52</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3,844,688.52</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5"/>
                <w:w w:val="95"/>
                <w:sz w:val="18"/>
                <w:szCs w:val="18"/>
              </w:rPr>
              <w:t>处置固定资产、无形资产和其他长期资产的损失（收益以</w:t>
            </w:r>
            <w:r>
              <w:rPr>
                <w:rFonts w:ascii="Times New Roman" w:hAnsi="Times New Roman" w:cs="Times New Roman" w:eastAsia="Times New Roman" w:hint="default"/>
                <w:spacing w:val="-5"/>
                <w:w w:val="95"/>
                <w:sz w:val="18"/>
                <w:szCs w:val="18"/>
              </w:rPr>
              <w:t>“</w:t>
            </w:r>
            <w:r>
              <w:rPr>
                <w:rFonts w:ascii="宋体" w:hAnsi="宋体" w:cs="宋体" w:eastAsia="宋体" w:hint="default"/>
                <w:spacing w:val="-5"/>
                <w:w w:val="95"/>
                <w:sz w:val="18"/>
                <w:szCs w:val="18"/>
              </w:rPr>
              <w:t>－</w:t>
            </w:r>
            <w:r>
              <w:rPr>
                <w:rFonts w:ascii="Times New Roman" w:hAnsi="Times New Roman" w:cs="Times New Roman" w:eastAsia="Times New Roman" w:hint="default"/>
                <w:spacing w:val="-5"/>
                <w:w w:val="95"/>
                <w:sz w:val="18"/>
                <w:szCs w:val="18"/>
              </w:rPr>
              <w:t>”</w:t>
            </w:r>
            <w:r>
              <w:rPr>
                <w:rFonts w:ascii="宋体" w:hAnsi="宋体" w:cs="宋体" w:eastAsia="宋体" w:hint="default"/>
                <w:spacing w:val="-5"/>
                <w:w w:val="95"/>
                <w:sz w:val="18"/>
                <w:szCs w:val="18"/>
              </w:rPr>
              <w:t>号填列  </w:t>
            </w:r>
            <w:r>
              <w:rPr>
                <w:rFonts w:ascii="宋体" w:hAnsi="宋体" w:cs="宋体" w:eastAsia="宋体" w:hint="default"/>
                <w:spacing w:val="9"/>
                <w:w w:val="95"/>
                <w:sz w:val="18"/>
                <w:szCs w:val="18"/>
              </w:rPr>
              <w:t> </w:t>
            </w:r>
            <w:r>
              <w:rPr>
                <w:rFonts w:ascii="宋体" w:hAnsi="宋体" w:cs="宋体" w:eastAsia="宋体" w:hint="default"/>
                <w:w w:val="95"/>
                <w:sz w:val="18"/>
                <w:szCs w:val="18"/>
              </w:rPr>
              <w:t>）</w:t>
            </w:r>
            <w:r>
              <w:rPr>
                <w:rFonts w:ascii="宋体" w:hAnsi="宋体" w:cs="宋体" w:eastAsia="宋体" w:hint="default"/>
                <w:sz w:val="18"/>
                <w:szCs w:val="18"/>
              </w:rPr>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37,981.31</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72,149.31</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31,190.49</w:t>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12,394,318.33</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30,750,460.80</w:t>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-236,774,491.31</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-165,447,216.42</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74,010.30</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-16,110,430.77</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79,196.04</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18,798.50</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7,944.00</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-138,540,279.46</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-27,680,062.06</w:t>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48,278,674.31</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-10,992,807.31</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-138,482,587.87</w:t>
            </w:r>
            <w:r>
              <w:rPr>
                <w:rFonts w:ascii="Times New Roman"/>
                <w:spacing w:val="-1"/>
                <w:sz w:val="18"/>
              </w:rPr>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20,970,185.31</w:t>
            </w:r>
            <w:r>
              <w:rPr>
                <w:rFonts w:ascii="Times New Roman"/>
                <w:spacing w:val="-1"/>
                <w:sz w:val="18"/>
              </w:rPr>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476" w:type="dxa"/>
            <w:tcBorders>
              <w:top w:val="single" w:sz="6" w:space="0" w:color="7D7D85"/>
              <w:left w:val="single" w:sz="4" w:space="0" w:color="000008"/>
              <w:bottom w:val="single" w:sz="6" w:space="0" w:color="7D7D85"/>
              <w:right w:val="single" w:sz="6" w:space="0" w:color="7D7D85"/>
            </w:tcBorders>
          </w:tcPr>
          <w:p>
            <w:pPr/>
          </w:p>
        </w:tc>
        <w:tc>
          <w:tcPr>
            <w:tcW w:w="1426" w:type="dxa"/>
            <w:tcBorders>
              <w:top w:val="single" w:sz="6" w:space="0" w:color="7D7D85"/>
              <w:left w:val="single" w:sz="6" w:space="0" w:color="7D7D85"/>
              <w:bottom w:val="single" w:sz="6" w:space="0" w:color="7D7D85"/>
              <w:right w:val="single" w:sz="6" w:space="0" w:color="BDBDC4"/>
            </w:tcBorders>
          </w:tcPr>
          <w:p>
            <w:pP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476" w:type="dxa"/>
            <w:tcBorders>
              <w:top w:val="single" w:sz="6" w:space="0" w:color="7D7D85"/>
              <w:left w:val="single" w:sz="4" w:space="0" w:color="000008"/>
              <w:bottom w:val="single" w:sz="6" w:space="0" w:color="BDBDC4"/>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6" w:space="0" w:color="7D7D85"/>
              <w:left w:val="single" w:sz="6" w:space="0" w:color="7D7D85"/>
              <w:bottom w:val="single" w:sz="6" w:space="0" w:color="BDBDC4"/>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181"/>
          <w:pgSz w:w="11910" w:h="16840"/>
          <w:pgMar w:footer="897" w:header="943" w:top="1640" w:bottom="1080" w:left="1580" w:right="1580"/>
          <w:pgNumType w:start="200"/>
        </w:sectPr>
      </w:pPr>
    </w:p>
    <w:p>
      <w:pPr>
        <w:spacing w:line="240" w:lineRule="auto" w:before="13"/>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5556"/>
        <w:gridCol w:w="1476"/>
        <w:gridCol w:w="1426"/>
      </w:tblGrid>
      <w:tr>
        <w:trPr>
          <w:trHeight w:val="449"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76" w:type="dxa"/>
            <w:tcBorders>
              <w:top w:val="single" w:sz="4" w:space="0" w:color="000008"/>
              <w:left w:val="single" w:sz="4" w:space="0" w:color="000008"/>
              <w:bottom w:val="single" w:sz="6" w:space="0" w:color="7D7D85"/>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426" w:type="dxa"/>
            <w:tcBorders>
              <w:top w:val="single" w:sz="4" w:space="0" w:color="000008"/>
              <w:left w:val="single" w:sz="4" w:space="0" w:color="000008"/>
              <w:bottom w:val="single" w:sz="6" w:space="0" w:color="7D7D85"/>
              <w:right w:val="single" w:sz="4" w:space="0" w:color="000008"/>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1"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1,165,696,727.14</w:t>
            </w:r>
            <w:r>
              <w:rPr>
                <w:rFonts w:ascii="Times New Roman"/>
                <w:spacing w:val="-1"/>
                <w:sz w:val="18"/>
              </w:rPr>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809,694,782.75</w:t>
            </w:r>
            <w:r>
              <w:rPr>
                <w:rFonts w:ascii="Times New Roman"/>
                <w:spacing w:val="-1"/>
                <w:sz w:val="18"/>
              </w:rPr>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809,694,782.75</w:t>
            </w:r>
            <w:r>
              <w:rPr>
                <w:rFonts w:ascii="Times New Roman"/>
                <w:spacing w:val="-1"/>
                <w:sz w:val="18"/>
              </w:rPr>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287,605,161.16</w:t>
            </w:r>
            <w:r>
              <w:rPr>
                <w:rFonts w:ascii="Times New Roman"/>
                <w:spacing w:val="-1"/>
                <w:sz w:val="18"/>
              </w:rPr>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76" w:type="dxa"/>
            <w:tcBorders>
              <w:top w:val="single" w:sz="6" w:space="0" w:color="7D7D85"/>
              <w:left w:val="single" w:sz="4" w:space="0" w:color="000008"/>
              <w:bottom w:val="single" w:sz="6" w:space="0" w:color="7D7D85"/>
              <w:right w:val="single" w:sz="6" w:space="0" w:color="7D7D85"/>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26" w:type="dxa"/>
            <w:tcBorders>
              <w:top w:val="single" w:sz="6" w:space="0" w:color="7D7D85"/>
              <w:left w:val="single" w:sz="6" w:space="0" w:color="7D7D85"/>
              <w:bottom w:val="single" w:sz="6" w:space="0" w:color="7D7D85"/>
              <w:right w:val="single" w:sz="6" w:space="0" w:color="BDBDC4"/>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56" w:hRule="exact"/>
        </w:trPr>
        <w:tc>
          <w:tcPr>
            <w:tcW w:w="5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76" w:type="dxa"/>
            <w:tcBorders>
              <w:top w:val="single" w:sz="6" w:space="0" w:color="7D7D85"/>
              <w:left w:val="single" w:sz="4" w:space="0" w:color="000008"/>
              <w:bottom w:val="single" w:sz="6" w:space="0" w:color="BDBDC4"/>
              <w:right w:val="single" w:sz="6" w:space="0" w:color="7D7D85"/>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356,001,944.39</w:t>
            </w:r>
            <w:r>
              <w:rPr>
                <w:rFonts w:ascii="Times New Roman"/>
                <w:spacing w:val="-1"/>
                <w:sz w:val="18"/>
              </w:rPr>
            </w:r>
          </w:p>
        </w:tc>
        <w:tc>
          <w:tcPr>
            <w:tcW w:w="1426" w:type="dxa"/>
            <w:tcBorders>
              <w:top w:val="single" w:sz="6" w:space="0" w:color="7D7D85"/>
              <w:left w:val="single" w:sz="6" w:space="0" w:color="7D7D85"/>
              <w:bottom w:val="single" w:sz="6" w:space="0" w:color="BDBDC4"/>
              <w:right w:val="single" w:sz="6" w:space="0" w:color="BDBDC4"/>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522,089,621.59</w:t>
            </w:r>
            <w:r>
              <w:rPr>
                <w:rFonts w:ascii="Times New Roman"/>
                <w:spacing w:val="-1"/>
                <w:sz w:val="18"/>
              </w:rPr>
            </w:r>
          </w:p>
        </w:tc>
      </w:tr>
    </w:tbl>
    <w:p>
      <w:pPr>
        <w:spacing w:line="240" w:lineRule="auto" w:before="0"/>
        <w:rPr>
          <w:rFonts w:ascii="宋体" w:hAnsi="宋体" w:cs="宋体" w:eastAsia="宋体" w:hint="default"/>
          <w:sz w:val="17"/>
          <w:szCs w:val="17"/>
        </w:rPr>
      </w:pPr>
    </w:p>
    <w:p>
      <w:pPr>
        <w:tabs>
          <w:tab w:pos="2106" w:val="left" w:leader="none"/>
        </w:tabs>
        <w:spacing w:line="504" w:lineRule="auto" w:before="36"/>
        <w:ind w:left="637" w:right="5596" w:firstLine="0"/>
        <w:jc w:val="left"/>
        <w:rPr>
          <w:rFonts w:ascii="宋体" w:hAnsi="宋体" w:cs="宋体" w:eastAsia="宋体" w:hint="default"/>
          <w:sz w:val="21"/>
          <w:szCs w:val="21"/>
        </w:rPr>
      </w:pPr>
      <w:r>
        <w:rPr/>
        <w:pict>
          <v:shape style="position:absolute;margin-left:89.519997pt;margin-top:52.823654pt;width:432.75pt;height:349.6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20"/>
                    <w:gridCol w:w="1738"/>
                    <w:gridCol w:w="1682"/>
                  </w:tblGrid>
                  <w:tr>
                    <w:trPr>
                      <w:trHeight w:val="372"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859"/>
                          <w:jc w:val="center"/>
                          <w:rPr>
                            <w:rFonts w:ascii="宋体" w:hAnsi="宋体" w:cs="宋体" w:eastAsia="宋体" w:hint="default"/>
                            <w:sz w:val="18"/>
                            <w:szCs w:val="18"/>
                          </w:rPr>
                        </w:pPr>
                        <w:r>
                          <w:rPr>
                            <w:rFonts w:ascii="宋体" w:hAnsi="宋体" w:cs="宋体" w:eastAsia="宋体" w:hint="default"/>
                            <w:sz w:val="18"/>
                            <w:szCs w:val="18"/>
                          </w:rPr>
                          <w:t>项目</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16,016,550.49</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24"/>
                          <w:jc w:val="right"/>
                          <w:rPr>
                            <w:rFonts w:ascii="Times New Roman" w:hAnsi="Times New Roman" w:cs="Times New Roman" w:eastAsia="Times New Roman" w:hint="default"/>
                            <w:sz w:val="18"/>
                            <w:szCs w:val="18"/>
                          </w:rPr>
                        </w:pPr>
                        <w:r>
                          <w:rPr>
                            <w:rFonts w:ascii="Times New Roman"/>
                            <w:spacing w:val="-1"/>
                            <w:sz w:val="18"/>
                          </w:rPr>
                          <w:t>34,211,795.07</w:t>
                        </w:r>
                      </w:p>
                    </w:tc>
                  </w:tr>
                  <w:tr>
                    <w:trPr>
                      <w:trHeight w:val="37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转让股权损益</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153,363,518.62</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19"/>
                          <w:ind w:left="105" w:right="98"/>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标准定额或定量享受的政府补助除外）</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47,640,713.59</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44,407,472.30</w:t>
                        </w:r>
                      </w:p>
                    </w:tc>
                  </w:tr>
                  <w:tr>
                    <w:trPr>
                      <w:trHeight w:val="37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-219,627.40</w:t>
                        </w:r>
                      </w:p>
                    </w:tc>
                  </w:tr>
                  <w:tr>
                    <w:trPr>
                      <w:trHeight w:val="145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1"/>
                          <w:ind w:left="105" w:right="98"/>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资收益</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320,784.84</w:t>
                        </w:r>
                      </w:p>
                    </w:tc>
                  </w:tr>
                  <w:tr>
                    <w:trPr>
                      <w:trHeight w:val="372"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-65,000,000.00</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19"/>
                          <w:ind w:left="105" w:right="98"/>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对当期损益的影响</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5,487,602.94</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25,187,883.07</w:t>
                        </w:r>
                      </w:p>
                    </w:tc>
                  </w:tr>
                  <w:tr>
                    <w:trPr>
                      <w:trHeight w:val="37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30,397,337.70</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21,074,282.68</w:t>
                        </w:r>
                      </w:p>
                    </w:tc>
                  </w:tr>
                  <w:tr>
                    <w:trPr>
                      <w:trHeight w:val="372"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减：少数股东损益影响额（税后）</w:t>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18,098,089.39</w:t>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14,316,675.23</w:t>
                        </w:r>
                      </w:p>
                    </w:tc>
                  </w:tr>
                  <w:tr>
                    <w:trPr>
                      <w:trHeight w:val="370" w:hRule="exact"/>
                    </w:trPr>
                    <w:tc>
                      <w:tcPr>
                        <w:tcW w:w="5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1"/>
                            <w:sz w:val="18"/>
                          </w:rPr>
                          <w:t>109,012,958.55</w:t>
                        </w:r>
                        <w:r>
                          <w:rPr>
                            <w:rFonts w:ascii="Times New Roman"/>
                            <w:spacing w:val="-1"/>
                            <w:sz w:val="18"/>
                          </w:rPr>
                        </w:r>
                      </w:p>
                    </w:tc>
                    <w:tc>
                      <w:tcPr>
                        <w:tcW w:w="16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1"/>
                            <w:sz w:val="18"/>
                          </w:rPr>
                          <w:t>68,517,349.97</w:t>
                        </w:r>
                        <w:r>
                          <w:rPr>
                            <w:rFonts w:ascii="Times New Roman"/>
                            <w:spacing w:val="-1"/>
                            <w:sz w:val="18"/>
                          </w:rPr>
                        </w:r>
                      </w:p>
                    </w:tc>
                  </w:tr>
                </w:tbl>
                <w:p>
                  <w:pPr/>
                </w:p>
              </w:txbxContent>
            </v:textbox>
            <w10:wrap type="none"/>
          </v:shape>
        </w:pict>
      </w:r>
      <w:r>
        <w:rPr>
          <w:rFonts w:ascii="宋体" w:hAnsi="宋体" w:cs="宋体" w:eastAsia="宋体" w:hint="default"/>
          <w:spacing w:val="-2"/>
          <w:sz w:val="21"/>
          <w:szCs w:val="21"/>
        </w:rPr>
        <w:t>附注十三、</w:t>
        <w:tab/>
        <w:t>补充资料：</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一、当期非经常性损益明细表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0"/>
        <w:ind w:left="637" w:right="4871" w:firstLine="0"/>
        <w:jc w:val="left"/>
        <w:rPr>
          <w:rFonts w:ascii="宋体" w:hAnsi="宋体" w:cs="宋体" w:eastAsia="宋体" w:hint="default"/>
          <w:sz w:val="21"/>
          <w:szCs w:val="21"/>
        </w:rPr>
      </w:pPr>
      <w:r>
        <w:rPr>
          <w:rFonts w:ascii="宋体" w:hAnsi="宋体" w:cs="宋体" w:eastAsia="宋体" w:hint="default"/>
          <w:sz w:val="21"/>
          <w:szCs w:val="21"/>
        </w:rPr>
        <w:t>二、净资产收益率及每股收益</w:t>
      </w:r>
    </w:p>
    <w:p>
      <w:pPr>
        <w:spacing w:line="240" w:lineRule="auto" w:before="13"/>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748"/>
        <w:gridCol w:w="2359"/>
        <w:gridCol w:w="1702"/>
        <w:gridCol w:w="1721"/>
      </w:tblGrid>
      <w:tr>
        <w:trPr>
          <w:trHeight w:val="370" w:hRule="exact"/>
        </w:trPr>
        <w:tc>
          <w:tcPr>
            <w:tcW w:w="2748"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59"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w:t>
            </w:r>
            <w:r>
              <w:rPr>
                <w:rFonts w:ascii="宋体" w:hAnsi="宋体" w:cs="宋体" w:eastAsia="宋体" w:hint="default"/>
                <w:spacing w:val="-75"/>
                <w:sz w:val="18"/>
                <w:szCs w:val="18"/>
              </w:rPr>
              <w:t>率</w:t>
            </w:r>
            <w:r>
              <w:rPr>
                <w:rFonts w:ascii="宋体" w:hAnsi="宋体" w:cs="宋体" w:eastAsia="宋体" w:hint="default"/>
                <w:spacing w:val="-3"/>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w w:val="52"/>
                <w:sz w:val="18"/>
                <w:szCs w:val="18"/>
              </w:rPr>
              <w:t>）</w:t>
            </w:r>
            <w:r>
              <w:rPr>
                <w:rFonts w:ascii="宋体" w:hAnsi="宋体" w:cs="宋体" w:eastAsia="宋体" w:hint="default"/>
                <w:sz w:val="18"/>
                <w:szCs w:val="18"/>
              </w:rPr>
            </w:r>
          </w:p>
        </w:tc>
        <w:tc>
          <w:tcPr>
            <w:tcW w:w="34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70" w:hRule="exact"/>
        </w:trPr>
        <w:tc>
          <w:tcPr>
            <w:tcW w:w="2748" w:type="dxa"/>
            <w:vMerge/>
            <w:tcBorders>
              <w:left w:val="single" w:sz="4" w:space="0" w:color="000008"/>
              <w:bottom w:val="single" w:sz="4" w:space="0" w:color="000008"/>
              <w:right w:val="single" w:sz="4" w:space="0" w:color="000008"/>
            </w:tcBorders>
          </w:tcPr>
          <w:p>
            <w:pPr/>
          </w:p>
        </w:tc>
        <w:tc>
          <w:tcPr>
            <w:tcW w:w="2359" w:type="dxa"/>
            <w:vMerge/>
            <w:tcBorders>
              <w:left w:val="single" w:sz="4" w:space="0" w:color="000008"/>
              <w:bottom w:val="single" w:sz="4" w:space="0" w:color="000008"/>
              <w:right w:val="single" w:sz="4" w:space="0" w:color="000008"/>
            </w:tcBorders>
          </w:tcPr>
          <w:p>
            <w:pP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30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31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70" w:hRule="exact"/>
        </w:trPr>
        <w:tc>
          <w:tcPr>
            <w:tcW w:w="27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2.97</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2"/>
                <w:sz w:val="18"/>
              </w:rPr>
              <w:t>0.1108</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2"/>
                <w:sz w:val="18"/>
              </w:rPr>
              <w:t>0.1108</w:t>
            </w:r>
          </w:p>
        </w:tc>
      </w:tr>
      <w:tr>
        <w:trPr>
          <w:trHeight w:val="730" w:hRule="exact"/>
        </w:trPr>
        <w:tc>
          <w:tcPr>
            <w:tcW w:w="2748" w:type="dxa"/>
            <w:tcBorders>
              <w:top w:val="single" w:sz="4" w:space="0" w:color="000008"/>
              <w:left w:val="single" w:sz="4" w:space="0" w:color="000008"/>
              <w:bottom w:val="single" w:sz="4" w:space="0" w:color="000008"/>
              <w:right w:val="single" w:sz="4" w:space="0" w:color="000008"/>
            </w:tcBorders>
          </w:tcPr>
          <w:p>
            <w:pPr>
              <w:pStyle w:val="TableParagraph"/>
              <w:spacing w:line="360" w:lineRule="exact" w:before="2"/>
              <w:ind w:left="105" w:right="11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3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5"/>
                <w:sz w:val="18"/>
              </w:rPr>
              <w:t>-0.83</w:t>
            </w:r>
            <w:r>
              <w:rPr>
                <w:rFonts w:ascii="Times New Roman"/>
                <w:sz w:val="18"/>
              </w:rPr>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-0.0310</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-0.0310</w:t>
            </w:r>
          </w:p>
        </w:tc>
      </w:tr>
    </w:tbl>
    <w:p>
      <w:pPr>
        <w:spacing w:after="0" w:line="240" w:lineRule="auto"/>
        <w:jc w:val="right"/>
        <w:rPr>
          <w:rFonts w:ascii="Times New Roman" w:hAnsi="Times New Roman" w:cs="Times New Roman" w:eastAsia="Times New Roman" w:hint="default"/>
          <w:sz w:val="18"/>
          <w:szCs w:val="18"/>
        </w:rPr>
        <w:sectPr>
          <w:pgSz w:w="11910" w:h="16840"/>
          <w:pgMar w:header="943" w:footer="897" w:top="1640" w:bottom="1080" w:left="1580" w:right="1360"/>
        </w:sectPr>
      </w:pPr>
    </w:p>
    <w:p>
      <w:pPr>
        <w:spacing w:line="240" w:lineRule="auto" w:before="6"/>
        <w:rPr>
          <w:rFonts w:ascii="宋体" w:hAnsi="宋体" w:cs="宋体" w:eastAsia="宋体" w:hint="default"/>
          <w:sz w:val="23"/>
          <w:szCs w:val="23"/>
        </w:rPr>
      </w:pPr>
    </w:p>
    <w:p>
      <w:pPr>
        <w:spacing w:before="36"/>
        <w:ind w:left="557" w:right="0" w:firstLine="0"/>
        <w:jc w:val="left"/>
        <w:rPr>
          <w:rFonts w:ascii="宋体" w:hAnsi="宋体" w:cs="宋体" w:eastAsia="宋体" w:hint="default"/>
          <w:sz w:val="21"/>
          <w:szCs w:val="21"/>
        </w:rPr>
      </w:pPr>
      <w:r>
        <w:rPr>
          <w:rFonts w:ascii="宋体" w:hAnsi="宋体" w:cs="宋体" w:eastAsia="宋体" w:hint="default"/>
          <w:sz w:val="21"/>
          <w:szCs w:val="21"/>
        </w:rPr>
        <w:t>三、公司主要会计报表项目的异常情况及原因的说明</w:t>
      </w:r>
    </w:p>
    <w:p>
      <w:pPr>
        <w:spacing w:line="240" w:lineRule="auto" w:before="10"/>
        <w:rPr>
          <w:rFonts w:ascii="宋体" w:hAnsi="宋体" w:cs="宋体" w:eastAsia="宋体" w:hint="default"/>
          <w:sz w:val="21"/>
          <w:szCs w:val="21"/>
        </w:rPr>
      </w:pPr>
    </w:p>
    <w:p>
      <w:pPr>
        <w:spacing w:line="362" w:lineRule="auto" w:before="0"/>
        <w:ind w:left="137" w:right="153" w:firstLine="420"/>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、货币资金：比期初增加 </w:t>
      </w:r>
      <w:r>
        <w:rPr>
          <w:rFonts w:ascii="Times New Roman" w:hAnsi="Times New Roman" w:cs="Times New Roman" w:eastAsia="Times New Roman" w:hint="default"/>
          <w:sz w:val="21"/>
          <w:szCs w:val="21"/>
        </w:rPr>
        <w:t>65,108.24 </w:t>
      </w:r>
      <w:r>
        <w:rPr>
          <w:rFonts w:ascii="宋体" w:hAnsi="宋体" w:cs="宋体" w:eastAsia="宋体" w:hint="default"/>
          <w:spacing w:val="-6"/>
          <w:sz w:val="21"/>
          <w:szCs w:val="21"/>
        </w:rPr>
        <w:t>万元，增长</w:t>
      </w:r>
      <w:r>
        <w:rPr>
          <w:rFonts w:ascii="宋体" w:hAnsi="宋体" w:cs="宋体" w:eastAsia="宋体" w:hint="default"/>
          <w:spacing w:val="-65"/>
          <w:sz w:val="21"/>
          <w:szCs w:val="21"/>
        </w:rPr>
        <w:t> </w:t>
      </w:r>
      <w:r>
        <w:rPr>
          <w:rFonts w:ascii="Times New Roman" w:hAnsi="Times New Roman" w:cs="Times New Roman" w:eastAsia="Times New Roman" w:hint="default"/>
          <w:spacing w:val="-3"/>
          <w:sz w:val="21"/>
          <w:szCs w:val="21"/>
        </w:rPr>
        <w:t>42%</w:t>
      </w:r>
      <w:r>
        <w:rPr>
          <w:rFonts w:ascii="宋体" w:hAnsi="宋体" w:cs="宋体" w:eastAsia="宋体" w:hint="default"/>
          <w:spacing w:val="-3"/>
          <w:sz w:val="21"/>
          <w:szCs w:val="21"/>
        </w:rPr>
        <w:t>，主要是本期本公司发行短期融资</w:t>
      </w:r>
      <w:r>
        <w:rPr>
          <w:rFonts w:ascii="宋体" w:hAnsi="宋体" w:cs="宋体" w:eastAsia="宋体" w:hint="default"/>
          <w:w w:val="100"/>
          <w:sz w:val="21"/>
          <w:szCs w:val="21"/>
        </w:rPr>
        <w:t> </w:t>
      </w:r>
      <w:r>
        <w:rPr>
          <w:rFonts w:ascii="宋体" w:hAnsi="宋体" w:cs="宋体" w:eastAsia="宋体" w:hint="default"/>
          <w:sz w:val="21"/>
          <w:szCs w:val="21"/>
        </w:rPr>
        <w:t>券，收到货币资金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before="106"/>
        <w:ind w:left="557"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、预付款项：比期初增加</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23,205.90</w:t>
      </w:r>
      <w:r>
        <w:rPr>
          <w:rFonts w:ascii="Times New Roman" w:hAnsi="Times New Roman" w:cs="Times New Roman" w:eastAsia="Times New Roman" w:hint="default"/>
          <w:spacing w:val="10"/>
          <w:sz w:val="21"/>
          <w:szCs w:val="21"/>
        </w:rPr>
        <w:t> </w:t>
      </w:r>
      <w:r>
        <w:rPr>
          <w:rFonts w:ascii="宋体" w:hAnsi="宋体" w:cs="宋体" w:eastAsia="宋体" w:hint="default"/>
          <w:spacing w:val="-14"/>
          <w:sz w:val="21"/>
          <w:szCs w:val="21"/>
        </w:rPr>
        <w:t>万元，增长</w:t>
      </w:r>
      <w:r>
        <w:rPr>
          <w:rFonts w:ascii="宋体" w:hAnsi="宋体" w:cs="宋体" w:eastAsia="宋体" w:hint="default"/>
          <w:spacing w:val="-42"/>
          <w:sz w:val="21"/>
          <w:szCs w:val="21"/>
        </w:rPr>
        <w:t> </w:t>
      </w:r>
      <w:r>
        <w:rPr>
          <w:rFonts w:ascii="Times New Roman" w:hAnsi="Times New Roman" w:cs="Times New Roman" w:eastAsia="Times New Roman" w:hint="default"/>
          <w:spacing w:val="-6"/>
          <w:sz w:val="21"/>
          <w:szCs w:val="21"/>
        </w:rPr>
        <w:t>95%</w:t>
      </w:r>
      <w:r>
        <w:rPr>
          <w:rFonts w:ascii="宋体" w:hAnsi="宋体" w:cs="宋体" w:eastAsia="宋体" w:hint="default"/>
          <w:spacing w:val="-6"/>
          <w:sz w:val="21"/>
          <w:szCs w:val="21"/>
        </w:rPr>
        <w:t>，主要系增加的预付土地款</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5,618.18</w:t>
      </w:r>
    </w:p>
    <w:p>
      <w:pPr>
        <w:spacing w:before="148"/>
        <w:ind w:left="137" w:right="0" w:firstLine="0"/>
        <w:jc w:val="left"/>
        <w:rPr>
          <w:rFonts w:ascii="宋体" w:hAnsi="宋体" w:cs="宋体" w:eastAsia="宋体" w:hint="default"/>
          <w:sz w:val="21"/>
          <w:szCs w:val="21"/>
        </w:rPr>
      </w:pPr>
      <w:r>
        <w:rPr>
          <w:rFonts w:ascii="宋体" w:hAnsi="宋体" w:cs="宋体" w:eastAsia="宋体" w:hint="default"/>
          <w:spacing w:val="-6"/>
          <w:sz w:val="21"/>
          <w:szCs w:val="21"/>
        </w:rPr>
        <w:t>万元、购置房产的款项</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7,922.91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万元、拟设立子公司的投资款</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4,954.13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万元以及以抵押方式</w:t>
      </w:r>
    </w:p>
    <w:p>
      <w:pPr>
        <w:spacing w:before="148"/>
        <w:ind w:left="137" w:right="0" w:firstLine="0"/>
        <w:jc w:val="left"/>
        <w:rPr>
          <w:rFonts w:ascii="宋体" w:hAnsi="宋体" w:cs="宋体" w:eastAsia="宋体" w:hint="default"/>
          <w:sz w:val="21"/>
          <w:szCs w:val="21"/>
        </w:rPr>
      </w:pPr>
      <w:r>
        <w:rPr>
          <w:rFonts w:ascii="宋体" w:hAnsi="宋体" w:cs="宋体" w:eastAsia="宋体" w:hint="default"/>
          <w:sz w:val="21"/>
          <w:szCs w:val="21"/>
        </w:rPr>
        <w:t>预付的货款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8000 </w:t>
      </w:r>
      <w:r>
        <w:rPr>
          <w:rFonts w:ascii="宋体" w:hAnsi="宋体" w:cs="宋体" w:eastAsia="宋体" w:hint="default"/>
          <w:sz w:val="21"/>
          <w:szCs w:val="21"/>
        </w:rPr>
        <w:t>万元。</w:t>
      </w:r>
    </w:p>
    <w:p>
      <w:pPr>
        <w:spacing w:line="240" w:lineRule="auto" w:before="3"/>
        <w:rPr>
          <w:rFonts w:ascii="宋体" w:hAnsi="宋体" w:cs="宋体" w:eastAsia="宋体" w:hint="default"/>
          <w:sz w:val="17"/>
          <w:szCs w:val="17"/>
        </w:rPr>
      </w:pPr>
    </w:p>
    <w:p>
      <w:pPr>
        <w:spacing w:line="362" w:lineRule="auto" w:before="0"/>
        <w:ind w:left="137" w:right="153" w:firstLine="42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、其他应收款：净额较期初减少 </w:t>
      </w:r>
      <w:r>
        <w:rPr>
          <w:rFonts w:ascii="Times New Roman" w:hAnsi="Times New Roman" w:cs="Times New Roman" w:eastAsia="Times New Roman" w:hint="default"/>
          <w:sz w:val="21"/>
          <w:szCs w:val="21"/>
        </w:rPr>
        <w:t>15,216.36 </w:t>
      </w:r>
      <w:r>
        <w:rPr>
          <w:rFonts w:ascii="宋体" w:hAnsi="宋体" w:cs="宋体" w:eastAsia="宋体" w:hint="default"/>
          <w:spacing w:val="-6"/>
          <w:sz w:val="21"/>
          <w:szCs w:val="21"/>
        </w:rPr>
        <w:t>万元，降低</w:t>
      </w:r>
      <w:r>
        <w:rPr>
          <w:rFonts w:ascii="宋体" w:hAnsi="宋体" w:cs="宋体" w:eastAsia="宋体" w:hint="default"/>
          <w:spacing w:val="-70"/>
          <w:sz w:val="21"/>
          <w:szCs w:val="21"/>
        </w:rPr>
        <w:t> </w:t>
      </w:r>
      <w:r>
        <w:rPr>
          <w:rFonts w:ascii="Times New Roman" w:hAnsi="Times New Roman" w:cs="Times New Roman" w:eastAsia="Times New Roman" w:hint="default"/>
          <w:spacing w:val="-3"/>
          <w:sz w:val="21"/>
          <w:szCs w:val="21"/>
        </w:rPr>
        <w:t>60%</w:t>
      </w:r>
      <w:r>
        <w:rPr>
          <w:rFonts w:ascii="宋体" w:hAnsi="宋体" w:cs="宋体" w:eastAsia="宋体" w:hint="default"/>
          <w:spacing w:val="-3"/>
          <w:sz w:val="21"/>
          <w:szCs w:val="21"/>
        </w:rPr>
        <w:t>，主要为寿光蔬菜公司退出</w:t>
      </w:r>
      <w:r>
        <w:rPr>
          <w:rFonts w:ascii="宋体" w:hAnsi="宋体" w:cs="宋体" w:eastAsia="宋体" w:hint="default"/>
          <w:w w:val="100"/>
          <w:sz w:val="21"/>
          <w:szCs w:val="21"/>
        </w:rPr>
        <w:t> </w:t>
      </w:r>
      <w:r>
        <w:rPr>
          <w:rFonts w:ascii="宋体" w:hAnsi="宋体" w:cs="宋体" w:eastAsia="宋体" w:hint="default"/>
          <w:sz w:val="21"/>
          <w:szCs w:val="21"/>
        </w:rPr>
        <w:t>合并报表，以及本公司对民润公司的应收款项计提坏账准备所致。</w:t>
      </w:r>
    </w:p>
    <w:p>
      <w:pPr>
        <w:spacing w:line="362" w:lineRule="auto" w:before="134"/>
        <w:ind w:left="137" w:right="153" w:firstLine="420"/>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、在建工程：较期初增加</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24,109.49</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万元，增长</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52%</w:t>
      </w:r>
      <w:r>
        <w:rPr>
          <w:rFonts w:ascii="宋体" w:hAnsi="宋体" w:cs="宋体" w:eastAsia="宋体" w:hint="default"/>
          <w:sz w:val="21"/>
          <w:szCs w:val="21"/>
        </w:rPr>
        <w:t>，主要为工程项目支出增加和结转</w:t>
      </w:r>
      <w:r>
        <w:rPr>
          <w:rFonts w:ascii="宋体" w:hAnsi="宋体" w:cs="宋体" w:eastAsia="宋体" w:hint="default"/>
          <w:w w:val="100"/>
          <w:sz w:val="21"/>
          <w:szCs w:val="21"/>
        </w:rPr>
        <w:t> </w:t>
      </w:r>
      <w:r>
        <w:rPr>
          <w:rFonts w:ascii="宋体" w:hAnsi="宋体" w:cs="宋体" w:eastAsia="宋体" w:hint="default"/>
          <w:spacing w:val="-4"/>
          <w:sz w:val="21"/>
          <w:szCs w:val="21"/>
        </w:rPr>
        <w:t>固定资产所致。主要包括平湖国际物流园项目工程增加 </w:t>
      </w:r>
      <w:r>
        <w:rPr>
          <w:rFonts w:ascii="Times New Roman" w:hAnsi="Times New Roman" w:cs="Times New Roman" w:eastAsia="Times New Roman" w:hint="default"/>
          <w:sz w:val="21"/>
          <w:szCs w:val="21"/>
        </w:rPr>
        <w:t>8,532.80</w:t>
      </w:r>
      <w:r>
        <w:rPr>
          <w:rFonts w:ascii="Times New Roman" w:hAnsi="Times New Roman" w:cs="Times New Roman" w:eastAsia="Times New Roman" w:hint="default"/>
          <w:spacing w:val="21"/>
          <w:sz w:val="21"/>
          <w:szCs w:val="21"/>
        </w:rPr>
        <w:t> </w:t>
      </w:r>
      <w:r>
        <w:rPr>
          <w:rFonts w:ascii="宋体" w:hAnsi="宋体" w:cs="宋体" w:eastAsia="宋体" w:hint="default"/>
          <w:spacing w:val="-6"/>
          <w:sz w:val="21"/>
          <w:szCs w:val="21"/>
        </w:rPr>
        <w:t>万元、农牧美益肉联厂工程</w:t>
      </w:r>
    </w:p>
    <w:p>
      <w:pPr>
        <w:spacing w:before="32"/>
        <w:ind w:left="137" w:right="0" w:firstLine="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8,578.54</w:t>
      </w:r>
      <w:r>
        <w:rPr>
          <w:rFonts w:ascii="Times New Roman" w:hAnsi="Times New Roman" w:cs="Times New Roman" w:eastAsia="Times New Roman" w:hint="default"/>
          <w:spacing w:val="8"/>
          <w:sz w:val="21"/>
          <w:szCs w:val="21"/>
        </w:rPr>
        <w:t> </w:t>
      </w:r>
      <w:r>
        <w:rPr>
          <w:rFonts w:ascii="宋体" w:hAnsi="宋体" w:cs="宋体" w:eastAsia="宋体" w:hint="default"/>
          <w:spacing w:val="-5"/>
          <w:sz w:val="21"/>
          <w:szCs w:val="21"/>
        </w:rPr>
        <w:t>万元、果菜益民豆制品基地增加</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2,772.11</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万元、沈阳海吉星农产品物流园工程</w:t>
      </w:r>
    </w:p>
    <w:p>
      <w:pPr>
        <w:spacing w:before="148"/>
        <w:ind w:left="137" w:right="0" w:firstLine="0"/>
        <w:jc w:val="left"/>
        <w:rPr>
          <w:rFonts w:ascii="宋体" w:hAnsi="宋体" w:cs="宋体" w:eastAsia="宋体" w:hint="default"/>
          <w:sz w:val="21"/>
          <w:szCs w:val="21"/>
        </w:rPr>
      </w:pPr>
      <w:r>
        <w:rPr>
          <w:rFonts w:ascii="宋体" w:hAnsi="宋体" w:cs="宋体" w:eastAsia="宋体" w:hint="default"/>
          <w:sz w:val="21"/>
          <w:szCs w:val="21"/>
        </w:rPr>
        <w:t>增加 </w:t>
      </w:r>
      <w:r>
        <w:rPr>
          <w:rFonts w:ascii="Times New Roman" w:hAnsi="Times New Roman" w:cs="Times New Roman" w:eastAsia="Times New Roman" w:hint="default"/>
          <w:sz w:val="21"/>
          <w:szCs w:val="21"/>
        </w:rPr>
        <w:t>2,097.46 </w:t>
      </w:r>
      <w:r>
        <w:rPr>
          <w:rFonts w:ascii="宋体" w:hAnsi="宋体" w:cs="宋体" w:eastAsia="宋体" w:hint="default"/>
          <w:spacing w:val="5"/>
          <w:sz w:val="21"/>
          <w:szCs w:val="21"/>
        </w:rPr>
        <w:t>万元、广西海吉星农产品物流园增加 </w:t>
      </w:r>
      <w:r>
        <w:rPr>
          <w:rFonts w:ascii="Times New Roman" w:hAnsi="Times New Roman" w:cs="Times New Roman" w:eastAsia="Times New Roman" w:hint="default"/>
          <w:sz w:val="21"/>
          <w:szCs w:val="21"/>
        </w:rPr>
        <w:t>2,137.06</w:t>
      </w:r>
      <w:r>
        <w:rPr>
          <w:rFonts w:ascii="Times New Roman" w:hAnsi="Times New Roman" w:cs="Times New Roman" w:eastAsia="Times New Roman" w:hint="default"/>
          <w:spacing w:val="12"/>
          <w:sz w:val="21"/>
          <w:szCs w:val="21"/>
        </w:rPr>
        <w:t> </w:t>
      </w:r>
      <w:r>
        <w:rPr>
          <w:rFonts w:ascii="宋体" w:hAnsi="宋体" w:cs="宋体" w:eastAsia="宋体" w:hint="default"/>
          <w:spacing w:val="5"/>
          <w:sz w:val="21"/>
          <w:szCs w:val="21"/>
        </w:rPr>
        <w:t>万元、宁夏海吉星市场工程</w:t>
      </w:r>
    </w:p>
    <w:p>
      <w:pPr>
        <w:spacing w:before="148"/>
        <w:ind w:left="13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1,687.03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万元。本期结转固定资产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2,633.33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line="240" w:lineRule="auto" w:before="3"/>
        <w:rPr>
          <w:rFonts w:ascii="宋体" w:hAnsi="宋体" w:cs="宋体" w:eastAsia="宋体" w:hint="default"/>
          <w:sz w:val="17"/>
          <w:szCs w:val="17"/>
        </w:rPr>
      </w:pPr>
    </w:p>
    <w:p>
      <w:pPr>
        <w:spacing w:line="362" w:lineRule="auto" w:before="0"/>
        <w:ind w:left="137" w:right="15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、长期待摊费用：较期初增加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1,177.97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w:t>
      </w:r>
      <w:r>
        <w:rPr>
          <w:rFonts w:ascii="宋体" w:hAnsi="宋体" w:cs="宋体" w:eastAsia="宋体" w:hint="default"/>
          <w:sz w:val="21"/>
          <w:szCs w:val="21"/>
        </w:rPr>
        <w:t>，主要为固定资产改良支出增</w:t>
      </w:r>
      <w:r>
        <w:rPr>
          <w:rFonts w:ascii="宋体" w:hAnsi="宋体" w:cs="宋体" w:eastAsia="宋体" w:hint="default"/>
          <w:w w:val="100"/>
          <w:sz w:val="21"/>
          <w:szCs w:val="21"/>
        </w:rPr>
        <w:t> </w:t>
      </w:r>
      <w:r>
        <w:rPr>
          <w:rFonts w:ascii="宋体" w:hAnsi="宋体" w:cs="宋体" w:eastAsia="宋体" w:hint="default"/>
          <w:sz w:val="21"/>
          <w:szCs w:val="21"/>
        </w:rPr>
        <w:t>加和固定资产重分类所致。详见附注五、</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62" w:lineRule="auto" w:before="106"/>
        <w:ind w:left="137" w:right="153" w:firstLine="42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、应付职工薪酬：较期初增加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1,939.38</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万元，增长</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64%</w:t>
      </w:r>
      <w:r>
        <w:rPr>
          <w:rFonts w:ascii="宋体" w:hAnsi="宋体" w:cs="宋体" w:eastAsia="宋体" w:hint="default"/>
          <w:spacing w:val="-4"/>
          <w:sz w:val="21"/>
          <w:szCs w:val="21"/>
        </w:rPr>
        <w:t>，主要为计提的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年度绩效</w:t>
      </w:r>
      <w:r>
        <w:rPr>
          <w:rFonts w:ascii="宋体" w:hAnsi="宋体" w:cs="宋体" w:eastAsia="宋体" w:hint="default"/>
          <w:w w:val="100"/>
          <w:sz w:val="21"/>
          <w:szCs w:val="21"/>
        </w:rPr>
        <w:t> </w:t>
      </w:r>
      <w:r>
        <w:rPr>
          <w:rFonts w:ascii="宋体" w:hAnsi="宋体" w:cs="宋体" w:eastAsia="宋体" w:hint="default"/>
          <w:sz w:val="21"/>
          <w:szCs w:val="21"/>
        </w:rPr>
        <w:t>工资尚未发放。</w:t>
      </w:r>
    </w:p>
    <w:p>
      <w:pPr>
        <w:spacing w:line="362" w:lineRule="auto" w:before="134"/>
        <w:ind w:left="137" w:right="153"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、应付利息：较期初增加 </w:t>
      </w:r>
      <w:r>
        <w:rPr>
          <w:rFonts w:ascii="Times New Roman" w:hAnsi="Times New Roman" w:cs="Times New Roman" w:eastAsia="Times New Roman" w:hint="default"/>
          <w:sz w:val="21"/>
          <w:szCs w:val="21"/>
        </w:rPr>
        <w:t>93.01 </w:t>
      </w:r>
      <w:r>
        <w:rPr>
          <w:rFonts w:ascii="宋体" w:hAnsi="宋体" w:cs="宋体" w:eastAsia="宋体" w:hint="default"/>
          <w:spacing w:val="-3"/>
          <w:sz w:val="21"/>
          <w:szCs w:val="21"/>
        </w:rPr>
        <w:t>万元，增长</w:t>
      </w:r>
      <w:r>
        <w:rPr>
          <w:rFonts w:ascii="宋体" w:hAnsi="宋体" w:cs="宋体" w:eastAsia="宋体" w:hint="default"/>
          <w:spacing w:val="-62"/>
          <w:sz w:val="21"/>
          <w:szCs w:val="21"/>
        </w:rPr>
        <w:t> </w:t>
      </w:r>
      <w:r>
        <w:rPr>
          <w:rFonts w:ascii="Times New Roman" w:hAnsi="Times New Roman" w:cs="Times New Roman" w:eastAsia="Times New Roman" w:hint="default"/>
          <w:spacing w:val="-3"/>
          <w:sz w:val="21"/>
          <w:szCs w:val="21"/>
        </w:rPr>
        <w:t>640%</w:t>
      </w:r>
      <w:r>
        <w:rPr>
          <w:rFonts w:ascii="宋体" w:hAnsi="宋体" w:cs="宋体" w:eastAsia="宋体" w:hint="default"/>
          <w:spacing w:val="-3"/>
          <w:sz w:val="21"/>
          <w:szCs w:val="21"/>
        </w:rPr>
        <w:t>，主要为本期发行短期融资券，计提</w:t>
      </w:r>
      <w:r>
        <w:rPr>
          <w:rFonts w:ascii="宋体" w:hAnsi="宋体" w:cs="宋体" w:eastAsia="宋体" w:hint="default"/>
          <w:w w:val="100"/>
          <w:sz w:val="21"/>
          <w:szCs w:val="21"/>
        </w:rPr>
        <w:t> </w:t>
      </w:r>
      <w:r>
        <w:rPr>
          <w:rFonts w:ascii="宋体" w:hAnsi="宋体" w:cs="宋体" w:eastAsia="宋体" w:hint="default"/>
          <w:sz w:val="21"/>
          <w:szCs w:val="21"/>
        </w:rPr>
        <w:t>的利息。</w:t>
      </w:r>
    </w:p>
    <w:p>
      <w:pPr>
        <w:spacing w:line="362" w:lineRule="auto" w:before="134"/>
        <w:ind w:left="137" w:right="15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、应付股利：较期初减少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5,882.14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万元，下降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98%</w:t>
      </w:r>
      <w:r>
        <w:rPr>
          <w:rFonts w:ascii="宋体" w:hAnsi="宋体" w:cs="宋体" w:eastAsia="宋体" w:hint="default"/>
          <w:sz w:val="21"/>
          <w:szCs w:val="21"/>
        </w:rPr>
        <w:t>，系下属子公司支付了少数股东股</w:t>
      </w:r>
      <w:r>
        <w:rPr>
          <w:rFonts w:ascii="宋体" w:hAnsi="宋体" w:cs="宋体" w:eastAsia="宋体" w:hint="default"/>
          <w:w w:val="100"/>
          <w:sz w:val="21"/>
          <w:szCs w:val="21"/>
        </w:rPr>
        <w:t> </w:t>
      </w:r>
      <w:r>
        <w:rPr>
          <w:rFonts w:ascii="宋体" w:hAnsi="宋体" w:cs="宋体" w:eastAsia="宋体" w:hint="default"/>
          <w:sz w:val="21"/>
          <w:szCs w:val="21"/>
        </w:rPr>
        <w:t>利。</w:t>
      </w:r>
    </w:p>
    <w:p>
      <w:pPr>
        <w:spacing w:line="362" w:lineRule="auto" w:before="134"/>
        <w:ind w:left="137" w:right="15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、预计负债：较期初增加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6,100.00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1525%</w:t>
      </w:r>
      <w:r>
        <w:rPr>
          <w:rFonts w:ascii="宋体" w:hAnsi="宋体" w:cs="宋体" w:eastAsia="宋体" w:hint="default"/>
          <w:sz w:val="21"/>
          <w:szCs w:val="21"/>
        </w:rPr>
        <w:t>，主要为预计对深圳市民润农产</w:t>
      </w:r>
      <w:r>
        <w:rPr>
          <w:rFonts w:ascii="宋体" w:hAnsi="宋体" w:cs="宋体" w:eastAsia="宋体" w:hint="default"/>
          <w:w w:val="100"/>
          <w:sz w:val="21"/>
          <w:szCs w:val="21"/>
        </w:rPr>
        <w:t> </w:t>
      </w:r>
      <w:r>
        <w:rPr>
          <w:rFonts w:ascii="宋体" w:hAnsi="宋体" w:cs="宋体" w:eastAsia="宋体" w:hint="default"/>
          <w:sz w:val="21"/>
          <w:szCs w:val="21"/>
        </w:rPr>
        <w:t>品配送连锁商业有限公司银行借款提供担保的损失，详见附注十。</w:t>
      </w:r>
    </w:p>
    <w:p>
      <w:pPr>
        <w:spacing w:line="364" w:lineRule="auto" w:before="131"/>
        <w:ind w:left="137" w:right="153" w:firstLine="420"/>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、财务费用：较上期减少 </w:t>
      </w:r>
      <w:r>
        <w:rPr>
          <w:rFonts w:ascii="Times New Roman" w:hAnsi="Times New Roman" w:cs="Times New Roman" w:eastAsia="Times New Roman" w:hint="default"/>
          <w:sz w:val="21"/>
          <w:szCs w:val="21"/>
        </w:rPr>
        <w:t>2,268.23 </w:t>
      </w:r>
      <w:r>
        <w:rPr>
          <w:rFonts w:ascii="宋体" w:hAnsi="宋体" w:cs="宋体" w:eastAsia="宋体" w:hint="default"/>
          <w:spacing w:val="-6"/>
          <w:sz w:val="21"/>
          <w:szCs w:val="21"/>
        </w:rPr>
        <w:t>万元，降低</w:t>
      </w:r>
      <w:r>
        <w:rPr>
          <w:rFonts w:ascii="宋体" w:hAnsi="宋体" w:cs="宋体" w:eastAsia="宋体" w:hint="default"/>
          <w:spacing w:val="-59"/>
          <w:sz w:val="21"/>
          <w:szCs w:val="21"/>
        </w:rPr>
        <w:t> </w:t>
      </w:r>
      <w:r>
        <w:rPr>
          <w:rFonts w:ascii="Times New Roman" w:hAnsi="Times New Roman" w:cs="Times New Roman" w:eastAsia="Times New Roman" w:hint="default"/>
          <w:spacing w:val="-3"/>
          <w:sz w:val="21"/>
          <w:szCs w:val="21"/>
        </w:rPr>
        <w:t>36%</w:t>
      </w:r>
      <w:r>
        <w:rPr>
          <w:rFonts w:ascii="宋体" w:hAnsi="宋体" w:cs="宋体" w:eastAsia="宋体" w:hint="default"/>
          <w:spacing w:val="-3"/>
          <w:sz w:val="21"/>
          <w:szCs w:val="21"/>
        </w:rPr>
        <w:t>，主要系本期利用募集资金作为流</w:t>
      </w:r>
      <w:r>
        <w:rPr>
          <w:rFonts w:ascii="宋体" w:hAnsi="宋体" w:cs="宋体" w:eastAsia="宋体" w:hint="default"/>
          <w:w w:val="100"/>
          <w:sz w:val="21"/>
          <w:szCs w:val="21"/>
        </w:rPr>
        <w:t> </w:t>
      </w:r>
      <w:r>
        <w:rPr>
          <w:rFonts w:ascii="宋体" w:hAnsi="宋体" w:cs="宋体" w:eastAsia="宋体" w:hint="default"/>
          <w:sz w:val="21"/>
          <w:szCs w:val="21"/>
        </w:rPr>
        <w:t>动资金，借款费用减少所致。</w:t>
      </w:r>
    </w:p>
    <w:p>
      <w:pPr>
        <w:spacing w:line="362" w:lineRule="auto" w:before="129"/>
        <w:ind w:left="137" w:right="99" w:firstLine="420"/>
        <w:jc w:val="both"/>
        <w:rPr>
          <w:rFonts w:ascii="宋体" w:hAnsi="宋体" w:cs="宋体" w:eastAsia="宋体" w:hint="default"/>
          <w:sz w:val="21"/>
          <w:szCs w:val="21"/>
        </w:rPr>
      </w:pPr>
      <w:r>
        <w:rPr>
          <w:rFonts w:ascii="Times New Roman" w:hAnsi="Times New Roman" w:cs="Times New Roman" w:eastAsia="Times New Roman" w:hint="default"/>
          <w:spacing w:val="-10"/>
          <w:sz w:val="21"/>
          <w:szCs w:val="21"/>
        </w:rPr>
        <w:t>10</w:t>
      </w:r>
      <w:r>
        <w:rPr>
          <w:rFonts w:ascii="宋体" w:hAnsi="宋体" w:cs="宋体" w:eastAsia="宋体" w:hint="default"/>
          <w:spacing w:val="-10"/>
          <w:sz w:val="21"/>
          <w:szCs w:val="21"/>
        </w:rPr>
        <w:t>、投资收益：较上期增加</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16,428.69</w:t>
      </w:r>
      <w:r>
        <w:rPr>
          <w:rFonts w:ascii="Times New Roman" w:hAnsi="Times New Roman" w:cs="Times New Roman" w:eastAsia="Times New Roman" w:hint="default"/>
          <w:spacing w:val="-11"/>
          <w:sz w:val="21"/>
          <w:szCs w:val="21"/>
        </w:rPr>
        <w:t> </w:t>
      </w:r>
      <w:r>
        <w:rPr>
          <w:rFonts w:ascii="宋体" w:hAnsi="宋体" w:cs="宋体" w:eastAsia="宋体" w:hint="default"/>
          <w:spacing w:val="-12"/>
          <w:sz w:val="21"/>
          <w:szCs w:val="21"/>
        </w:rPr>
        <w:t>万元，增长</w:t>
      </w:r>
      <w:r>
        <w:rPr>
          <w:rFonts w:ascii="宋体" w:hAnsi="宋体" w:cs="宋体" w:eastAsia="宋体" w:hint="default"/>
          <w:spacing w:val="-65"/>
          <w:sz w:val="21"/>
          <w:szCs w:val="21"/>
        </w:rPr>
        <w:t> </w:t>
      </w:r>
      <w:r>
        <w:rPr>
          <w:rFonts w:ascii="Times New Roman" w:hAnsi="Times New Roman" w:cs="Times New Roman" w:eastAsia="Times New Roman" w:hint="default"/>
          <w:spacing w:val="-5"/>
          <w:sz w:val="21"/>
          <w:szCs w:val="21"/>
        </w:rPr>
        <w:t>410%</w:t>
      </w:r>
      <w:r>
        <w:rPr>
          <w:rFonts w:ascii="宋体" w:hAnsi="宋体" w:cs="宋体" w:eastAsia="宋体" w:hint="default"/>
          <w:spacing w:val="-5"/>
          <w:sz w:val="21"/>
          <w:szCs w:val="21"/>
        </w:rPr>
        <w:t>，主要系本期转让金信信托股权</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w w:val="75"/>
          <w:sz w:val="21"/>
          <w:szCs w:val="21"/>
        </w:rPr>
        <w:t> </w:t>
      </w:r>
      <w:r>
        <w:rPr>
          <w:rFonts w:ascii="宋体" w:hAnsi="宋体" w:cs="宋体" w:eastAsia="宋体" w:hint="default"/>
          <w:sz w:val="21"/>
          <w:szCs w:val="21"/>
        </w:rPr>
        <w:t>原计提的减值准备转回</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万元、权益法核算单位盈利增加以及本期转让山东寿光蔬</w:t>
      </w:r>
      <w:r>
        <w:rPr>
          <w:rFonts w:ascii="宋体" w:hAnsi="宋体" w:cs="宋体" w:eastAsia="宋体" w:hint="default"/>
          <w:w w:val="100"/>
          <w:sz w:val="21"/>
          <w:szCs w:val="21"/>
        </w:rPr>
        <w:t> </w:t>
      </w:r>
      <w:r>
        <w:rPr>
          <w:rFonts w:ascii="宋体" w:hAnsi="宋体" w:cs="宋体" w:eastAsia="宋体" w:hint="default"/>
          <w:sz w:val="21"/>
          <w:szCs w:val="21"/>
        </w:rPr>
        <w:t>菜公司股权、减持深宝公司股票所致。</w:t>
      </w:r>
    </w:p>
    <w:p>
      <w:pPr>
        <w:spacing w:after="0" w:line="362" w:lineRule="auto"/>
        <w:jc w:val="both"/>
        <w:rPr>
          <w:rFonts w:ascii="宋体" w:hAnsi="宋体" w:cs="宋体" w:eastAsia="宋体" w:hint="default"/>
          <w:sz w:val="21"/>
          <w:szCs w:val="21"/>
        </w:rPr>
        <w:sectPr>
          <w:pgSz w:w="11910" w:h="16840"/>
          <w:pgMar w:header="943" w:footer="897" w:top="1640" w:bottom="1080" w:left="1660" w:right="1640"/>
        </w:sectPr>
      </w:pPr>
    </w:p>
    <w:p>
      <w:pPr>
        <w:spacing w:line="240" w:lineRule="auto" w:before="6"/>
        <w:rPr>
          <w:rFonts w:ascii="宋体" w:hAnsi="宋体" w:cs="宋体" w:eastAsia="宋体" w:hint="default"/>
          <w:sz w:val="23"/>
          <w:szCs w:val="23"/>
        </w:rPr>
      </w:pPr>
    </w:p>
    <w:p>
      <w:pPr>
        <w:spacing w:line="374" w:lineRule="auto" w:before="36"/>
        <w:ind w:left="137" w:right="13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、所得税费用：较上期增加</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3,920.25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万元，增长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328%</w:t>
      </w:r>
      <w:r>
        <w:rPr>
          <w:rFonts w:ascii="宋体" w:hAnsi="宋体" w:cs="宋体" w:eastAsia="宋体" w:hint="default"/>
          <w:sz w:val="21"/>
          <w:szCs w:val="21"/>
        </w:rPr>
        <w:t>，主要原因为本期深圳地区公</w:t>
      </w:r>
      <w:r>
        <w:rPr>
          <w:rFonts w:ascii="宋体" w:hAnsi="宋体" w:cs="宋体" w:eastAsia="宋体" w:hint="default"/>
          <w:w w:val="100"/>
          <w:sz w:val="21"/>
          <w:szCs w:val="21"/>
        </w:rPr>
        <w:t> </w:t>
      </w:r>
      <w:r>
        <w:rPr>
          <w:rFonts w:ascii="宋体" w:hAnsi="宋体" w:cs="宋体" w:eastAsia="宋体" w:hint="default"/>
          <w:spacing w:val="-4"/>
          <w:sz w:val="21"/>
          <w:szCs w:val="21"/>
        </w:rPr>
        <w:t>司所得税税率提高、盈利增加及子公司云南鲲鹏公司过了免税期、长沙马王堆公司可抵扣亏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损减少以及递延所得税费用增加等所致。</w:t>
      </w:r>
    </w:p>
    <w:p>
      <w:pPr>
        <w:spacing w:after="0" w:line="374" w:lineRule="auto"/>
        <w:jc w:val="both"/>
        <w:rPr>
          <w:rFonts w:ascii="宋体" w:hAnsi="宋体" w:cs="宋体" w:eastAsia="宋体" w:hint="default"/>
          <w:sz w:val="21"/>
          <w:szCs w:val="21"/>
        </w:rPr>
        <w:sectPr>
          <w:pgSz w:w="11910" w:h="16840"/>
          <w:pgMar w:header="943" w:footer="897" w:top="1640" w:bottom="1080" w:left="1660" w:right="1660"/>
        </w:sectPr>
      </w:pPr>
    </w:p>
    <w:p>
      <w:pPr>
        <w:spacing w:line="240" w:lineRule="auto" w:before="7"/>
        <w:rPr>
          <w:rFonts w:ascii="宋体" w:hAnsi="宋体" w:cs="宋体" w:eastAsia="宋体" w:hint="default"/>
          <w:sz w:val="14"/>
          <w:szCs w:val="14"/>
        </w:rPr>
      </w:pPr>
    </w:p>
    <w:p>
      <w:pPr>
        <w:pStyle w:val="Heading5"/>
        <w:spacing w:line="367" w:lineRule="exact"/>
        <w:ind w:left="617" w:right="0"/>
        <w:jc w:val="left"/>
        <w:rPr>
          <w:b w:val="0"/>
          <w:bCs w:val="0"/>
        </w:rPr>
      </w:pPr>
      <w:r>
        <w:rPr/>
        <w:t>（本页仅用于深圳市农产品股份有限公司</w:t>
      </w:r>
      <w:r>
        <w:rPr>
          <w:spacing w:val="-36"/>
        </w:rPr>
        <w:t> </w:t>
      </w:r>
      <w:r>
        <w:rPr/>
        <w:t>2009</w:t>
      </w:r>
      <w:r>
        <w:rPr>
          <w:spacing w:val="-34"/>
        </w:rPr>
        <w:t> </w:t>
      </w:r>
      <w:r>
        <w:rPr/>
        <w:t>年年度报告签署）</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6"/>
        <w:rPr>
          <w:rFonts w:ascii="Microsoft JhengHei" w:hAnsi="Microsoft JhengHei" w:cs="Microsoft JhengHei" w:eastAsia="Microsoft JhengHei" w:hint="default"/>
          <w:b/>
          <w:bCs/>
          <w:sz w:val="22"/>
          <w:szCs w:val="22"/>
        </w:rPr>
      </w:pPr>
    </w:p>
    <w:p>
      <w:pPr>
        <w:tabs>
          <w:tab w:pos="3867" w:val="left" w:leader="none"/>
          <w:tab w:pos="4107" w:val="left" w:leader="none"/>
          <w:tab w:pos="8439" w:val="left" w:leader="none"/>
        </w:tabs>
        <w:spacing w:before="0"/>
        <w:ind w:left="13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公司法定代表人： </w:t>
      </w:r>
      <w:r>
        <w:rPr>
          <w:rFonts w:ascii="Microsoft JhengHei" w:hAnsi="Microsoft JhengHei" w:cs="Microsoft JhengHei" w:eastAsia="Microsoft JhengHei" w:hint="default"/>
          <w:b/>
          <w:bCs/>
          <w:spacing w:val="7"/>
          <w:sz w:val="24"/>
          <w:szCs w:val="24"/>
        </w:rPr>
        <w:t> </w:t>
      </w:r>
      <w:r>
        <w:rPr>
          <w:rFonts w:ascii="Times New Roman" w:hAnsi="Times New Roman" w:cs="Times New Roman" w:eastAsia="Times New Roman" w:hint="default"/>
          <w:b/>
          <w:bCs/>
          <w:spacing w:val="7"/>
          <w:sz w:val="24"/>
          <w:szCs w:val="24"/>
        </w:rPr>
      </w:r>
      <w:r>
        <w:rPr>
          <w:rFonts w:ascii="Times New Roman" w:hAnsi="Times New Roman" w:cs="Times New Roman" w:eastAsia="Times New Roman" w:hint="default"/>
          <w:b/>
          <w:bCs/>
          <w:spacing w:val="7"/>
          <w:sz w:val="24"/>
          <w:szCs w:val="24"/>
          <w:u w:val="single" w:color="000000"/>
        </w:rPr>
        <w:t> </w:t>
      </w:r>
      <w:r>
        <w:rPr>
          <w:rFonts w:ascii="Microsoft JhengHei" w:hAnsi="Microsoft JhengHei" w:cs="Microsoft JhengHei" w:eastAsia="Microsoft JhengHei" w:hint="default"/>
          <w:b/>
          <w:bCs/>
          <w:sz w:val="24"/>
          <w:szCs w:val="24"/>
          <w:u w:val="single" w:color="000000"/>
        </w:rPr>
        <w:t>陈少群</w:t>
        <w:tab/>
      </w:r>
      <w:r>
        <w:rPr>
          <w:rFonts w:ascii="Microsoft JhengHei" w:hAnsi="Microsoft JhengHei" w:cs="Microsoft JhengHei" w:eastAsia="Microsoft JhengHei" w:hint="default"/>
          <w:b/>
          <w:bCs/>
          <w:sz w:val="24"/>
          <w:szCs w:val="24"/>
        </w:rPr>
        <w:tab/>
        <w:t>主管会计工作负责人：</w:t>
      </w:r>
      <w:r>
        <w:rPr>
          <w:rFonts w:ascii="Microsoft JhengHei" w:hAnsi="Microsoft JhengHei" w:cs="Microsoft JhengHei" w:eastAsia="Microsoft JhengHei" w:hint="default"/>
          <w:b/>
          <w:bCs/>
          <w:sz w:val="24"/>
          <w:szCs w:val="24"/>
          <w:u w:val="single" w:color="000000"/>
        </w:rPr>
        <w:t>曾 </w:t>
      </w:r>
      <w:r>
        <w:rPr>
          <w:rFonts w:ascii="Microsoft JhengHei" w:hAnsi="Microsoft JhengHei" w:cs="Microsoft JhengHei" w:eastAsia="Microsoft JhengHei" w:hint="default"/>
          <w:b/>
          <w:bCs/>
          <w:spacing w:val="9"/>
          <w:sz w:val="24"/>
          <w:szCs w:val="24"/>
          <w:u w:val="single" w:color="000000"/>
        </w:rPr>
        <w:t> </w:t>
      </w:r>
      <w:r>
        <w:rPr>
          <w:rFonts w:ascii="Microsoft JhengHei" w:hAnsi="Microsoft JhengHei" w:cs="Microsoft JhengHei" w:eastAsia="Microsoft JhengHei" w:hint="default"/>
          <w:b/>
          <w:bCs/>
          <w:sz w:val="24"/>
          <w:szCs w:val="24"/>
          <w:u w:val="single" w:color="000000"/>
        </w:rPr>
        <w:t>湃</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2"/>
          <w:szCs w:val="12"/>
        </w:rPr>
      </w:pPr>
    </w:p>
    <w:p>
      <w:pPr>
        <w:tabs>
          <w:tab w:pos="1577" w:val="left" w:leader="none"/>
          <w:tab w:pos="3867" w:val="left" w:leader="none"/>
          <w:tab w:pos="4109" w:val="left" w:leader="none"/>
          <w:tab w:pos="6029" w:val="left" w:leader="none"/>
          <w:tab w:pos="8448" w:val="left" w:leader="none"/>
        </w:tabs>
        <w:spacing w:line="367" w:lineRule="exact" w:before="0"/>
        <w:ind w:left="13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tab/>
        <w:t>期：</w:t>
      </w:r>
      <w:r>
        <w:rPr>
          <w:rFonts w:ascii="Microsoft JhengHei" w:hAnsi="Microsoft JhengHei" w:cs="Microsoft JhengHei" w:eastAsia="Microsoft JhengHei" w:hint="default"/>
          <w:b/>
          <w:bCs/>
          <w:spacing w:val="27"/>
          <w:sz w:val="24"/>
          <w:szCs w:val="24"/>
        </w:rPr>
        <w:t> </w:t>
      </w:r>
      <w:r>
        <w:rPr>
          <w:rFonts w:ascii="Times New Roman" w:hAnsi="Times New Roman" w:cs="Times New Roman" w:eastAsia="Times New Roman" w:hint="default"/>
          <w:b/>
          <w:bCs/>
          <w:spacing w:val="27"/>
          <w:sz w:val="24"/>
          <w:szCs w:val="24"/>
        </w:rPr>
      </w:r>
      <w:r>
        <w:rPr>
          <w:rFonts w:ascii="Times New Roman" w:hAnsi="Times New Roman" w:cs="Times New Roman" w:eastAsia="Times New Roman" w:hint="default"/>
          <w:b/>
          <w:bCs/>
          <w:spacing w:val="27"/>
          <w:sz w:val="24"/>
          <w:szCs w:val="24"/>
          <w:u w:val="single" w:color="000000"/>
        </w:rPr>
        <w:t> </w:t>
      </w:r>
      <w:r>
        <w:rPr>
          <w:rFonts w:ascii="Microsoft JhengHei" w:hAnsi="Microsoft JhengHei" w:cs="Microsoft JhengHei" w:eastAsia="Microsoft JhengHei" w:hint="default"/>
          <w:b/>
          <w:bCs/>
          <w:sz w:val="24"/>
          <w:szCs w:val="24"/>
          <w:u w:val="single" w:color="000000"/>
        </w:rPr>
        <w:t>2010.4.20</w:t>
        <w:tab/>
      </w:r>
      <w:r>
        <w:rPr>
          <w:rFonts w:ascii="Microsoft JhengHei" w:hAnsi="Microsoft JhengHei" w:cs="Microsoft JhengHei" w:eastAsia="Microsoft JhengHei" w:hint="default"/>
          <w:b/>
          <w:bCs/>
          <w:sz w:val="24"/>
          <w:szCs w:val="24"/>
        </w:rPr>
        <w:tab/>
        <w:t>日</w:t>
        <w:tab/>
        <w:t>期：</w:t>
      </w:r>
      <w:r>
        <w:rPr>
          <w:rFonts w:ascii="Microsoft JhengHei" w:hAnsi="Microsoft JhengHei" w:cs="Microsoft JhengHei" w:eastAsia="Microsoft JhengHei" w:hint="default"/>
          <w:b/>
          <w:bCs/>
          <w:sz w:val="24"/>
          <w:szCs w:val="24"/>
          <w:u w:val="single" w:color="000000"/>
        </w:rPr>
        <w:t>2010.4.20</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6"/>
          <w:szCs w:val="26"/>
        </w:rPr>
      </w:pPr>
    </w:p>
    <w:p>
      <w:pPr>
        <w:tabs>
          <w:tab w:pos="617" w:val="left" w:leader="none"/>
          <w:tab w:pos="1099" w:val="left" w:leader="none"/>
          <w:tab w:pos="1579" w:val="left" w:leader="none"/>
          <w:tab w:pos="4224" w:val="left" w:leader="none"/>
          <w:tab w:pos="8434" w:val="left" w:leader="none"/>
        </w:tabs>
        <w:spacing w:line="367" w:lineRule="exact" w:before="0"/>
        <w:ind w:left="13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w:t>
        <w:tab/>
        <w:t>务</w:t>
        <w:tab/>
        <w:t>总</w:t>
        <w:tab/>
        <w:t>监：</w:t>
      </w:r>
      <w:r>
        <w:rPr>
          <w:rFonts w:ascii="Microsoft JhengHei" w:hAnsi="Microsoft JhengHei" w:cs="Microsoft JhengHei" w:eastAsia="Microsoft JhengHei" w:hint="default"/>
          <w:b/>
          <w:bCs/>
          <w:sz w:val="24"/>
          <w:szCs w:val="24"/>
          <w:u w:val="single" w:color="000000"/>
        </w:rPr>
        <w:t>马彦钊</w:t>
        <w:tab/>
      </w:r>
      <w:r>
        <w:rPr>
          <w:rFonts w:ascii="Microsoft JhengHei" w:hAnsi="Microsoft JhengHei" w:cs="Microsoft JhengHei" w:eastAsia="Microsoft JhengHei" w:hint="default"/>
          <w:b/>
          <w:bCs/>
          <w:sz w:val="24"/>
          <w:szCs w:val="24"/>
        </w:rPr>
        <w:t>会计机构负责人：</w:t>
      </w:r>
      <w:r>
        <w:rPr>
          <w:rFonts w:ascii="Microsoft JhengHei" w:hAnsi="Microsoft JhengHei" w:cs="Microsoft JhengHei" w:eastAsia="Microsoft JhengHei" w:hint="default"/>
          <w:b/>
          <w:bCs/>
          <w:sz w:val="24"/>
          <w:szCs w:val="24"/>
          <w:u w:val="single" w:color="000000"/>
        </w:rPr>
        <w:t>俞 </w:t>
      </w:r>
      <w:r>
        <w:rPr>
          <w:rFonts w:ascii="Microsoft JhengHei" w:hAnsi="Microsoft JhengHei" w:cs="Microsoft JhengHei" w:eastAsia="Microsoft JhengHei" w:hint="default"/>
          <w:b/>
          <w:bCs/>
          <w:spacing w:val="7"/>
          <w:sz w:val="24"/>
          <w:szCs w:val="24"/>
          <w:u w:val="single" w:color="000000"/>
        </w:rPr>
        <w:t> </w:t>
      </w:r>
      <w:r>
        <w:rPr>
          <w:rFonts w:ascii="Microsoft JhengHei" w:hAnsi="Microsoft JhengHei" w:cs="Microsoft JhengHei" w:eastAsia="Microsoft JhengHei" w:hint="default"/>
          <w:b/>
          <w:bCs/>
          <w:sz w:val="24"/>
          <w:szCs w:val="24"/>
          <w:u w:val="single" w:color="000000"/>
        </w:rPr>
        <w:t>浩</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2"/>
          <w:szCs w:val="12"/>
        </w:rPr>
      </w:pPr>
    </w:p>
    <w:p>
      <w:pPr>
        <w:tabs>
          <w:tab w:pos="1577" w:val="left" w:leader="none"/>
          <w:tab w:pos="3987" w:val="left" w:leader="none"/>
          <w:tab w:pos="4229" w:val="left" w:leader="none"/>
          <w:tab w:pos="5669" w:val="left" w:leader="none"/>
          <w:tab w:pos="7959" w:val="left" w:leader="none"/>
        </w:tabs>
        <w:spacing w:line="367" w:lineRule="exact" w:before="0"/>
        <w:ind w:left="13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tab/>
      </w:r>
      <w:r>
        <w:rPr>
          <w:rFonts w:ascii="Microsoft JhengHei" w:hAnsi="Microsoft JhengHei" w:cs="Microsoft JhengHei" w:eastAsia="Microsoft JhengHei" w:hint="default"/>
          <w:b/>
          <w:bCs/>
          <w:w w:val="95"/>
          <w:sz w:val="24"/>
          <w:szCs w:val="24"/>
        </w:rPr>
        <w:t>期：</w:t>
      </w:r>
      <w:r>
        <w:rPr>
          <w:rFonts w:ascii="Microsoft JhengHei" w:hAnsi="Microsoft JhengHei" w:cs="Microsoft JhengHei" w:eastAsia="Microsoft JhengHei" w:hint="default"/>
          <w:b/>
          <w:bCs/>
          <w:w w:val="95"/>
          <w:sz w:val="24"/>
          <w:szCs w:val="24"/>
          <w:u w:val="single" w:color="000000"/>
        </w:rPr>
        <w:t>2010.4.20</w:t>
        <w:tab/>
      </w:r>
      <w:r>
        <w:rPr>
          <w:rFonts w:ascii="Microsoft JhengHei" w:hAnsi="Microsoft JhengHei" w:cs="Microsoft JhengHei" w:eastAsia="Microsoft JhengHei" w:hint="default"/>
          <w:b/>
          <w:bCs/>
          <w:w w:val="95"/>
          <w:sz w:val="24"/>
          <w:szCs w:val="24"/>
        </w:rPr>
        <w:tab/>
      </w:r>
      <w:r>
        <w:rPr>
          <w:rFonts w:ascii="Microsoft JhengHei" w:hAnsi="Microsoft JhengHei" w:cs="Microsoft JhengHei" w:eastAsia="Microsoft JhengHei" w:hint="default"/>
          <w:b/>
          <w:bCs/>
          <w:sz w:val="24"/>
          <w:szCs w:val="24"/>
        </w:rPr>
        <w:t>日</w:t>
        <w:tab/>
        <w:t>期：</w:t>
      </w:r>
      <w:r>
        <w:rPr>
          <w:rFonts w:ascii="Microsoft JhengHei" w:hAnsi="Microsoft JhengHei" w:cs="Microsoft JhengHei" w:eastAsia="Microsoft JhengHei" w:hint="default"/>
          <w:b/>
          <w:bCs/>
          <w:sz w:val="24"/>
          <w:szCs w:val="24"/>
          <w:u w:val="single" w:color="000000"/>
        </w:rPr>
        <w:t>2010.4.20</w:t>
        <w:tab/>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sectPr>
      <w:pgSz w:w="11910" w:h="16840"/>
      <w:pgMar w:header="943" w:footer="897" w:top="1640" w:bottom="10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6.160004pt;margin-top:776.170105pt;width:8.7pt;height:12pt;mso-position-horizontal-relative:page;mso-position-vertical-relative:page;z-index:-114148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w w:val="99"/>
                    <w:sz w:val="20"/>
                  </w:rPr>
                  <w:instrText> PAGE </w:instrText>
                </w:r>
                <w:r>
                  <w:rPr/>
                  <w:fldChar w:fldCharType="separate"/>
                </w:r>
                <w:r>
                  <w:rPr/>
                  <w:t>2</w:t>
                </w:r>
                <w:r>
                  <w:rPr/>
                  <w:fldChar w:fldCharType="end"/>
                </w:r>
                <w:r>
                  <w:rPr>
                    <w:rFonts w:ascii="Garamond"/>
                    <w:sz w:val="20"/>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21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19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16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14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12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09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07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04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02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00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29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43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97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30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60010pt;margin-top:776.170105pt;width:11.4pt;height:12pt;mso-position-horizontal-relative:page;mso-position-vertical-relative:page;z-index:-1140952" type="#_x0000_t202" filled="false" stroked="false">
          <v:textbox inset="0,0,0,0">
            <w:txbxContent>
              <w:p>
                <w:pPr>
                  <w:spacing w:before="0"/>
                  <w:ind w:left="20" w:right="0" w:firstLine="0"/>
                  <w:jc w:val="left"/>
                  <w:rPr>
                    <w:rFonts w:ascii="Garamond" w:hAnsi="Garamond" w:cs="Garamond" w:eastAsia="Garamond" w:hint="default"/>
                    <w:sz w:val="20"/>
                    <w:szCs w:val="20"/>
                  </w:rPr>
                </w:pPr>
                <w:r>
                  <w:rPr>
                    <w:rFonts w:ascii="Garamond"/>
                    <w:sz w:val="20"/>
                  </w:rPr>
                  <w:t>31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92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32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90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33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88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34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85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35</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83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36</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80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37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78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38</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76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39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38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13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73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71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68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66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43</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64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61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45</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59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46</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56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47</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54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48</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52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49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36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14</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49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50</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47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44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52</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42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53</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40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54</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37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55</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35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56</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32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57</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30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58</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28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59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33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15</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25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60</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23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20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62</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18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63</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16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64</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136"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65</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11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66</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08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67</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06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68</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004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69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312"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16</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45.437927pt;width:13.1pt;height:11pt;mso-position-horizontal-relative:page;mso-position-vertical-relative:page;z-index:-1139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80005pt;margin-top:789.157959pt;width:13.1pt;height:11pt;mso-position-horizontal-relative:page;mso-position-vertical-relative:page;z-index:-1139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80005pt;margin-top:789.157959pt;width:13.1pt;height:11pt;mso-position-horizontal-relative:page;mso-position-vertical-relative:page;z-index:-1139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6.057983pt;width:16.8pt;height:14.1pt;mso-position-horizontal-relative:page;mso-position-vertical-relative:page;z-index:-1139824" type="#_x0000_t202" filled="false" stroked="false">
          <v:textbox inset="0,0,0,0">
            <w:txbxContent>
              <w:p>
                <w:pPr>
                  <w:spacing w:before="58"/>
                  <w:ind w:left="114"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9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33.480011pt;margin-top:539.557922pt;width:17.5pt;height:11pt;mso-position-horizontal-relative:page;mso-position-vertical-relative:page;z-index:-1139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9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19995pt;margin-top:786.157959pt;width:17.3pt;height:11pt;mso-position-horizontal-relative:page;mso-position-vertical-relative:page;z-index:-1139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359985pt;margin-top:539.557922pt;width:17.3pt;height:11pt;mso-position-horizontal-relative:page;mso-position-vertical-relative:page;z-index:-1139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288"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17</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19995pt;margin-top:786.157959pt;width:17.3pt;height:11pt;mso-position-horizontal-relative:page;mso-position-vertical-relative:page;z-index:-1139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9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9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39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138</w:t>
                </w:r>
                <w:r>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39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143</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38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152</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156</w:t>
                </w:r>
                <w:r>
                  <w:rPr/>
                  <w:fldChar w:fldCharType="end"/>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264"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18</w:t>
                </w:r>
                <w:r>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161</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38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183</w:t>
                </w:r>
                <w:r>
                  <w:rPr/>
                  <w:fldChar w:fldCharType="end"/>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185</w:t>
                </w:r>
                <w:r>
                  <w:rPr/>
                  <w:fldChar w:fldCharType="end"/>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557922pt;width:17.5pt;height:11pt;mso-position-horizontal-relative:page;mso-position-vertical-relative:page;z-index:-1138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193</w:t>
                </w:r>
                <w:r>
                  <w:rPr/>
                  <w:fldChar w:fldCharType="end"/>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198</w:t>
                </w:r>
                <w:r>
                  <w:rPr/>
                  <w:fldChar w:fldCharType="end"/>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38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76.170105pt;width:13.4pt;height:12pt;mso-position-horizontal-relative:page;mso-position-vertical-relative:page;z-index:-1141240" type="#_x0000_t202" filled="false" stroked="false">
          <v:textbox inset="0,0,0,0">
            <w:txbxContent>
              <w:p>
                <w:pPr>
                  <w:spacing w:before="0"/>
                  <w:ind w:left="40" w:right="0" w:firstLine="0"/>
                  <w:jc w:val="left"/>
                  <w:rPr>
                    <w:rFonts w:ascii="Garamond" w:hAnsi="Garamond" w:cs="Garamond" w:eastAsia="Garamond" w:hint="default"/>
                    <w:sz w:val="20"/>
                    <w:szCs w:val="20"/>
                  </w:rPr>
                </w:pPr>
                <w:r>
                  <w:rPr>
                    <w:rFonts w:ascii="Garamond"/>
                    <w:w w:val="99"/>
                    <w:sz w:val="20"/>
                  </w:rPr>
                </w:r>
                <w:r>
                  <w:rPr/>
                  <w:fldChar w:fldCharType="begin"/>
                </w:r>
                <w:r>
                  <w:rPr>
                    <w:rFonts w:ascii="Garamond"/>
                    <w:sz w:val="20"/>
                  </w:rPr>
                  <w:instrText> PAGE </w:instrText>
                </w:r>
                <w:r>
                  <w:rPr/>
                  <w:fldChar w:fldCharType="separate"/>
                </w:r>
                <w:r>
                  <w:rPr/>
                  <w:t>19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8pt;margin-top:59.247524pt;width:425pt;height:14pt;mso-position-horizontal-relative:page;mso-position-vertical-relative:page;z-index:-1141456" type="#_x0000_t202" filled="false" stroked="false">
          <v:textbox inset="0,0,0,0">
            <w:txbxContent>
              <w:p>
                <w:pPr>
                  <w:pStyle w:val="BodyText"/>
                  <w:spacing w:line="260" w:lineRule="exact" w:before="0"/>
                  <w:ind w:left="20" w:right="0"/>
                  <w:jc w:val="left"/>
                </w:pPr>
                <w:r>
                  <w:rPr>
                    <w:spacing w:val="-2"/>
                  </w:rPr>
                  <w:t>资金11.61亿元，扣除发行费用，募集资金净额11.35亿元。2008年7月10日，非公</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8.279999pt;margin-top:60.005024pt;width:44.15pt;height:12.6pt;mso-position-horizontal-relative:page;mso-position-vertical-relative:page;z-index:-11414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单位：股</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480003pt;margin-top:34.439987pt;width:153pt;height:26.52pt;mso-position-horizontal-relative:page;mso-position-vertical-relative:page;z-index:-1140016" type="#_x0000_t75" stroked="false">
          <v:imagedata r:id="rId1" o:title=""/>
        </v:shape>
      </w:pict>
    </w:r>
    <w:r>
      <w:rPr/>
      <w:pict>
        <v:group style="position:absolute;margin-left:68.400002pt;margin-top:69.479988pt;width:705pt;height:.1pt;mso-position-horizontal-relative:page;mso-position-vertical-relative:page;z-index:-1139992" coordorigin="1368,1390" coordsize="14100,2">
          <v:shape style="position:absolute;left:1368;top:1390;width:14100;height:2" coordorigin="1368,1390" coordsize="14100,0" path="m1368,1390l15468,1390e" filled="false" stroked="true" strokeweight=".72pt" strokecolor="#000008">
            <v:path arrowok="t"/>
          </v:shape>
          <w10:wrap type="none"/>
        </v:group>
      </w:pict>
    </w:r>
    <w:r>
      <w:rPr/>
      <w:pict>
        <v:shape style="position:absolute;margin-left:406.040009pt;margin-top:50.884987pt;width:78.2pt;height:13.15pt;mso-position-horizontal-relative:page;mso-position-vertical-relative:page;z-index:-113996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42.960026pt;width:153pt;height:26.52pt;mso-position-horizontal-relative:page;mso-position-vertical-relative:page;z-index:-1139920" type="#_x0000_t75" stroked="false">
          <v:imagedata r:id="rId1" o:title=""/>
        </v:shape>
      </w:pict>
    </w:r>
    <w:r>
      <w:rPr/>
      <w:pict>
        <v:shape style="position:absolute;margin-left:426.440002pt;margin-top:59.525024pt;width:78.2pt;height:13.15pt;mso-position-horizontal-relative:page;mso-position-vertical-relative:page;z-index:-113989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39776" type="#_x0000_t75" stroked="false">
          <v:imagedata r:id="rId1" o:title=""/>
        </v:shape>
      </w:pict>
    </w:r>
    <w:r>
      <w:rPr/>
      <w:pict>
        <v:group style="position:absolute;margin-left:84pt;margin-top:82.199997pt;width:427.35pt;height:.1pt;mso-position-horizontal-relative:page;mso-position-vertical-relative:page;z-index:-1139752" coordorigin="1680,1644" coordsize="8547,2">
          <v:shape style="position:absolute;left:1680;top:1644;width:8547;height:2" coordorigin="1680,1644" coordsize="8547,0" path="m1680,1644l10226,1644e" filled="false" stroked="true" strokeweight=".72pt" strokecolor="#000008">
            <v:path arrowok="t"/>
          </v:shape>
          <w10:wrap type="none"/>
        </v:group>
      </w:pict>
    </w:r>
    <w:r>
      <w:rPr/>
      <w:pict>
        <v:shape style="position:absolute;margin-left:412.640015pt;margin-top:63.724998pt;width:78.2pt;height:13.15pt;mso-position-horizontal-relative:page;mso-position-vertical-relative:page;z-index:-113972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39704" type="#_x0000_t75" stroked="false">
          <v:imagedata r:id="rId1" o:title=""/>
        </v:shape>
      </w:pict>
    </w:r>
    <w:r>
      <w:rPr/>
      <w:pict>
        <v:shape style="position:absolute;margin-left:412.640015pt;margin-top:63.724998pt;width:78.2pt;height:13.15pt;mso-position-horizontal-relative:page;mso-position-vertical-relative:page;z-index:-113968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39656" type="#_x0000_t75" stroked="false">
          <v:imagedata r:id="rId1" o:title=""/>
        </v:shape>
      </w:pict>
    </w:r>
    <w:r>
      <w:rPr/>
      <w:pict>
        <v:group style="position:absolute;margin-left:69.839996pt;margin-top:82.199974pt;width:744.75pt;height:.1pt;mso-position-horizontal-relative:page;mso-position-vertical-relative:page;z-index:-1139632" coordorigin="1397,1644" coordsize="14895,2">
          <v:shape style="position:absolute;left:1397;top:1644;width:14895;height:2" coordorigin="1397,1644" coordsize="14895,0" path="m1397,1644l16291,1644e" filled="false" stroked="true" strokeweight=".72pt" strokecolor="#000008">
            <v:path arrowok="t"/>
          </v:shape>
          <w10:wrap type="none"/>
        </v:group>
      </w:pict>
    </w:r>
    <w:r>
      <w:rPr/>
      <w:pict>
        <v:shape style="position:absolute;margin-left:398.480011pt;margin-top:63.724976pt;width:78.2pt;height:13.15pt;mso-position-horizontal-relative:page;mso-position-vertical-relative:page;z-index:-113960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47.16pt;width:153pt;height:26.52pt;mso-position-horizontal-relative:page;mso-position-vertical-relative:page;z-index:-1139560" type="#_x0000_t75" stroked="false">
          <v:imagedata r:id="rId1" o:title=""/>
        </v:shape>
      </w:pict>
    </w:r>
    <w:r>
      <w:rPr/>
      <w:pict>
        <v:shape style="position:absolute;margin-left:417.440002pt;margin-top:63.724998pt;width:78.2pt;height:13.15pt;mso-position-horizontal-relative:page;mso-position-vertical-relative:page;z-index:-113953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47.16pt;width:153pt;height:26.52pt;mso-position-horizontal-relative:page;mso-position-vertical-relative:page;z-index:-1139488" type="#_x0000_t75" stroked="false">
          <v:imagedata r:id="rId1" o:title=""/>
        </v:shape>
      </w:pict>
    </w:r>
    <w:r>
      <w:rPr/>
      <w:pict>
        <v:group style="position:absolute;margin-left:88.799995pt;margin-top:82.199997pt;width:417.75pt;height:.1pt;mso-position-horizontal-relative:page;mso-position-vertical-relative:page;z-index:-1139464" coordorigin="1776,1644" coordsize="8355,2">
          <v:shape style="position:absolute;left:1776;top:1644;width:8355;height:2" coordorigin="1776,1644" coordsize="8355,0" path="m1776,1644l10130,1644e" filled="false" stroked="true" strokeweight=".72pt" strokecolor="#000008">
            <v:path arrowok="t"/>
          </v:shape>
          <w10:wrap type="none"/>
        </v:group>
      </w:pict>
    </w:r>
    <w:r>
      <w:rPr/>
      <w:pict>
        <v:shape style="position:absolute;margin-left:417.440002pt;margin-top:63.724998pt;width:78.2pt;height:13.15pt;mso-position-horizontal-relative:page;mso-position-vertical-relative:page;z-index:-113944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47.16pt;width:153pt;height:26.52pt;mso-position-horizontal-relative:page;mso-position-vertical-relative:page;z-index:-1139392" type="#_x0000_t75" stroked="false">
          <v:imagedata r:id="rId1" o:title=""/>
        </v:shape>
      </w:pict>
    </w:r>
    <w:r>
      <w:rPr/>
      <w:pict>
        <v:shape style="position:absolute;margin-left:417.440002pt;margin-top:63.724998pt;width:78.2pt;height:13.15pt;mso-position-horizontal-relative:page;mso-position-vertical-relative:page;z-index:-113936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39344" type="#_x0000_t75" stroked="false">
          <v:imagedata r:id="rId1" o:title=""/>
        </v:shape>
      </w:pict>
    </w:r>
    <w:r>
      <w:rPr/>
      <w:pict>
        <v:group style="position:absolute;margin-left:69.839996pt;margin-top:82.199974pt;width:702.25pt;height:.1pt;mso-position-horizontal-relative:page;mso-position-vertical-relative:page;z-index:-1139320" coordorigin="1397,1644" coordsize="14045,2">
          <v:shape style="position:absolute;left:1397;top:1644;width:14045;height:2" coordorigin="1397,1644" coordsize="14045,0" path="m1397,1644l15442,1644e" filled="false" stroked="true" strokeweight=".72pt" strokecolor="#000008">
            <v:path arrowok="t"/>
          </v:shape>
          <w10:wrap type="none"/>
        </v:group>
      </w:pict>
    </w:r>
    <w:r>
      <w:rPr/>
      <w:pict>
        <v:shape style="position:absolute;margin-left:398.480011pt;margin-top:63.724976pt;width:78.2pt;height:13.15pt;mso-position-horizontal-relative:page;mso-position-vertical-relative:page;z-index:-113929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39248" type="#_x0000_t75" stroked="false">
          <v:imagedata r:id="rId1" o:title=""/>
        </v:shape>
      </w:pict>
    </w:r>
    <w:r>
      <w:rPr/>
      <w:pict>
        <v:group style="position:absolute;margin-left:84pt;margin-top:82.199997pt;width:427.35pt;height:.1pt;mso-position-horizontal-relative:page;mso-position-vertical-relative:page;z-index:-1139224" coordorigin="1680,1644" coordsize="8547,2">
          <v:shape style="position:absolute;left:1680;top:1644;width:8547;height:2" coordorigin="1680,1644" coordsize="8547,0" path="m1680,1644l10226,1644e" filled="false" stroked="true" strokeweight=".72pt" strokecolor="#000008">
            <v:path arrowok="t"/>
          </v:shape>
          <w10:wrap type="none"/>
        </v:group>
      </w:pict>
    </w:r>
    <w:r>
      <w:rPr/>
      <w:pict>
        <v:shape style="position:absolute;margin-left:412.640015pt;margin-top:63.724998pt;width:78.2pt;height:13.15pt;mso-position-horizontal-relative:page;mso-position-vertical-relative:page;z-index:-113920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39104" type="#_x0000_t75" stroked="false">
          <v:imagedata r:id="rId1" o:title=""/>
        </v:shape>
      </w:pict>
    </w:r>
    <w:r>
      <w:rPr/>
      <w:pict>
        <v:group style="position:absolute;margin-left:69.839996pt;margin-top:82.199974pt;width:702.25pt;height:.1pt;mso-position-horizontal-relative:page;mso-position-vertical-relative:page;z-index:-1139080" coordorigin="1397,1644" coordsize="14045,2">
          <v:shape style="position:absolute;left:1397;top:1644;width:14045;height:2" coordorigin="1397,1644" coordsize="14045,0" path="m1397,1644l15442,1644e" filled="false" stroked="true" strokeweight=".72pt" strokecolor="#000008">
            <v:path arrowok="t"/>
          </v:shape>
          <w10:wrap type="none"/>
        </v:group>
      </w:pict>
    </w:r>
    <w:r>
      <w:rPr/>
      <w:pict>
        <v:shape style="position:absolute;margin-left:690.919983pt;margin-top:63.724976pt;width:78.2pt;height:13.15pt;mso-position-horizontal-relative:page;mso-position-vertical-relative:page;z-index:-113905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38984" type="#_x0000_t75" stroked="false">
          <v:imagedata r:id="rId1" o:title=""/>
        </v:shape>
      </w:pict>
    </w:r>
    <w:r>
      <w:rPr/>
      <w:pict>
        <v:group style="position:absolute;margin-left:84pt;margin-top:82.199997pt;width:427.35pt;height:.1pt;mso-position-horizontal-relative:page;mso-position-vertical-relative:page;z-index:-1138960" coordorigin="1680,1644" coordsize="8547,2">
          <v:shape style="position:absolute;left:1680;top:1644;width:8547;height:2" coordorigin="1680,1644" coordsize="8547,0" path="m1680,1644l10226,1644e" filled="false" stroked="true" strokeweight=".72pt" strokecolor="#000008">
            <v:path arrowok="t"/>
          </v:shape>
          <w10:wrap type="none"/>
        </v:group>
      </w:pict>
    </w:r>
    <w:r>
      <w:rPr/>
      <w:pict>
        <v:shape style="position:absolute;margin-left:421.640015pt;margin-top:63.724998pt;width:78.2pt;height:13.15pt;mso-position-horizontal-relative:page;mso-position-vertical-relative:page;z-index:-113893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38864" type="#_x0000_t75" stroked="false">
          <v:imagedata r:id="rId1" o:title=""/>
        </v:shape>
      </w:pict>
    </w:r>
    <w:r>
      <w:rPr/>
      <w:pict>
        <v:group style="position:absolute;margin-left:69.839996pt;margin-top:82.199974pt;width:702.25pt;height:.1pt;mso-position-horizontal-relative:page;mso-position-vertical-relative:page;z-index:-1138840" coordorigin="1397,1644" coordsize="14045,2">
          <v:shape style="position:absolute;left:1397;top:1644;width:14045;height:2" coordorigin="1397,1644" coordsize="14045,0" path="m1397,1644l15442,1644e" filled="false" stroked="true" strokeweight=".72pt" strokecolor="#000008">
            <v:path arrowok="t"/>
          </v:shape>
          <w10:wrap type="none"/>
        </v:group>
      </w:pict>
    </w:r>
    <w:r>
      <w:rPr/>
      <w:pict>
        <v:shape style="position:absolute;margin-left:690.919983pt;margin-top:63.724976pt;width:78.2pt;height:13.15pt;mso-position-horizontal-relative:page;mso-position-vertical-relative:page;z-index:-113881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38768" type="#_x0000_t75" stroked="false">
          <v:imagedata r:id="rId1" o:title=""/>
        </v:shape>
      </w:pict>
    </w:r>
    <w:r>
      <w:rPr/>
      <w:pict>
        <v:group style="position:absolute;margin-left:84pt;margin-top:82.199997pt;width:427.35pt;height:.1pt;mso-position-horizontal-relative:page;mso-position-vertical-relative:page;z-index:-1138744" coordorigin="1680,1644" coordsize="8547,2">
          <v:shape style="position:absolute;left:1680;top:1644;width:8547;height:2" coordorigin="1680,1644" coordsize="8547,0" path="m1680,1644l10226,1644e" filled="false" stroked="true" strokeweight=".72pt" strokecolor="#000008">
            <v:path arrowok="t"/>
          </v:shape>
          <w10:wrap type="none"/>
        </v:group>
      </w:pict>
    </w:r>
    <w:r>
      <w:rPr/>
      <w:pict>
        <v:shape style="position:absolute;margin-left:426.079987pt;margin-top:63.724998pt;width:78.2pt;height:13.15pt;mso-position-horizontal-relative:page;mso-position-vertical-relative:page;z-index:-113872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38600" type="#_x0000_t75" stroked="false">
          <v:imagedata r:id="rId1" o:title=""/>
        </v:shape>
      </w:pict>
    </w:r>
    <w:r>
      <w:rPr/>
      <w:pict>
        <v:group style="position:absolute;margin-left:69.839996pt;margin-top:82.199974pt;width:702.25pt;height:.1pt;mso-position-horizontal-relative:page;mso-position-vertical-relative:page;z-index:-1138576" coordorigin="1397,1644" coordsize="14045,2">
          <v:shape style="position:absolute;left:1397;top:1644;width:14045;height:2" coordorigin="1397,1644" coordsize="14045,0" path="m1397,1644l15442,1644e" filled="false" stroked="true" strokeweight=".72pt" strokecolor="#000008">
            <v:path arrowok="t"/>
          </v:shape>
          <w10:wrap type="none"/>
        </v:group>
      </w:pict>
    </w:r>
    <w:r>
      <w:rPr/>
      <w:pict>
        <v:shape style="position:absolute;margin-left:690.919983pt;margin-top:63.724976pt;width:78.2pt;height:13.15pt;mso-position-horizontal-relative:page;mso-position-vertical-relative:page;z-index:-113855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7.16pt;width:153pt;height:26.52pt;mso-position-horizontal-relative:page;mso-position-vertical-relative:page;z-index:-1138504" type="#_x0000_t75" stroked="false">
          <v:imagedata r:id="rId1" o:title=""/>
        </v:shape>
      </w:pict>
    </w:r>
    <w:r>
      <w:rPr/>
      <w:pict>
        <v:group style="position:absolute;margin-left:84pt;margin-top:82.199997pt;width:427.35pt;height:.1pt;mso-position-horizontal-relative:page;mso-position-vertical-relative:page;z-index:-1138480" coordorigin="1680,1644" coordsize="8547,2">
          <v:shape style="position:absolute;left:1680;top:1644;width:8547;height:2" coordorigin="1680,1644" coordsize="8547,0" path="m1680,1644l10226,1644e" filled="false" stroked="true" strokeweight=".72pt" strokecolor="#000008">
            <v:path arrowok="t"/>
          </v:shape>
          <w10:wrap type="none"/>
        </v:group>
      </w:pict>
    </w:r>
    <w:r>
      <w:rPr/>
      <w:pict>
        <v:shape style="position:absolute;margin-left:426.079987pt;margin-top:63.724998pt;width:78.2pt;height:13.15pt;mso-position-horizontal-relative:page;mso-position-vertical-relative:page;z-index:-113845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7.159977pt;width:153pt;height:26.52pt;mso-position-horizontal-relative:page;mso-position-vertical-relative:page;z-index:-1138384" type="#_x0000_t75" stroked="false">
          <v:imagedata r:id="rId1" o:title=""/>
        </v:shape>
      </w:pict>
    </w:r>
    <w:r>
      <w:rPr/>
      <w:pict>
        <v:group style="position:absolute;margin-left:69.839996pt;margin-top:82.199974pt;width:702.25pt;height:.1pt;mso-position-horizontal-relative:page;mso-position-vertical-relative:page;z-index:-1138360" coordorigin="1397,1644" coordsize="14045,2">
          <v:shape style="position:absolute;left:1397;top:1644;width:14045;height:2" coordorigin="1397,1644" coordsize="14045,0" path="m1397,1644l15442,1644e" filled="false" stroked="true" strokeweight=".72pt" strokecolor="#000008">
            <v:path arrowok="t"/>
          </v:shape>
          <w10:wrap type="none"/>
        </v:group>
      </w:pict>
    </w:r>
    <w:r>
      <w:rPr/>
      <w:pict>
        <v:shape style="position:absolute;margin-left:407.480011pt;margin-top:63.724976pt;width:78.2pt;height:13.15pt;mso-position-horizontal-relative:page;mso-position-vertical-relative:page;z-index:-113833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47.16pt;width:153pt;height:26.52pt;mso-position-horizontal-relative:page;mso-position-vertical-relative:page;z-index:-1138288" type="#_x0000_t75" stroked="false">
          <v:imagedata r:id="rId1" o:title=""/>
        </v:shape>
      </w:pict>
    </w:r>
    <w:r>
      <w:rPr/>
      <w:pict>
        <v:group style="position:absolute;margin-left:88.799995pt;margin-top:82.199997pt;width:417.75pt;height:.1pt;mso-position-horizontal-relative:page;mso-position-vertical-relative:page;z-index:-1138264" coordorigin="1776,1644" coordsize="8355,2">
          <v:shape style="position:absolute;left:1776;top:1644;width:8355;height:2" coordorigin="1776,1644" coordsize="8355,0" path="m1776,1644l10130,1644e" filled="false" stroked="true" strokeweight=".72pt" strokecolor="#000008">
            <v:path arrowok="t"/>
          </v:shape>
          <w10:wrap type="none"/>
        </v:group>
      </w:pict>
    </w:r>
    <w:r>
      <w:rPr/>
      <w:pict>
        <v:shape style="position:absolute;margin-left:426.440002pt;margin-top:63.724998pt;width:78.2pt;height:13.15pt;mso-position-horizontal-relative:page;mso-position-vertical-relative:page;z-index:-113824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300"/>
    </w:pPr>
    <w:rPr>
      <w:rFonts w:ascii="宋体" w:hAnsi="宋体" w:eastAsia="宋体"/>
      <w:sz w:val="24"/>
      <w:szCs w:val="24"/>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55"/>
      <w:outlineLvl w:val="2"/>
    </w:pPr>
    <w:rPr>
      <w:rFonts w:ascii="宋体" w:hAnsi="宋体" w:eastAsia="宋体"/>
      <w:sz w:val="32"/>
      <w:szCs w:val="32"/>
    </w:rPr>
  </w:style>
  <w:style w:styleId="Heading3" w:type="paragraph">
    <w:name w:val="Heading 3"/>
    <w:basedOn w:val="Normal"/>
    <w:uiPriority w:val="1"/>
    <w:qFormat/>
    <w:pPr>
      <w:outlineLvl w:val="3"/>
    </w:pPr>
    <w:rPr>
      <w:rFonts w:ascii="Microsoft JhengHei" w:hAnsi="Microsoft JhengHei" w:eastAsia="Microsoft JhengHei"/>
      <w:b/>
      <w:bCs/>
      <w:sz w:val="28"/>
      <w:szCs w:val="28"/>
    </w:rPr>
  </w:style>
  <w:style w:styleId="Heading4" w:type="paragraph">
    <w:name w:val="Heading 4"/>
    <w:basedOn w:val="Normal"/>
    <w:uiPriority w:val="1"/>
    <w:qFormat/>
    <w:pPr>
      <w:ind w:left="3162"/>
      <w:outlineLvl w:val="4"/>
    </w:pPr>
    <w:rPr>
      <w:rFonts w:ascii="宋体" w:hAnsi="宋体" w:eastAsia="宋体"/>
      <w:sz w:val="28"/>
      <w:szCs w:val="28"/>
    </w:rPr>
  </w:style>
  <w:style w:styleId="Heading5" w:type="paragraph">
    <w:name w:val="Heading 5"/>
    <w:basedOn w:val="Normal"/>
    <w:uiPriority w:val="1"/>
    <w:qFormat/>
    <w:pPr>
      <w:ind w:left="780"/>
      <w:outlineLvl w:val="5"/>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yperlink" Target="mailto:IR@szap.com" TargetMode="External"/><Relationship Id="rId8" Type="http://schemas.openxmlformats.org/officeDocument/2006/relationships/hyperlink" Target="http://www.szap.com/" TargetMode="External"/><Relationship Id="rId9" Type="http://schemas.openxmlformats.org/officeDocument/2006/relationships/hyperlink" Target="mailto:a0061@163.com" TargetMode="External"/><Relationship Id="rId10" Type="http://schemas.openxmlformats.org/officeDocument/2006/relationships/hyperlink" Target="http://www.cninfo.com.cn/" TargetMode="Externa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header" Target="header7.xml"/><Relationship Id="rId24" Type="http://schemas.openxmlformats.org/officeDocument/2006/relationships/footer" Target="footer6.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header" Target="header9.xml"/><Relationship Id="rId28" Type="http://schemas.openxmlformats.org/officeDocument/2006/relationships/footer" Target="footer8.xml"/><Relationship Id="rId29" Type="http://schemas.openxmlformats.org/officeDocument/2006/relationships/header" Target="header10.xml"/><Relationship Id="rId30" Type="http://schemas.openxmlformats.org/officeDocument/2006/relationships/footer" Target="footer9.xml"/><Relationship Id="rId31" Type="http://schemas.openxmlformats.org/officeDocument/2006/relationships/header" Target="header11.xml"/><Relationship Id="rId32" Type="http://schemas.openxmlformats.org/officeDocument/2006/relationships/footer" Target="footer10.xml"/><Relationship Id="rId33" Type="http://schemas.openxmlformats.org/officeDocument/2006/relationships/header" Target="header12.xml"/><Relationship Id="rId34" Type="http://schemas.openxmlformats.org/officeDocument/2006/relationships/footer" Target="footer11.xml"/><Relationship Id="rId35" Type="http://schemas.openxmlformats.org/officeDocument/2006/relationships/header" Target="header13.xml"/><Relationship Id="rId36" Type="http://schemas.openxmlformats.org/officeDocument/2006/relationships/footer" Target="footer12.xml"/><Relationship Id="rId37" Type="http://schemas.openxmlformats.org/officeDocument/2006/relationships/header" Target="header14.xml"/><Relationship Id="rId38" Type="http://schemas.openxmlformats.org/officeDocument/2006/relationships/footer" Target="footer13.xml"/><Relationship Id="rId39" Type="http://schemas.openxmlformats.org/officeDocument/2006/relationships/header" Target="header15.xml"/><Relationship Id="rId40" Type="http://schemas.openxmlformats.org/officeDocument/2006/relationships/footer" Target="footer14.xml"/><Relationship Id="rId41" Type="http://schemas.openxmlformats.org/officeDocument/2006/relationships/header" Target="header16.xml"/><Relationship Id="rId42" Type="http://schemas.openxmlformats.org/officeDocument/2006/relationships/footer" Target="footer15.xml"/><Relationship Id="rId43" Type="http://schemas.openxmlformats.org/officeDocument/2006/relationships/header" Target="header17.xml"/><Relationship Id="rId44" Type="http://schemas.openxmlformats.org/officeDocument/2006/relationships/footer" Target="footer16.xml"/><Relationship Id="rId45" Type="http://schemas.openxmlformats.org/officeDocument/2006/relationships/header" Target="header18.xml"/><Relationship Id="rId46" Type="http://schemas.openxmlformats.org/officeDocument/2006/relationships/footer" Target="footer17.xml"/><Relationship Id="rId47" Type="http://schemas.openxmlformats.org/officeDocument/2006/relationships/header" Target="header19.xml"/><Relationship Id="rId48" Type="http://schemas.openxmlformats.org/officeDocument/2006/relationships/footer" Target="footer18.xml"/><Relationship Id="rId49" Type="http://schemas.openxmlformats.org/officeDocument/2006/relationships/header" Target="header20.xml"/><Relationship Id="rId50" Type="http://schemas.openxmlformats.org/officeDocument/2006/relationships/footer" Target="footer19.xml"/><Relationship Id="rId51" Type="http://schemas.openxmlformats.org/officeDocument/2006/relationships/header" Target="header21.xml"/><Relationship Id="rId52" Type="http://schemas.openxmlformats.org/officeDocument/2006/relationships/footer" Target="footer20.xml"/><Relationship Id="rId53" Type="http://schemas.openxmlformats.org/officeDocument/2006/relationships/header" Target="header22.xml"/><Relationship Id="rId54" Type="http://schemas.openxmlformats.org/officeDocument/2006/relationships/footer" Target="footer21.xml"/><Relationship Id="rId55" Type="http://schemas.openxmlformats.org/officeDocument/2006/relationships/header" Target="header23.xml"/><Relationship Id="rId56" Type="http://schemas.openxmlformats.org/officeDocument/2006/relationships/footer" Target="footer22.xml"/><Relationship Id="rId57" Type="http://schemas.openxmlformats.org/officeDocument/2006/relationships/header" Target="header24.xml"/><Relationship Id="rId58" Type="http://schemas.openxmlformats.org/officeDocument/2006/relationships/footer" Target="footer23.xml"/><Relationship Id="rId59" Type="http://schemas.openxmlformats.org/officeDocument/2006/relationships/header" Target="header25.xml"/><Relationship Id="rId60" Type="http://schemas.openxmlformats.org/officeDocument/2006/relationships/footer" Target="footer24.xml"/><Relationship Id="rId61" Type="http://schemas.openxmlformats.org/officeDocument/2006/relationships/hyperlink" Target="http://news.stockstar.com/info/colnews.aspx?id=2" TargetMode="External"/><Relationship Id="rId62" Type="http://schemas.openxmlformats.org/officeDocument/2006/relationships/hyperlink" Target="http://news.stockstar.com/info2008/colnews.aspx?id=1221" TargetMode="External"/><Relationship Id="rId63" Type="http://schemas.openxmlformats.org/officeDocument/2006/relationships/header" Target="header26.xml"/><Relationship Id="rId64" Type="http://schemas.openxmlformats.org/officeDocument/2006/relationships/footer" Target="footer25.xml"/><Relationship Id="rId65" Type="http://schemas.openxmlformats.org/officeDocument/2006/relationships/header" Target="header27.xml"/><Relationship Id="rId66" Type="http://schemas.openxmlformats.org/officeDocument/2006/relationships/footer" Target="footer26.xml"/><Relationship Id="rId67" Type="http://schemas.openxmlformats.org/officeDocument/2006/relationships/header" Target="header28.xml"/><Relationship Id="rId68" Type="http://schemas.openxmlformats.org/officeDocument/2006/relationships/footer" Target="footer27.xml"/><Relationship Id="rId69" Type="http://schemas.openxmlformats.org/officeDocument/2006/relationships/header" Target="header29.xml"/><Relationship Id="rId70" Type="http://schemas.openxmlformats.org/officeDocument/2006/relationships/footer" Target="footer28.xml"/><Relationship Id="rId71" Type="http://schemas.openxmlformats.org/officeDocument/2006/relationships/header" Target="header30.xml"/><Relationship Id="rId72" Type="http://schemas.openxmlformats.org/officeDocument/2006/relationships/footer" Target="footer29.xml"/><Relationship Id="rId73" Type="http://schemas.openxmlformats.org/officeDocument/2006/relationships/header" Target="header31.xml"/><Relationship Id="rId74" Type="http://schemas.openxmlformats.org/officeDocument/2006/relationships/footer" Target="footer30.xml"/><Relationship Id="rId75" Type="http://schemas.openxmlformats.org/officeDocument/2006/relationships/header" Target="header32.xml"/><Relationship Id="rId76" Type="http://schemas.openxmlformats.org/officeDocument/2006/relationships/footer" Target="footer31.xml"/><Relationship Id="rId77" Type="http://schemas.openxmlformats.org/officeDocument/2006/relationships/header" Target="header33.xml"/><Relationship Id="rId78" Type="http://schemas.openxmlformats.org/officeDocument/2006/relationships/footer" Target="footer32.xml"/><Relationship Id="rId79" Type="http://schemas.openxmlformats.org/officeDocument/2006/relationships/header" Target="header34.xml"/><Relationship Id="rId80" Type="http://schemas.openxmlformats.org/officeDocument/2006/relationships/footer" Target="footer33.xml"/><Relationship Id="rId81" Type="http://schemas.openxmlformats.org/officeDocument/2006/relationships/header" Target="header35.xml"/><Relationship Id="rId82" Type="http://schemas.openxmlformats.org/officeDocument/2006/relationships/footer" Target="footer34.xml"/><Relationship Id="rId83" Type="http://schemas.openxmlformats.org/officeDocument/2006/relationships/header" Target="header36.xml"/><Relationship Id="rId84" Type="http://schemas.openxmlformats.org/officeDocument/2006/relationships/footer" Target="footer35.xml"/><Relationship Id="rId85" Type="http://schemas.openxmlformats.org/officeDocument/2006/relationships/header" Target="header37.xml"/><Relationship Id="rId86" Type="http://schemas.openxmlformats.org/officeDocument/2006/relationships/footer" Target="footer36.xml"/><Relationship Id="rId87" Type="http://schemas.openxmlformats.org/officeDocument/2006/relationships/header" Target="header38.xml"/><Relationship Id="rId88" Type="http://schemas.openxmlformats.org/officeDocument/2006/relationships/footer" Target="footer37.xml"/><Relationship Id="rId89" Type="http://schemas.openxmlformats.org/officeDocument/2006/relationships/header" Target="header39.xml"/><Relationship Id="rId90" Type="http://schemas.openxmlformats.org/officeDocument/2006/relationships/footer" Target="footer38.xml"/><Relationship Id="rId91" Type="http://schemas.openxmlformats.org/officeDocument/2006/relationships/header" Target="header40.xml"/><Relationship Id="rId92" Type="http://schemas.openxmlformats.org/officeDocument/2006/relationships/footer" Target="footer39.xml"/><Relationship Id="rId93" Type="http://schemas.openxmlformats.org/officeDocument/2006/relationships/header" Target="header41.xml"/><Relationship Id="rId94" Type="http://schemas.openxmlformats.org/officeDocument/2006/relationships/footer" Target="footer40.xml"/><Relationship Id="rId95" Type="http://schemas.openxmlformats.org/officeDocument/2006/relationships/header" Target="header42.xml"/><Relationship Id="rId96" Type="http://schemas.openxmlformats.org/officeDocument/2006/relationships/footer" Target="footer41.xml"/><Relationship Id="rId97" Type="http://schemas.openxmlformats.org/officeDocument/2006/relationships/header" Target="header43.xml"/><Relationship Id="rId98" Type="http://schemas.openxmlformats.org/officeDocument/2006/relationships/footer" Target="footer42.xml"/><Relationship Id="rId99" Type="http://schemas.openxmlformats.org/officeDocument/2006/relationships/header" Target="header44.xml"/><Relationship Id="rId100" Type="http://schemas.openxmlformats.org/officeDocument/2006/relationships/footer" Target="footer43.xml"/><Relationship Id="rId101" Type="http://schemas.openxmlformats.org/officeDocument/2006/relationships/header" Target="header45.xml"/><Relationship Id="rId102" Type="http://schemas.openxmlformats.org/officeDocument/2006/relationships/footer" Target="footer44.xml"/><Relationship Id="rId103" Type="http://schemas.openxmlformats.org/officeDocument/2006/relationships/header" Target="header46.xml"/><Relationship Id="rId104" Type="http://schemas.openxmlformats.org/officeDocument/2006/relationships/footer" Target="footer45.xml"/><Relationship Id="rId105" Type="http://schemas.openxmlformats.org/officeDocument/2006/relationships/header" Target="header47.xml"/><Relationship Id="rId106" Type="http://schemas.openxmlformats.org/officeDocument/2006/relationships/footer" Target="footer46.xml"/><Relationship Id="rId107" Type="http://schemas.openxmlformats.org/officeDocument/2006/relationships/header" Target="header48.xml"/><Relationship Id="rId108" Type="http://schemas.openxmlformats.org/officeDocument/2006/relationships/footer" Target="footer47.xml"/><Relationship Id="rId109" Type="http://schemas.openxmlformats.org/officeDocument/2006/relationships/header" Target="header49.xml"/><Relationship Id="rId110" Type="http://schemas.openxmlformats.org/officeDocument/2006/relationships/footer" Target="footer48.xml"/><Relationship Id="rId111" Type="http://schemas.openxmlformats.org/officeDocument/2006/relationships/header" Target="header50.xml"/><Relationship Id="rId112" Type="http://schemas.openxmlformats.org/officeDocument/2006/relationships/footer" Target="footer49.xml"/><Relationship Id="rId113" Type="http://schemas.openxmlformats.org/officeDocument/2006/relationships/header" Target="header51.xml"/><Relationship Id="rId114" Type="http://schemas.openxmlformats.org/officeDocument/2006/relationships/footer" Target="footer50.xml"/><Relationship Id="rId115" Type="http://schemas.openxmlformats.org/officeDocument/2006/relationships/header" Target="header52.xml"/><Relationship Id="rId116" Type="http://schemas.openxmlformats.org/officeDocument/2006/relationships/footer" Target="footer51.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header" Target="header54.xml"/><Relationship Id="rId120" Type="http://schemas.openxmlformats.org/officeDocument/2006/relationships/footer" Target="footer53.xml"/><Relationship Id="rId121" Type="http://schemas.openxmlformats.org/officeDocument/2006/relationships/header" Target="header55.xml"/><Relationship Id="rId122" Type="http://schemas.openxmlformats.org/officeDocument/2006/relationships/footer" Target="footer54.xml"/><Relationship Id="rId123" Type="http://schemas.openxmlformats.org/officeDocument/2006/relationships/header" Target="header56.xml"/><Relationship Id="rId124" Type="http://schemas.openxmlformats.org/officeDocument/2006/relationships/footer" Target="footer55.xml"/><Relationship Id="rId125" Type="http://schemas.openxmlformats.org/officeDocument/2006/relationships/header" Target="header57.xml"/><Relationship Id="rId126" Type="http://schemas.openxmlformats.org/officeDocument/2006/relationships/footer" Target="footer56.xml"/><Relationship Id="rId127" Type="http://schemas.openxmlformats.org/officeDocument/2006/relationships/header" Target="header58.xml"/><Relationship Id="rId128" Type="http://schemas.openxmlformats.org/officeDocument/2006/relationships/footer" Target="footer57.xml"/><Relationship Id="rId129" Type="http://schemas.openxmlformats.org/officeDocument/2006/relationships/header" Target="header59.xml"/><Relationship Id="rId130" Type="http://schemas.openxmlformats.org/officeDocument/2006/relationships/footer" Target="footer58.xml"/><Relationship Id="rId131" Type="http://schemas.openxmlformats.org/officeDocument/2006/relationships/header" Target="header60.xml"/><Relationship Id="rId132" Type="http://schemas.openxmlformats.org/officeDocument/2006/relationships/footer" Target="footer59.xml"/><Relationship Id="rId133" Type="http://schemas.openxmlformats.org/officeDocument/2006/relationships/header" Target="header61.xml"/><Relationship Id="rId134" Type="http://schemas.openxmlformats.org/officeDocument/2006/relationships/footer" Target="footer60.xml"/><Relationship Id="rId135" Type="http://schemas.openxmlformats.org/officeDocument/2006/relationships/header" Target="header62.xml"/><Relationship Id="rId136" Type="http://schemas.openxmlformats.org/officeDocument/2006/relationships/footer" Target="footer61.xml"/><Relationship Id="rId137" Type="http://schemas.openxmlformats.org/officeDocument/2006/relationships/header" Target="header63.xml"/><Relationship Id="rId138" Type="http://schemas.openxmlformats.org/officeDocument/2006/relationships/footer" Target="footer62.xml"/><Relationship Id="rId139" Type="http://schemas.openxmlformats.org/officeDocument/2006/relationships/footer" Target="footer63.xml"/><Relationship Id="rId140" Type="http://schemas.openxmlformats.org/officeDocument/2006/relationships/footer" Target="footer64.xml"/><Relationship Id="rId141" Type="http://schemas.openxmlformats.org/officeDocument/2006/relationships/footer" Target="footer65.xml"/><Relationship Id="rId142" Type="http://schemas.openxmlformats.org/officeDocument/2006/relationships/header" Target="header64.xml"/><Relationship Id="rId143" Type="http://schemas.openxmlformats.org/officeDocument/2006/relationships/header" Target="header65.xml"/><Relationship Id="rId144" Type="http://schemas.openxmlformats.org/officeDocument/2006/relationships/header" Target="header66.xml"/><Relationship Id="rId145" Type="http://schemas.openxmlformats.org/officeDocument/2006/relationships/footer" Target="footer66.xml"/><Relationship Id="rId146" Type="http://schemas.openxmlformats.org/officeDocument/2006/relationships/header" Target="header67.xml"/><Relationship Id="rId147" Type="http://schemas.openxmlformats.org/officeDocument/2006/relationships/footer" Target="footer67.xml"/><Relationship Id="rId148" Type="http://schemas.openxmlformats.org/officeDocument/2006/relationships/header" Target="header68.xml"/><Relationship Id="rId149" Type="http://schemas.openxmlformats.org/officeDocument/2006/relationships/footer" Target="footer68.xml"/><Relationship Id="rId150" Type="http://schemas.openxmlformats.org/officeDocument/2006/relationships/header" Target="header69.xml"/><Relationship Id="rId151" Type="http://schemas.openxmlformats.org/officeDocument/2006/relationships/header" Target="header70.xml"/><Relationship Id="rId152" Type="http://schemas.openxmlformats.org/officeDocument/2006/relationships/footer" Target="footer69.xml"/><Relationship Id="rId153" Type="http://schemas.openxmlformats.org/officeDocument/2006/relationships/header" Target="header71.xml"/><Relationship Id="rId154" Type="http://schemas.openxmlformats.org/officeDocument/2006/relationships/footer" Target="footer70.xml"/><Relationship Id="rId155" Type="http://schemas.openxmlformats.org/officeDocument/2006/relationships/footer" Target="footer71.xml"/><Relationship Id="rId156" Type="http://schemas.openxmlformats.org/officeDocument/2006/relationships/footer" Target="footer72.xml"/><Relationship Id="rId157" Type="http://schemas.openxmlformats.org/officeDocument/2006/relationships/header" Target="header72.xml"/><Relationship Id="rId158" Type="http://schemas.openxmlformats.org/officeDocument/2006/relationships/footer" Target="footer73.xml"/><Relationship Id="rId159" Type="http://schemas.openxmlformats.org/officeDocument/2006/relationships/footer" Target="footer74.xml"/><Relationship Id="rId160" Type="http://schemas.openxmlformats.org/officeDocument/2006/relationships/header" Target="header73.xml"/><Relationship Id="rId161" Type="http://schemas.openxmlformats.org/officeDocument/2006/relationships/footer" Target="footer75.xml"/><Relationship Id="rId162" Type="http://schemas.openxmlformats.org/officeDocument/2006/relationships/footer" Target="footer76.xml"/><Relationship Id="rId163" Type="http://schemas.openxmlformats.org/officeDocument/2006/relationships/header" Target="header74.xml"/><Relationship Id="rId164" Type="http://schemas.openxmlformats.org/officeDocument/2006/relationships/footer" Target="footer77.xml"/><Relationship Id="rId165" Type="http://schemas.openxmlformats.org/officeDocument/2006/relationships/header" Target="header75.xml"/><Relationship Id="rId166" Type="http://schemas.openxmlformats.org/officeDocument/2006/relationships/footer" Target="footer78.xml"/><Relationship Id="rId167" Type="http://schemas.openxmlformats.org/officeDocument/2006/relationships/header" Target="header76.xml"/><Relationship Id="rId168" Type="http://schemas.openxmlformats.org/officeDocument/2006/relationships/footer" Target="footer79.xml"/><Relationship Id="rId169" Type="http://schemas.openxmlformats.org/officeDocument/2006/relationships/footer" Target="footer80.xml"/><Relationship Id="rId170" Type="http://schemas.openxmlformats.org/officeDocument/2006/relationships/footer" Target="footer81.xml"/><Relationship Id="rId171" Type="http://schemas.openxmlformats.org/officeDocument/2006/relationships/footer" Target="footer82.xml"/><Relationship Id="rId172" Type="http://schemas.openxmlformats.org/officeDocument/2006/relationships/header" Target="header77.xml"/><Relationship Id="rId173" Type="http://schemas.openxmlformats.org/officeDocument/2006/relationships/footer" Target="footer83.xml"/><Relationship Id="rId174" Type="http://schemas.openxmlformats.org/officeDocument/2006/relationships/header" Target="header78.xml"/><Relationship Id="rId175" Type="http://schemas.openxmlformats.org/officeDocument/2006/relationships/footer" Target="footer84.xml"/><Relationship Id="rId176" Type="http://schemas.openxmlformats.org/officeDocument/2006/relationships/footer" Target="footer85.xml"/><Relationship Id="rId177" Type="http://schemas.openxmlformats.org/officeDocument/2006/relationships/header" Target="header79.xml"/><Relationship Id="rId178" Type="http://schemas.openxmlformats.org/officeDocument/2006/relationships/footer" Target="footer86.xml"/><Relationship Id="rId179" Type="http://schemas.openxmlformats.org/officeDocument/2006/relationships/header" Target="header80.xml"/><Relationship Id="rId180" Type="http://schemas.openxmlformats.org/officeDocument/2006/relationships/footer" Target="footer87.xml"/><Relationship Id="rId181" Type="http://schemas.openxmlformats.org/officeDocument/2006/relationships/footer" Target="footer88.xml"/></Relationships>

</file>

<file path=word/_rels/header62.xml.rels><?xml version="1.0" encoding="UTF-8" standalone="yes"?>
<Relationships xmlns="http://schemas.openxmlformats.org/package/2006/relationships"><Relationship Id="rId1" Type="http://schemas.openxmlformats.org/officeDocument/2006/relationships/image" Target="media/image1.png"/></Relationships>

</file>

<file path=word/_rels/header63.xml.rels><?xml version="1.0" encoding="UTF-8" standalone="yes"?>
<Relationships xmlns="http://schemas.openxmlformats.org/package/2006/relationships"><Relationship Id="rId1" Type="http://schemas.openxmlformats.org/officeDocument/2006/relationships/image" Target="media/image1.png"/></Relationships>

</file>

<file path=word/_rels/header64.xml.rels><?xml version="1.0" encoding="UTF-8" standalone="yes"?>
<Relationships xmlns="http://schemas.openxmlformats.org/package/2006/relationships"><Relationship Id="rId1" Type="http://schemas.openxmlformats.org/officeDocument/2006/relationships/image" Target="media/image1.png"/></Relationships>

</file>

<file path=word/_rels/header65.xml.rels><?xml version="1.0" encoding="UTF-8" standalone="yes"?>
<Relationships xmlns="http://schemas.openxmlformats.org/package/2006/relationships"><Relationship Id="rId1" Type="http://schemas.openxmlformats.org/officeDocument/2006/relationships/image" Target="media/image1.png"/></Relationships>

</file>

<file path=word/_rels/header66.xml.rels><?xml version="1.0" encoding="UTF-8" standalone="yes"?>
<Relationships xmlns="http://schemas.openxmlformats.org/package/2006/relationships"><Relationship Id="rId1" Type="http://schemas.openxmlformats.org/officeDocument/2006/relationships/image" Target="media/image1.png"/></Relationships>

</file>

<file path=word/_rels/header67.xml.rels><?xml version="1.0" encoding="UTF-8" standalone="yes"?>
<Relationships xmlns="http://schemas.openxmlformats.org/package/2006/relationships"><Relationship Id="rId1" Type="http://schemas.openxmlformats.org/officeDocument/2006/relationships/image" Target="media/image1.png"/></Relationships>

</file>

<file path=word/_rels/header68.xml.rels><?xml version="1.0" encoding="UTF-8" standalone="yes"?>
<Relationships xmlns="http://schemas.openxmlformats.org/package/2006/relationships"><Relationship Id="rId1" Type="http://schemas.openxmlformats.org/officeDocument/2006/relationships/image" Target="media/image1.png"/></Relationships>

</file>

<file path=word/_rels/header69.xml.rels><?xml version="1.0" encoding="UTF-8" standalone="yes"?>
<Relationships xmlns="http://schemas.openxmlformats.org/package/2006/relationships"><Relationship Id="rId1" Type="http://schemas.openxmlformats.org/officeDocument/2006/relationships/image" Target="media/image1.png"/></Relationships>

</file>

<file path=word/_rels/header70.xml.rels><?xml version="1.0" encoding="UTF-8" standalone="yes"?>
<Relationships xmlns="http://schemas.openxmlformats.org/package/2006/relationships"><Relationship Id="rId1" Type="http://schemas.openxmlformats.org/officeDocument/2006/relationships/image" Target="media/image1.png"/></Relationships>

</file>

<file path=word/_rels/header71.xml.rels><?xml version="1.0" encoding="UTF-8" standalone="yes"?>
<Relationships xmlns="http://schemas.openxmlformats.org/package/2006/relationships"><Relationship Id="rId1" Type="http://schemas.openxmlformats.org/officeDocument/2006/relationships/image" Target="media/image1.png"/></Relationships>

</file>

<file path=word/_rels/header72.xml.rels><?xml version="1.0" encoding="UTF-8" standalone="yes"?>
<Relationships xmlns="http://schemas.openxmlformats.org/package/2006/relationships"><Relationship Id="rId1" Type="http://schemas.openxmlformats.org/officeDocument/2006/relationships/image" Target="media/image1.png"/></Relationships>

</file>

<file path=word/_rels/header73.xml.rels><?xml version="1.0" encoding="UTF-8" standalone="yes"?>
<Relationships xmlns="http://schemas.openxmlformats.org/package/2006/relationships"><Relationship Id="rId1" Type="http://schemas.openxmlformats.org/officeDocument/2006/relationships/image" Target="media/image1.png"/></Relationships>

</file>

<file path=word/_rels/header74.xml.rels><?xml version="1.0" encoding="UTF-8" standalone="yes"?>
<Relationships xmlns="http://schemas.openxmlformats.org/package/2006/relationships"><Relationship Id="rId1" Type="http://schemas.openxmlformats.org/officeDocument/2006/relationships/image" Target="media/image1.png"/></Relationships>

</file>

<file path=word/_rels/header75.xml.rels><?xml version="1.0" encoding="UTF-8" standalone="yes"?>
<Relationships xmlns="http://schemas.openxmlformats.org/package/2006/relationships"><Relationship Id="rId1" Type="http://schemas.openxmlformats.org/officeDocument/2006/relationships/image" Target="media/image1.png"/></Relationships>

</file>

<file path=word/_rels/header77.xml.rels><?xml version="1.0" encoding="UTF-8" standalone="yes"?>
<Relationships xmlns="http://schemas.openxmlformats.org/package/2006/relationships"><Relationship Id="rId1" Type="http://schemas.openxmlformats.org/officeDocument/2006/relationships/image" Target="media/image1.png"/></Relationships>

</file>

<file path=word/_rels/header78.xml.rels><?xml version="1.0" encoding="UTF-8" standalone="yes"?>
<Relationships xmlns="http://schemas.openxmlformats.org/package/2006/relationships"><Relationship Id="rId1" Type="http://schemas.openxmlformats.org/officeDocument/2006/relationships/image" Target="media/image1.png"/></Relationships>

</file>

<file path=word/_rels/header79.xml.rels><?xml version="1.0" encoding="UTF-8" standalone="yes"?>
<Relationships xmlns="http://schemas.openxmlformats.org/package/2006/relationships"><Relationship Id="rId1" Type="http://schemas.openxmlformats.org/officeDocument/2006/relationships/image" Target="media/image1.png"/></Relationships>

</file>

<file path=word/_rels/header80.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董办</dc:creator>
  <dcterms:created xsi:type="dcterms:W3CDTF">2020-04-02T11:58:38Z</dcterms:created>
  <dcterms:modified xsi:type="dcterms:W3CDTF">2020-04-02T11:58:38Z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2010-04-21T00:00:00Z</vt:filetime>
  </property>
  <property fmtid="{D5CDD505-2E9C-101B-9397-08002B2CF9AE}" pid="3" name="Creator">
    <vt:lpwstr>WPS Office 个人版</vt:lpwstr>
  </property>
  <property fmtid="{D5CDD505-2E9C-101B-9397-08002B2CF9AE}" pid="4" name="LastSaved">
    <vt:filetime>2010-04-21T00:00:00Z</vt:filetime>
  </property>
</Properties>
</file>